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3616647B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044703">
        <w:rPr>
          <w:rFonts w:ascii="Baskerville" w:hAnsi="Baskerville" w:cs="Times"/>
          <w:color w:val="000000"/>
          <w:sz w:val="20"/>
          <w:szCs w:val="20"/>
          <w:lang w:val="en-GB"/>
        </w:rPr>
        <w:t>forthcoming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JFE)</w:t>
      </w:r>
    </w:p>
    <w:p w14:paraId="20C6ABBE" w14:textId="77777777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0B75E4F" w14:textId="657947E9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Opportunity Cost of Collateral” with Jason Donaldson and Mina Lee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5E4CA1A" w14:textId="652A3F2E" w:rsidR="00640B4F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lastRenderedPageBreak/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191EB0C" w14:textId="3A9EA41B" w:rsidR="004420CB" w:rsidRDefault="000A5DD7" w:rsidP="00A53AF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30A7D64" w14:textId="77777777" w:rsidR="00A53AF3" w:rsidRDefault="00A53AF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6BDD0E50" w14:textId="79A2A2DE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2019</w:t>
      </w:r>
    </w:p>
    <w:p w14:paraId="48990BF1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391B3283" w14:textId="77777777" w:rsid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Michigan State University (scheduled)</w:t>
      </w:r>
    </w:p>
    <w:p w14:paraId="7DB89DED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3DE74208" w14:textId="5B1EE813" w:rsidR="008350A3" w:rsidRP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Econometric Society (scheduled) </w:t>
      </w: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5D2A0FF2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2C15D5AA" w14:textId="4ACAC82B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Queen Mary (scheduled)</w:t>
      </w:r>
    </w:p>
    <w:p w14:paraId="0756FC9B" w14:textId="2F257E48" w:rsidR="003955E2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566E6F41" w14:textId="65AEE4C1" w:rsidR="00AD5956" w:rsidRDefault="00AD595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UCL (scheduled)</w:t>
      </w:r>
    </w:p>
    <w:p w14:paraId="20737EA7" w14:textId="33324824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165FD2C" w14:textId="77777777" w:rsidR="005E6AD5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Pizzanomics</w:t>
      </w:r>
      <w:proofErr w:type="spellEnd"/>
      <w:r>
        <w:rPr>
          <w:rFonts w:ascii="Baskerville" w:hAnsi="Baskerville"/>
          <w:sz w:val="20"/>
          <w:szCs w:val="20"/>
          <w:lang w:val="en-GB"/>
        </w:rPr>
        <w:t>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>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</w:t>
      </w:r>
      <w:proofErr w:type="gramStart"/>
      <w:r>
        <w:rPr>
          <w:rFonts w:ascii="Baskerville" w:hAnsi="Baskerville"/>
          <w:sz w:val="20"/>
          <w:szCs w:val="20"/>
          <w:lang w:val="en-GB"/>
        </w:rPr>
        <w:t>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proofErr w:type="gramEnd"/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University of Rome Tor </w:t>
      </w:r>
      <w:proofErr w:type="spellStart"/>
      <w:r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F957B6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1668E07F" w14:textId="77777777" w:rsidR="00CA0F67" w:rsidRDefault="00CA0F67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lastRenderedPageBreak/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 xml:space="preserve">Elroy Dimson, </w:t>
      </w:r>
      <w:proofErr w:type="spellStart"/>
      <w:r w:rsidRPr="00B7792F">
        <w:rPr>
          <w:rFonts w:ascii="Baskerville" w:hAnsi="Baskerville"/>
          <w:sz w:val="20"/>
          <w:szCs w:val="20"/>
          <w:lang w:val="en-GB"/>
        </w:rPr>
        <w:t>Oğuzhan</w:t>
      </w:r>
      <w:proofErr w:type="spellEnd"/>
      <w:r w:rsidRPr="00B7792F">
        <w:rPr>
          <w:rFonts w:ascii="Baskerville" w:hAnsi="Baskerville"/>
          <w:sz w:val="20"/>
          <w:szCs w:val="20"/>
          <w:lang w:val="en-GB"/>
        </w:rPr>
        <w:t xml:space="preserve">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E47F95">
        <w:rPr>
          <w:rFonts w:ascii="Baskerville" w:hAnsi="Baskerville"/>
          <w:sz w:val="20"/>
          <w:szCs w:val="20"/>
          <w:lang w:val="en-GB"/>
        </w:rPr>
        <w:t>Deeksha</w:t>
      </w:r>
      <w:proofErr w:type="spellEnd"/>
      <w:r w:rsidRPr="00E47F95">
        <w:rPr>
          <w:rFonts w:ascii="Baskerville" w:hAnsi="Baskerville"/>
          <w:sz w:val="20"/>
          <w:szCs w:val="20"/>
          <w:lang w:val="en-GB"/>
        </w:rPr>
        <w:t xml:space="preserve">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Nosal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Yuet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 xml:space="preserve">Alan D. Morrison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Marcus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 w:rsidR="00C732BC"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 w:rsidR="00C732BC"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Nadya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="00C84A5F"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</w:t>
      </w:r>
      <w:proofErr w:type="gramStart"/>
      <w:r>
        <w:rPr>
          <w:rFonts w:ascii="Baskerville" w:hAnsi="Baskerville"/>
          <w:sz w:val="20"/>
          <w:szCs w:val="20"/>
          <w:lang w:val="en-GB"/>
        </w:rPr>
        <w:t>Exit?,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1DEB8D6D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5FE7D770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</w:p>
    <w:p w14:paraId="539DDDDC" w14:textId="5FEA65C0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Games and Economics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Behavior</w:t>
      </w:r>
      <w:proofErr w:type="spellEnd"/>
    </w:p>
    <w:p w14:paraId="5F1C814C" w14:textId="067E1E16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E179B26" w14:textId="4F7F7709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and Quantitative Analysis</w:t>
      </w:r>
    </w:p>
    <w:p w14:paraId="2E050017" w14:textId="07F038CA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6F49997B" w14:textId="3E4E53BD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Journal of Financial Intermediation</w:t>
      </w:r>
    </w:p>
    <w:p w14:paraId="30BBC40E" w14:textId="57E94ECB" w:rsidR="004533D2" w:rsidRDefault="004533D2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7ECB554" w14:textId="3E07ADD7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74307A" w14:textId="7E078EE5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Economic Studies</w:t>
      </w:r>
    </w:p>
    <w:p w14:paraId="2DD568B5" w14:textId="77777777" w:rsidR="00640B4F" w:rsidRDefault="00B67535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62B03F0" w14:textId="77777777" w:rsidR="006B464A" w:rsidRDefault="006B464A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5A956C3" w14:textId="6F1EA86A" w:rsidR="005A0E89" w:rsidRPr="00510DAD" w:rsidRDefault="005A0E89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2B42D898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6B464A">
        <w:rPr>
          <w:rFonts w:ascii="Baskerville" w:hAnsi="Baskerville"/>
          <w:sz w:val="20"/>
          <w:szCs w:val="20"/>
          <w:lang w:val="en-GB"/>
        </w:rPr>
        <w:t>– present</w:t>
      </w:r>
      <w:bookmarkStart w:id="0" w:name="_GoBack"/>
      <w:bookmarkEnd w:id="0"/>
    </w:p>
    <w:p w14:paraId="11E839C3" w14:textId="50A98D44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  <w:r w:rsidR="00CA0F67">
        <w:rPr>
          <w:rFonts w:ascii="Baskerville" w:hAnsi="Baskerville"/>
          <w:sz w:val="20"/>
          <w:szCs w:val="20"/>
          <w:lang w:val="en-GB"/>
        </w:rPr>
        <w:t>– present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E6AD5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0B4F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464A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6E02"/>
    <w:rsid w:val="007C7F00"/>
    <w:rsid w:val="007E6D2B"/>
    <w:rsid w:val="007F37C3"/>
    <w:rsid w:val="007F76C1"/>
    <w:rsid w:val="00805813"/>
    <w:rsid w:val="00814D87"/>
    <w:rsid w:val="00823BDE"/>
    <w:rsid w:val="008350A3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D5956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67535"/>
    <w:rsid w:val="00B7792F"/>
    <w:rsid w:val="00B821F5"/>
    <w:rsid w:val="00B86A62"/>
    <w:rsid w:val="00B921E4"/>
    <w:rsid w:val="00B93881"/>
    <w:rsid w:val="00B97752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0F67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2572579-6D2C-F44B-9E15-B4F79828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1419</Words>
  <Characters>8089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182</cp:revision>
  <cp:lastPrinted>2018-09-21T14:18:00Z</cp:lastPrinted>
  <dcterms:created xsi:type="dcterms:W3CDTF">2017-10-12T20:39:00Z</dcterms:created>
  <dcterms:modified xsi:type="dcterms:W3CDTF">2018-09-21T14:20:00Z</dcterms:modified>
</cp:coreProperties>
</file>