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0A202373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JF)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2C40723" w14:textId="77777777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5527BC5" w14:textId="2A83CF1A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CF8BC2C" w14:textId="654F2307" w:rsidR="005A0E89" w:rsidRDefault="00DC1DA0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356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BDD7444" w14:textId="77777777" w:rsidR="0048212F" w:rsidRDefault="0048212F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C4E3148" w14:textId="5616BA23" w:rsidR="005A0E89" w:rsidRPr="005A0E89" w:rsidRDefault="0048212F" w:rsidP="0048212F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Paradox of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Pledgeability</w:t>
      </w:r>
      <w:proofErr w:type="spellEnd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,” with Jason R. Donaldson and Denis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Gromb</w:t>
      </w:r>
      <w:proofErr w:type="spellEnd"/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3376622A" w:rsidR="00303F12" w:rsidRDefault="00361563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>Napa Conference in Financial</w:t>
      </w:r>
      <w:bookmarkStart w:id="0" w:name="_GoBack"/>
      <w:bookmarkEnd w:id="0"/>
      <w:r w:rsidR="000930D8">
        <w:rPr>
          <w:rFonts w:ascii="Baskerville" w:hAnsi="Baskerville"/>
          <w:sz w:val="20"/>
          <w:szCs w:val="20"/>
          <w:lang w:val="en-GB"/>
        </w:rPr>
        <w:t xml:space="preserve">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proofErr w:type="spellStart"/>
      <w:r w:rsidR="006E7A13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 xml:space="preserve">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  <w:r w:rsidR="009E08FB">
        <w:rPr>
          <w:rFonts w:ascii="Baskerville" w:hAnsi="Baskerville"/>
          <w:sz w:val="20"/>
          <w:szCs w:val="20"/>
          <w:lang w:val="en-GB"/>
        </w:rPr>
        <w:t>, AEA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55EEF07" w:rsidR="005A0E89" w:rsidRP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</w:p>
    <w:sectPr w:rsidR="005A0E89" w:rsidRPr="005A0E8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755</Words>
  <Characters>4309</Characters>
  <Application>Microsoft Macintosh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90</cp:revision>
  <cp:lastPrinted>2016-09-13T18:36:00Z</cp:lastPrinted>
  <dcterms:created xsi:type="dcterms:W3CDTF">2013-11-03T22:39:00Z</dcterms:created>
  <dcterms:modified xsi:type="dcterms:W3CDTF">2016-09-13T18:49:00Z</dcterms:modified>
</cp:coreProperties>
</file>