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112542B5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76E3290F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>
        <w:rPr>
          <w:rFonts w:ascii="Baskerville" w:hAnsi="Baskerville"/>
          <w:sz w:val="20"/>
          <w:szCs w:val="20"/>
          <w:lang w:val="en-GB"/>
        </w:rPr>
        <w:t>giorgiapiacentino@gmail.com</w:t>
      </w:r>
    </w:p>
    <w:p w14:paraId="51006C30" w14:textId="5D7CD58C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E733BE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Pr="002369A9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  <w:bookmarkStart w:id="0" w:name="_GoBack"/>
      <w:bookmarkEnd w:id="0"/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F21118C" w14:textId="46E28298" w:rsidR="00D61EA5" w:rsidRDefault="00D61EA5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025FA10F" w:rsidR="00D04566" w:rsidRDefault="00D04566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on Credit Ratings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JET)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22BA3738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29DBC87D" w14:textId="7AF57595" w:rsidR="00140B52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 xml:space="preserve">, WFA (scheduled), Paul Woolley </w:t>
      </w:r>
      <w:r>
        <w:rPr>
          <w:rFonts w:ascii="Baskerville" w:hAnsi="Baskerville"/>
          <w:sz w:val="20"/>
          <w:szCs w:val="20"/>
          <w:lang w:val="en-GB"/>
        </w:rPr>
        <w:lastRenderedPageBreak/>
        <w:t>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D12289">
        <w:rPr>
          <w:rFonts w:ascii="Baskerville" w:hAnsi="Baskerville"/>
          <w:sz w:val="20"/>
          <w:szCs w:val="20"/>
          <w:lang w:val="en-GB"/>
        </w:rPr>
        <w:t xml:space="preserve"> at the Bank of Portugal (scheduled)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904883">
        <w:rPr>
          <w:rFonts w:ascii="Baskerville" w:hAnsi="Baskerville"/>
          <w:sz w:val="20"/>
          <w:szCs w:val="20"/>
          <w:lang w:val="en-GB"/>
        </w:rPr>
        <w:t>scheduled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F31B6A">
        <w:rPr>
          <w:rFonts w:ascii="Baskerville" w:hAnsi="Baskerville"/>
          <w:sz w:val="20"/>
          <w:szCs w:val="20"/>
          <w:lang w:val="en-GB"/>
        </w:rPr>
        <w:t>, FTG London (scheduled),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028C0FDD" w14:textId="77777777" w:rsidR="008627AE" w:rsidRDefault="008627AE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E2F2A76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27CBA00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2A82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56FD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E407F"/>
    <w:rsid w:val="006E7A13"/>
    <w:rsid w:val="006F0D70"/>
    <w:rsid w:val="007134F5"/>
    <w:rsid w:val="0071628D"/>
    <w:rsid w:val="00731674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E50C8"/>
    <w:rsid w:val="00AF1CB5"/>
    <w:rsid w:val="00AF7DFF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958</Words>
  <Characters>5464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</vt:lpstr>
      <vt:lpstr>“The Wall Street Walk when Blockholders Compete for Flows,” with Amil Dasgupta, </vt:lpstr>
      <vt:lpstr>“Warehouse Banking” with Jason R. Donaldson and Anjan Thakor (accepted at the Jo</vt:lpstr>
      <vt:lpstr>Working Papers</vt:lpstr>
      <vt:lpstr>“Household Debt and Unemployment” with Jason R. Donaldson and Anjan Thakor (R&amp;R </vt:lpstr>
      <vt:lpstr>“Venture Capital and Capital Allocation” (R&amp;R at the JF)</vt:lpstr>
      <vt:lpstr>“Contracting on Credit Ratings to Compete for Flows” with Jason R. Donaldson (R&amp;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149</cp:revision>
  <cp:lastPrinted>2017-05-10T08:50:00Z</cp:lastPrinted>
  <dcterms:created xsi:type="dcterms:W3CDTF">2013-11-03T22:39:00Z</dcterms:created>
  <dcterms:modified xsi:type="dcterms:W3CDTF">2017-07-02T16:13:00Z</dcterms:modified>
</cp:coreProperties>
</file>