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4589EBD"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(starting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7DA5A06E"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26FA4FA8"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5C087E">
        <w:rPr>
          <w:rFonts w:asciiTheme="majorHAnsi" w:hAnsiTheme="majorHAnsi" w:cstheme="majorHAnsi"/>
          <w:color w:val="000000"/>
          <w:sz w:val="20"/>
          <w:szCs w:val="20"/>
          <w:u w:color="000000"/>
        </w:rPr>
        <w:t xml:space="preserve"> Vienna Graduate School of Finance</w:t>
      </w:r>
      <w:r w:rsidR="00DB5AC6">
        <w:rPr>
          <w:rFonts w:asciiTheme="majorHAnsi" w:hAnsiTheme="majorHAnsi" w:cstheme="majorHAnsi"/>
          <w:color w:val="000000"/>
          <w:sz w:val="20"/>
          <w:szCs w:val="20"/>
          <w:u w:color="000000"/>
        </w:rPr>
        <w:t>, Tilburg University (scheduled)</w:t>
      </w:r>
      <w:r w:rsidR="00CD1F0B">
        <w:rPr>
          <w:rFonts w:asciiTheme="majorHAnsi" w:hAnsiTheme="majorHAnsi" w:cstheme="majorHAnsi"/>
          <w:color w:val="000000"/>
          <w:sz w:val="20"/>
          <w:szCs w:val="20"/>
          <w:u w:color="000000"/>
        </w:rPr>
        <w:t>, Cornell (scheduled), Fordham (scheduled), USC (scheduled), Virtual Corporate Finance Seminar Series (scheduled), UW-Madison (scheduled)</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315412FD" w:rsidR="00F16308" w:rsidRPr="00E869C1"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24AA94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054CFC6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lastRenderedPageBreak/>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665E8"/>
    <w:rsid w:val="00475493"/>
    <w:rsid w:val="00497422"/>
    <w:rsid w:val="004B73B7"/>
    <w:rsid w:val="00507531"/>
    <w:rsid w:val="00525233"/>
    <w:rsid w:val="00581E52"/>
    <w:rsid w:val="005913F5"/>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F53F7"/>
    <w:rsid w:val="00803B07"/>
    <w:rsid w:val="008553DB"/>
    <w:rsid w:val="00865261"/>
    <w:rsid w:val="008862A3"/>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76D8C"/>
    <w:rsid w:val="00FA6DAD"/>
    <w:rsid w:val="00FB58BA"/>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21</cp:revision>
  <cp:lastPrinted>2021-04-27T22:39:00Z</cp:lastPrinted>
  <dcterms:created xsi:type="dcterms:W3CDTF">2021-02-24T01:24:00Z</dcterms:created>
  <dcterms:modified xsi:type="dcterms:W3CDTF">2021-06-19T14:29:00Z</dcterms:modified>
</cp:coreProperties>
</file>