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0E038B5E" w14:textId="5CAC9844" w:rsidR="00D97E47" w:rsidRDefault="00D97E47" w:rsidP="00606CB4">
      <w:pPr>
        <w:autoSpaceDE w:val="0"/>
        <w:autoSpaceDN w:val="0"/>
        <w:adjustRightInd w:val="0"/>
        <w:rPr>
          <w:rFonts w:asciiTheme="majorHAnsi" w:hAnsiTheme="majorHAnsi" w:cstheme="majorHAnsi"/>
          <w:b/>
          <w:bCs/>
          <w:color w:val="000000"/>
          <w:sz w:val="20"/>
          <w:szCs w:val="20"/>
        </w:rPr>
      </w:pPr>
      <w:r>
        <w:rPr>
          <w:rFonts w:asciiTheme="majorHAnsi" w:hAnsiTheme="majorHAnsi" w:cstheme="majorHAnsi"/>
          <w:color w:val="000000"/>
          <w:sz w:val="20"/>
          <w:szCs w:val="20"/>
        </w:rPr>
        <w:t>2022</w:t>
      </w:r>
      <w:r w:rsidRPr="00E869C1">
        <w:rPr>
          <w:rFonts w:asciiTheme="majorHAnsi" w:hAnsiTheme="majorHAnsi" w:cstheme="majorHAnsi"/>
          <w:color w:val="000000"/>
          <w:sz w:val="20"/>
          <w:szCs w:val="20"/>
        </w:rPr>
        <w:t>–</w:t>
      </w:r>
      <w:r>
        <w:rPr>
          <w:rFonts w:asciiTheme="majorHAnsi" w:hAnsiTheme="majorHAnsi" w:cstheme="majorHAnsi"/>
          <w:color w:val="000000"/>
          <w:sz w:val="20"/>
          <w:szCs w:val="20"/>
        </w:rPr>
        <w:t>present</w:t>
      </w:r>
      <w:r>
        <w:rPr>
          <w:rFonts w:asciiTheme="majorHAnsi" w:hAnsiTheme="majorHAnsi" w:cstheme="majorHAnsi"/>
          <w:color w:val="000000"/>
          <w:sz w:val="20"/>
          <w:szCs w:val="20"/>
        </w:rPr>
        <w:tab/>
      </w:r>
      <w:r w:rsidRPr="00D97E47">
        <w:rPr>
          <w:rFonts w:asciiTheme="majorHAnsi" w:hAnsiTheme="majorHAnsi" w:cstheme="majorHAnsi"/>
          <w:b/>
          <w:bCs/>
          <w:color w:val="000000"/>
          <w:sz w:val="20"/>
          <w:szCs w:val="20"/>
        </w:rPr>
        <w:t>Marshall Business School, University</w:t>
      </w:r>
      <w:r>
        <w:rPr>
          <w:rFonts w:asciiTheme="majorHAnsi" w:hAnsiTheme="majorHAnsi" w:cstheme="majorHAnsi"/>
          <w:b/>
          <w:bCs/>
          <w:color w:val="000000"/>
          <w:sz w:val="20"/>
          <w:szCs w:val="20"/>
        </w:rPr>
        <w:t xml:space="preserve"> of Southern California</w:t>
      </w:r>
    </w:p>
    <w:p w14:paraId="645A501A" w14:textId="5A995CBB" w:rsidR="00D97E47" w:rsidRDefault="00D97E47"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b/>
          <w:bCs/>
          <w:color w:val="000000"/>
          <w:sz w:val="20"/>
          <w:szCs w:val="20"/>
        </w:rPr>
        <w:tab/>
      </w:r>
      <w:r>
        <w:rPr>
          <w:rFonts w:asciiTheme="majorHAnsi" w:hAnsiTheme="majorHAnsi" w:cstheme="majorHAnsi"/>
          <w:b/>
          <w:bCs/>
          <w:color w:val="000000"/>
          <w:sz w:val="20"/>
          <w:szCs w:val="20"/>
        </w:rPr>
        <w:tab/>
      </w:r>
      <w:r>
        <w:rPr>
          <w:rFonts w:asciiTheme="majorHAnsi" w:hAnsiTheme="majorHAnsi" w:cstheme="majorHAnsi"/>
          <w:color w:val="000000"/>
          <w:sz w:val="20"/>
          <w:szCs w:val="20"/>
        </w:rPr>
        <w:t xml:space="preserve">Visiting </w:t>
      </w:r>
      <w:r>
        <w:rPr>
          <w:rFonts w:asciiTheme="majorHAnsi" w:hAnsiTheme="majorHAnsi" w:cstheme="majorHAnsi"/>
          <w:color w:val="000000"/>
          <w:sz w:val="20"/>
          <w:szCs w:val="20"/>
        </w:rPr>
        <w:t xml:space="preserve">Associate Professor </w:t>
      </w:r>
    </w:p>
    <w:p w14:paraId="07BF8409" w14:textId="77777777" w:rsidR="00D97E47" w:rsidRPr="00D97E47" w:rsidRDefault="00D97E47" w:rsidP="00606CB4">
      <w:pPr>
        <w:autoSpaceDE w:val="0"/>
        <w:autoSpaceDN w:val="0"/>
        <w:adjustRightInd w:val="0"/>
        <w:rPr>
          <w:rFonts w:asciiTheme="majorHAnsi" w:hAnsiTheme="majorHAnsi" w:cstheme="majorHAnsi"/>
          <w:b/>
          <w:bCs/>
          <w:color w:val="000000"/>
          <w:sz w:val="20"/>
          <w:szCs w:val="20"/>
        </w:rPr>
      </w:pPr>
    </w:p>
    <w:p w14:paraId="5EA15A8F" w14:textId="046767BE"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092D85EE"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2020</w:t>
      </w:r>
      <w:r w:rsidR="00D97E47">
        <w:rPr>
          <w:rFonts w:asciiTheme="majorHAnsi" w:hAnsiTheme="majorHAnsi" w:cstheme="majorHAnsi"/>
          <w:color w:val="000000"/>
          <w:sz w:val="20"/>
          <w:szCs w:val="20"/>
        </w:rPr>
        <w:t>-2022</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6895207C" w14:textId="77777777" w:rsidR="00905101" w:rsidRDefault="00905101" w:rsidP="00606CB4">
      <w:pPr>
        <w:autoSpaceDE w:val="0"/>
        <w:autoSpaceDN w:val="0"/>
        <w:adjustRightInd w:val="0"/>
        <w:rPr>
          <w:rFonts w:asciiTheme="majorHAnsi" w:hAnsiTheme="majorHAnsi" w:cstheme="majorHAnsi"/>
          <w:color w:val="000000"/>
          <w:sz w:val="20"/>
          <w:szCs w:val="20"/>
        </w:rPr>
      </w:pPr>
    </w:p>
    <w:p w14:paraId="3CE4DC53" w14:textId="237C09EA"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1ADFCAC8" w14:textId="48E20F91" w:rsidR="00F16308" w:rsidRDefault="00F16308" w:rsidP="00905101">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44E79468" w14:textId="528C33D0"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w:t>
      </w:r>
      <w:r w:rsidR="006B3E8E">
        <w:rPr>
          <w:rFonts w:asciiTheme="majorHAnsi" w:hAnsiTheme="majorHAnsi" w:cstheme="majorHAnsi"/>
          <w:color w:val="000000"/>
          <w:sz w:val="20"/>
          <w:szCs w:val="20"/>
        </w:rPr>
        <w:t>1</w:t>
      </w:r>
    </w:p>
    <w:p w14:paraId="795FBC76" w14:textId="579312E8"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accepted</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0232DA4"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w:t>
      </w:r>
      <w:r w:rsidR="006B3E8E">
        <w:rPr>
          <w:rFonts w:asciiTheme="majorHAnsi" w:hAnsiTheme="majorHAnsi" w:cstheme="majorHAnsi"/>
          <w:color w:val="000000"/>
          <w:sz w:val="20"/>
          <w:szCs w:val="20"/>
        </w:rPr>
        <w:t>1</w:t>
      </w:r>
    </w:p>
    <w:p w14:paraId="796CA392" w14:textId="5264F306"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76 (6)</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Malenko</w:t>
      </w:r>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5D485129" w14:textId="77777777"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38CE87AB" w14:textId="77777777" w:rsidR="00905101" w:rsidRDefault="00905101"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3C0C2404"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lastRenderedPageBreak/>
        <w:t>WORKING PAPERS</w:t>
      </w: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36BD0A2F" w14:textId="3638A195" w:rsidR="00A26D5E" w:rsidRDefault="00A26D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“Debt Maturity in Financial Networks”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Xiaobo Yu, 2022</w:t>
      </w:r>
    </w:p>
    <w:p w14:paraId="04A821B6" w14:textId="77777777" w:rsidR="00A25056" w:rsidRPr="00E869C1" w:rsidRDefault="00A25056" w:rsidP="00A25056">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59B9C35" w14:textId="2DC4773F" w:rsidR="00A26D5E" w:rsidRDefault="00A26D5E" w:rsidP="00606CB4">
      <w:pPr>
        <w:autoSpaceDE w:val="0"/>
        <w:autoSpaceDN w:val="0"/>
        <w:adjustRightInd w:val="0"/>
        <w:rPr>
          <w:rFonts w:asciiTheme="majorHAnsi" w:hAnsiTheme="majorHAnsi" w:cstheme="majorHAnsi"/>
          <w:color w:val="000000"/>
          <w:sz w:val="20"/>
          <w:szCs w:val="20"/>
        </w:rPr>
      </w:pPr>
    </w:p>
    <w:p w14:paraId="00779A81" w14:textId="5524C280" w:rsidR="00A26D5E" w:rsidRPr="00A820D0" w:rsidRDefault="00A26D5E" w:rsidP="00A26D5E">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2022</w:t>
      </w:r>
    </w:p>
    <w:p w14:paraId="076EEF7A" w14:textId="77777777" w:rsidR="00A26D5E" w:rsidRDefault="00A26D5E" w:rsidP="00A26D5E">
      <w:pPr>
        <w:autoSpaceDE w:val="0"/>
        <w:autoSpaceDN w:val="0"/>
        <w:adjustRightInd w:val="0"/>
        <w:rPr>
          <w:rFonts w:asciiTheme="majorHAnsi" w:hAnsiTheme="majorHAnsi" w:cstheme="majorHAnsi"/>
          <w:color w:val="000000"/>
          <w:sz w:val="20"/>
          <w:szCs w:val="20"/>
        </w:rPr>
      </w:pPr>
    </w:p>
    <w:p w14:paraId="651F6521" w14:textId="754D4F62" w:rsidR="00A26D5E" w:rsidRDefault="00A26D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2022</w:t>
      </w:r>
    </w:p>
    <w:p w14:paraId="63A96C5B" w14:textId="77777777" w:rsidR="00A26D5E" w:rsidRDefault="00A26D5E" w:rsidP="00606CB4">
      <w:pPr>
        <w:autoSpaceDE w:val="0"/>
        <w:autoSpaceDN w:val="0"/>
        <w:adjustRightInd w:val="0"/>
        <w:rPr>
          <w:rFonts w:asciiTheme="majorHAnsi" w:hAnsiTheme="majorHAnsi" w:cstheme="majorHAnsi"/>
          <w:color w:val="000000"/>
          <w:sz w:val="20"/>
          <w:szCs w:val="20"/>
        </w:rPr>
      </w:pPr>
    </w:p>
    <w:p w14:paraId="20A5D7B2" w14:textId="0D3C76E2"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53C992DA" w:rsidR="00F16308"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77139480" w14:textId="5CBE33A2" w:rsidR="008D5EC0" w:rsidRPr="001815AA" w:rsidRDefault="008D5EC0" w:rsidP="002B4E5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5/2016</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EIEF</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22CD4BD7" w14:textId="38E33BAA" w:rsidR="00EF1CC2" w:rsidRDefault="008D5EC0" w:rsidP="008D5EC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12/2021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Chicago Booth</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79459DD8" w14:textId="7A48A20F" w:rsidR="00736473" w:rsidRDefault="00736473"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2023</w:t>
      </w:r>
    </w:p>
    <w:p w14:paraId="64336CAE" w14:textId="76F28417" w:rsidR="00933494" w:rsidRPr="00933494" w:rsidRDefault="00933494" w:rsidP="00933494">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72CE69C4" w14:textId="5A18CCF7" w:rsidR="00736473" w:rsidRDefault="00736473"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u w:color="000000"/>
        </w:rPr>
      </w:pPr>
      <w:r>
        <w:rPr>
          <w:rFonts w:asciiTheme="majorHAnsi" w:hAnsiTheme="majorHAnsi" w:cstheme="majorHAnsi"/>
          <w:color w:val="000000"/>
          <w:sz w:val="20"/>
          <w:szCs w:val="20"/>
        </w:rPr>
        <w:t>Wharton (scheduled),</w:t>
      </w:r>
      <w:r>
        <w:rPr>
          <w:rFonts w:asciiTheme="majorHAnsi" w:hAnsiTheme="majorHAnsi" w:cstheme="majorHAnsi"/>
          <w:color w:val="000000"/>
          <w:sz w:val="20"/>
          <w:szCs w:val="20"/>
          <w:u w:color="000000"/>
        </w:rPr>
        <w:t xml:space="preserve"> Vienna Graduate School of Finance (scheduled)</w:t>
      </w:r>
      <w:r w:rsidR="00512D2A">
        <w:rPr>
          <w:rFonts w:asciiTheme="majorHAnsi" w:hAnsiTheme="majorHAnsi" w:cstheme="majorHAnsi"/>
          <w:color w:val="000000"/>
          <w:sz w:val="20"/>
          <w:szCs w:val="20"/>
          <w:u w:color="000000"/>
        </w:rPr>
        <w:t>, Bocconi (scheduled), Stockholm (scheduled)</w:t>
      </w:r>
    </w:p>
    <w:p w14:paraId="23C0409A" w14:textId="77777777" w:rsidR="00945456" w:rsidRPr="00E869C1" w:rsidRDefault="00945456" w:rsidP="00945456">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047BFDB2" w14:textId="2C45E23E" w:rsidR="00945456" w:rsidRPr="00736473" w:rsidRDefault="00945456"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AFA (scheduled)</w:t>
      </w:r>
    </w:p>
    <w:p w14:paraId="65CDC1E3" w14:textId="7EC55157"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292333C0" w14:textId="6BB511DC" w:rsidR="00777051" w:rsidRDefault="00777051" w:rsidP="00C63CC5">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1C7B0582" w14:textId="3E1307C5" w:rsidR="00777051" w:rsidRPr="00777051" w:rsidRDefault="00777051" w:rsidP="00C63CC5">
      <w:pPr>
        <w:autoSpaceDE w:val="0"/>
        <w:autoSpaceDN w:val="0"/>
        <w:adjustRightInd w:val="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Insead</w:t>
      </w:r>
      <w:proofErr w:type="spellEnd"/>
      <w:r>
        <w:rPr>
          <w:rFonts w:asciiTheme="majorHAnsi" w:hAnsiTheme="majorHAnsi" w:cstheme="majorHAnsi"/>
          <w:color w:val="000000"/>
          <w:sz w:val="20"/>
          <w:szCs w:val="20"/>
          <w:u w:color="000000"/>
        </w:rPr>
        <w:t>, KU Leuven</w:t>
      </w:r>
      <w:r w:rsidR="00657075">
        <w:rPr>
          <w:rFonts w:asciiTheme="majorHAnsi" w:hAnsiTheme="majorHAnsi" w:cstheme="majorHAnsi"/>
          <w:color w:val="000000"/>
          <w:sz w:val="20"/>
          <w:szCs w:val="20"/>
          <w:u w:color="000000"/>
        </w:rPr>
        <w:t>, Bundesbank</w:t>
      </w:r>
      <w:r w:rsidR="00736473">
        <w:rPr>
          <w:rFonts w:asciiTheme="majorHAnsi" w:hAnsiTheme="majorHAnsi" w:cstheme="majorHAnsi"/>
          <w:color w:val="000000"/>
          <w:sz w:val="20"/>
          <w:szCs w:val="20"/>
          <w:u w:color="000000"/>
        </w:rPr>
        <w:t xml:space="preserve">, Chinese University of Hong Kong, </w:t>
      </w:r>
      <w:r w:rsidR="00512D2A">
        <w:rPr>
          <w:rFonts w:asciiTheme="majorHAnsi" w:hAnsiTheme="majorHAnsi" w:cstheme="majorHAnsi"/>
          <w:color w:val="000000"/>
          <w:sz w:val="20"/>
          <w:szCs w:val="20"/>
          <w:u w:color="000000"/>
        </w:rPr>
        <w:t>Wisconsin</w:t>
      </w:r>
    </w:p>
    <w:p w14:paraId="07438986" w14:textId="5F06F649"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8E046BF" w14:textId="0025D42E" w:rsidR="00777051" w:rsidRPr="00FF46B3" w:rsidRDefault="00C63CC5" w:rsidP="00A04C6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AFA</w:t>
      </w:r>
      <w:r w:rsidR="00657075">
        <w:rPr>
          <w:rFonts w:asciiTheme="majorHAnsi" w:hAnsiTheme="majorHAnsi" w:cstheme="majorHAnsi"/>
          <w:color w:val="000000"/>
          <w:sz w:val="20"/>
          <w:szCs w:val="20"/>
        </w:rPr>
        <w:t xml:space="preserve">, AEA, </w:t>
      </w:r>
      <w:r w:rsidR="00736473">
        <w:rPr>
          <w:rFonts w:asciiTheme="majorHAnsi" w:hAnsiTheme="majorHAnsi" w:cstheme="majorHAnsi"/>
          <w:color w:val="000000"/>
          <w:sz w:val="20"/>
          <w:szCs w:val="20"/>
        </w:rPr>
        <w:t>OXFIT (invited speaker)</w:t>
      </w:r>
      <w:r w:rsidR="00736473">
        <w:rPr>
          <w:rFonts w:asciiTheme="majorHAnsi" w:hAnsiTheme="majorHAnsi" w:cstheme="majorHAnsi"/>
          <w:color w:val="000000"/>
          <w:sz w:val="20"/>
          <w:szCs w:val="20"/>
        </w:rPr>
        <w:t>, 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Corporate Finance Conference, </w:t>
      </w:r>
      <w:r w:rsidR="00945456">
        <w:rPr>
          <w:rFonts w:asciiTheme="majorHAnsi" w:hAnsiTheme="majorHAnsi" w:cstheme="majorHAnsi"/>
          <w:color w:val="000000"/>
          <w:sz w:val="20"/>
          <w:szCs w:val="20"/>
        </w:rPr>
        <w:t xml:space="preserve">Valpolicella Finance </w:t>
      </w:r>
      <w:r w:rsidR="00945456">
        <w:rPr>
          <w:rFonts w:asciiTheme="majorHAnsi" w:hAnsiTheme="majorHAnsi" w:cstheme="majorHAnsi"/>
          <w:color w:val="000000"/>
          <w:sz w:val="20"/>
          <w:szCs w:val="20"/>
        </w:rPr>
        <w:t xml:space="preserve">Meetings (2 papers), </w:t>
      </w:r>
      <w:r w:rsidR="00D9619B" w:rsidRPr="00D9619B">
        <w:rPr>
          <w:rFonts w:asciiTheme="majorHAnsi" w:hAnsiTheme="majorHAnsi" w:cstheme="majorHAnsi"/>
          <w:color w:val="000000"/>
          <w:sz w:val="20"/>
          <w:szCs w:val="20"/>
        </w:rPr>
        <w:t>4th Shanghai Financial Forefront Symposium (SFFS)</w:t>
      </w:r>
      <w:r w:rsidR="00D9619B" w:rsidRPr="00D9619B">
        <w:rPr>
          <w:rFonts w:asciiTheme="majorHAnsi" w:hAnsiTheme="majorHAnsi" w:cstheme="majorHAnsi"/>
          <w:color w:val="000000"/>
          <w:sz w:val="20"/>
          <w:szCs w:val="20"/>
        </w:rPr>
        <w:t xml:space="preserve">, </w:t>
      </w:r>
      <w:r w:rsidR="00736473">
        <w:rPr>
          <w:rFonts w:asciiTheme="majorHAnsi" w:hAnsiTheme="majorHAnsi" w:cstheme="majorHAnsi"/>
          <w:color w:val="000000"/>
          <w:sz w:val="20"/>
          <w:szCs w:val="20"/>
        </w:rPr>
        <w:t>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Law and Economics*, </w:t>
      </w:r>
      <w:r w:rsidR="00657075">
        <w:rPr>
          <w:rFonts w:asciiTheme="majorHAnsi" w:hAnsiTheme="majorHAnsi" w:cstheme="majorHAnsi"/>
          <w:color w:val="000000"/>
          <w:sz w:val="20"/>
          <w:szCs w:val="20"/>
        </w:rPr>
        <w:t>Secured Debt Conference*, Adam Smith Conference*, SFS*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Advances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in Macro-finance Tepper-LAEF Conference</w:t>
      </w:r>
      <w:r w:rsidR="00A04C60">
        <w:rPr>
          <w:rFonts w:asciiTheme="majorHAnsi" w:hAnsiTheme="majorHAnsi" w:cstheme="majorHAnsi"/>
          <w:color w:val="000000"/>
          <w:sz w:val="20"/>
          <w:szCs w:val="20"/>
        </w:rPr>
        <w:t>*</w:t>
      </w:r>
      <w:r w:rsidR="00736473">
        <w:rPr>
          <w:rFonts w:asciiTheme="majorHAnsi" w:hAnsiTheme="majorHAnsi" w:cstheme="majorHAnsi"/>
          <w:color w:val="000000"/>
          <w:sz w:val="20"/>
          <w:szCs w:val="20"/>
        </w:rPr>
        <w:t>, Vienna Theory Finance Conference*</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7AFFCDD5"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w:t>
      </w:r>
      <w:r w:rsidR="005919C1">
        <w:rPr>
          <w:rFonts w:asciiTheme="majorHAnsi" w:hAnsiTheme="majorHAnsi" w:cstheme="majorHAnsi"/>
          <w:color w:val="000000"/>
          <w:sz w:val="20"/>
          <w:szCs w:val="20"/>
          <w:u w:color="000000"/>
        </w:rPr>
        <w:t>Duke,</w:t>
      </w:r>
      <w:r w:rsidR="00421017">
        <w:rPr>
          <w:rFonts w:asciiTheme="majorHAnsi" w:hAnsiTheme="majorHAnsi" w:cstheme="majorHAnsi"/>
          <w:color w:val="000000"/>
          <w:sz w:val="20"/>
          <w:szCs w:val="20"/>
          <w:u w:color="000000"/>
        </w:rPr>
        <w:t xml:space="preserve"> </w:t>
      </w:r>
      <w:r w:rsidR="00DB5AC6">
        <w:rPr>
          <w:rFonts w:asciiTheme="majorHAnsi" w:hAnsiTheme="majorHAnsi" w:cstheme="majorHAnsi"/>
          <w:color w:val="000000"/>
          <w:sz w:val="20"/>
          <w:szCs w:val="20"/>
          <w:u w:color="000000"/>
        </w:rPr>
        <w:t>Tilburg University</w:t>
      </w:r>
      <w:r w:rsidR="00CD1F0B">
        <w:rPr>
          <w:rFonts w:asciiTheme="majorHAnsi" w:hAnsiTheme="majorHAnsi" w:cstheme="majorHAnsi"/>
          <w:color w:val="000000"/>
          <w:sz w:val="20"/>
          <w:szCs w:val="20"/>
          <w:u w:color="000000"/>
        </w:rPr>
        <w:t>, Cornell</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Fordham</w:t>
      </w:r>
      <w:r w:rsidR="00BB03A6">
        <w:rPr>
          <w:rFonts w:asciiTheme="majorHAnsi" w:hAnsiTheme="majorHAnsi" w:cstheme="majorHAnsi"/>
          <w:color w:val="000000"/>
          <w:sz w:val="20"/>
          <w:szCs w:val="20"/>
          <w:u w:color="000000"/>
        </w:rPr>
        <w:t>,</w:t>
      </w:r>
      <w:r w:rsidR="00CD1F0B">
        <w:rPr>
          <w:rFonts w:asciiTheme="majorHAnsi" w:hAnsiTheme="majorHAnsi" w:cstheme="majorHAnsi"/>
          <w:color w:val="000000"/>
          <w:sz w:val="20"/>
          <w:szCs w:val="20"/>
          <w:u w:color="000000"/>
        </w:rPr>
        <w:t xml:space="preserve"> USC</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Virtual Corporate Finance Seminar Series, UW-Madison</w:t>
      </w:r>
      <w:r w:rsidR="005919C1">
        <w:rPr>
          <w:rFonts w:asciiTheme="majorHAnsi" w:hAnsiTheme="majorHAnsi" w:cstheme="majorHAnsi"/>
          <w:color w:val="000000"/>
          <w:sz w:val="20"/>
          <w:szCs w:val="20"/>
          <w:u w:color="000000"/>
        </w:rPr>
        <w:t>, EDHEC</w:t>
      </w:r>
      <w:r w:rsidR="007E442F">
        <w:rPr>
          <w:rFonts w:asciiTheme="majorHAnsi" w:hAnsiTheme="majorHAnsi" w:cstheme="majorHAnsi"/>
          <w:color w:val="000000"/>
          <w:sz w:val="20"/>
          <w:szCs w:val="20"/>
          <w:u w:color="000000"/>
        </w:rPr>
        <w:t>, Warwick</w:t>
      </w:r>
      <w:r w:rsidR="00FD12DF">
        <w:rPr>
          <w:rFonts w:asciiTheme="majorHAnsi" w:hAnsiTheme="majorHAnsi" w:cstheme="majorHAnsi"/>
          <w:color w:val="000000"/>
          <w:sz w:val="20"/>
          <w:szCs w:val="20"/>
          <w:u w:color="000000"/>
        </w:rPr>
        <w:t>, HKU, Penn State</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11C8A63B" w:rsidR="001E6992"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599DEA2E" w14:textId="53FB26D3" w:rsidR="00777051" w:rsidRPr="004B73B7" w:rsidRDefault="00777051"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FRA</w:t>
      </w:r>
    </w:p>
    <w:p w14:paraId="3C177CE0" w14:textId="77777777"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lastRenderedPageBreak/>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39B3BDFE" w14:textId="0074CA52" w:rsidR="00473A6D" w:rsidRPr="00EF1CC2"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13F50454"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3964E6F" w14:textId="26B54A6D" w:rsidR="001E6992" w:rsidRPr="00473A6D" w:rsidRDefault="00F16308" w:rsidP="00473A6D">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E029FE1" w14:textId="10052BC9" w:rsidR="00EF1CC2" w:rsidRPr="00945456" w:rsidRDefault="00F16308" w:rsidP="00945456">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(Boston College), FIRS*, IDC, IMF, Jackson Hole Finance Conference, LAEF OTC Markets and Securities Workshop*, London Business School Female Economist Conference, Napa Conference in Financial </w:t>
      </w:r>
      <w:r w:rsidRPr="00E869C1">
        <w:rPr>
          <w:rFonts w:asciiTheme="majorHAnsi" w:hAnsiTheme="majorHAnsi" w:cstheme="majorHAnsi"/>
          <w:color w:val="000000"/>
          <w:sz w:val="20"/>
          <w:szCs w:val="20"/>
          <w:u w:color="000000"/>
        </w:rPr>
        <w:lastRenderedPageBreak/>
        <w:t>Markets, NBER Corporate Finance, SFS, Stanford GSB FRILLS, WFA Early Career Women in Finance Conference, WFA*, WAP FIN conference at NYU Stern, Wisconsin Money, Banking, and Asset Markets Conference</w:t>
      </w:r>
    </w:p>
    <w:p w14:paraId="2510DE9F" w14:textId="744BE0F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506E0CD" w14:textId="65BC321C" w:rsidR="003D3775" w:rsidRPr="00EF1CC2" w:rsidRDefault="00F16308" w:rsidP="00EF1CC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33829E7D"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607D4635" w14:textId="78EA0189" w:rsidR="00D243D6"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4A810951" w14:textId="2F4F732B" w:rsidR="00933494" w:rsidRDefault="00933494"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Bornstein, G. and </w:t>
      </w:r>
      <w:proofErr w:type="spellStart"/>
      <w:r>
        <w:rPr>
          <w:rFonts w:asciiTheme="majorHAnsi" w:hAnsiTheme="majorHAnsi" w:cstheme="majorHAnsi"/>
          <w:color w:val="000000"/>
          <w:sz w:val="20"/>
          <w:szCs w:val="20"/>
          <w:u w:color="000000"/>
        </w:rPr>
        <w:t>Indarte</w:t>
      </w:r>
      <w:proofErr w:type="spellEnd"/>
      <w:r>
        <w:rPr>
          <w:rFonts w:asciiTheme="majorHAnsi" w:hAnsiTheme="majorHAnsi" w:cstheme="majorHAnsi"/>
          <w:color w:val="000000"/>
          <w:sz w:val="20"/>
          <w:szCs w:val="20"/>
          <w:u w:color="000000"/>
        </w:rPr>
        <w:t xml:space="preserve">, S., The Impact of Social Insurance on Household Debt, Red Rock Conference </w:t>
      </w:r>
    </w:p>
    <w:p w14:paraId="4449ECD7" w14:textId="6EAE6003" w:rsidR="001D63CD" w:rsidRPr="001D63CD" w:rsidRDefault="001D63CD"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Oehmke</w:t>
      </w:r>
      <w:proofErr w:type="spellEnd"/>
      <w:r>
        <w:rPr>
          <w:rFonts w:asciiTheme="majorHAnsi" w:hAnsiTheme="majorHAnsi" w:cstheme="majorHAnsi"/>
          <w:color w:val="000000"/>
          <w:sz w:val="20"/>
          <w:szCs w:val="20"/>
          <w:u w:color="000000"/>
        </w:rPr>
        <w:t xml:space="preserve">, R. and </w:t>
      </w:r>
      <w:proofErr w:type="spellStart"/>
      <w:r>
        <w:rPr>
          <w:rFonts w:asciiTheme="majorHAnsi" w:hAnsiTheme="majorHAnsi" w:cstheme="majorHAnsi"/>
          <w:color w:val="000000"/>
          <w:sz w:val="20"/>
          <w:szCs w:val="20"/>
          <w:u w:color="000000"/>
        </w:rPr>
        <w:t>Opp</w:t>
      </w:r>
      <w:proofErr w:type="spellEnd"/>
      <w:r>
        <w:rPr>
          <w:rFonts w:asciiTheme="majorHAnsi" w:hAnsiTheme="majorHAnsi" w:cstheme="majorHAnsi"/>
          <w:color w:val="000000"/>
          <w:sz w:val="20"/>
          <w:szCs w:val="20"/>
          <w:u w:color="000000"/>
        </w:rPr>
        <w:t xml:space="preserve"> M., Green Capital Requirements, ASU Conference </w:t>
      </w:r>
    </w:p>
    <w:p w14:paraId="17D62205" w14:textId="32A6426F" w:rsid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xml:space="preserve">, A. and Viswanathan V., Collateral and Secured Debt, AFA </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1602001B"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xml:space="preserve">, A., Two Tales of Debt, NBER SI Corporate Finance </w:t>
      </w:r>
    </w:p>
    <w:p w14:paraId="0312C59C" w14:textId="65CACA39"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xml:space="preserve">, E. and Walther, A., Prudential Policy with Distorted Beliefs, MFS Spring </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5D0BDF5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proofErr w:type="gramStart"/>
      <w:r w:rsidRPr="00E869C1">
        <w:rPr>
          <w:rFonts w:asciiTheme="majorHAnsi" w:hAnsiTheme="majorHAnsi" w:cstheme="majorHAnsi"/>
          <w:color w:val="000000"/>
          <w:sz w:val="20"/>
          <w:szCs w:val="20"/>
          <w:u w:color="000000"/>
        </w:rPr>
        <w:t>Opp</w:t>
      </w:r>
      <w:proofErr w:type="spellEnd"/>
      <w:proofErr w:type="gram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Malenko: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6378618F"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1C439D11" w14:textId="77777777" w:rsidR="00473A6D" w:rsidRPr="00E869C1" w:rsidRDefault="00473A6D" w:rsidP="00606CB4">
      <w:pPr>
        <w:autoSpaceDE w:val="0"/>
        <w:autoSpaceDN w:val="0"/>
        <w:adjustRightInd w:val="0"/>
        <w:spacing w:after="80"/>
        <w:rPr>
          <w:rFonts w:asciiTheme="majorHAnsi" w:hAnsiTheme="majorHAnsi" w:cstheme="majorHAnsi"/>
          <w:color w:val="000000"/>
          <w:sz w:val="20"/>
          <w:szCs w:val="20"/>
          <w:u w:color="000000"/>
        </w:rPr>
      </w:pPr>
    </w:p>
    <w:p w14:paraId="0DBB3F4F" w14:textId="55D54AE7"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b/>
          <w:bCs/>
          <w:color w:val="000000"/>
          <w:sz w:val="20"/>
          <w:szCs w:val="20"/>
          <w:u w:color="000000"/>
        </w:rPr>
        <w:t>BOARDS</w:t>
      </w:r>
    </w:p>
    <w:p w14:paraId="72A76512" w14:textId="46B6C2B0"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Financial Intermediation Research Society (since 2021)</w:t>
      </w:r>
    </w:p>
    <w:p w14:paraId="6C57B6EC" w14:textId="5307F7FB"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Finance Theory Group (since 202</w:t>
      </w:r>
      <w:r w:rsidR="004C380D">
        <w:rPr>
          <w:rFonts w:asciiTheme="majorHAnsi" w:hAnsiTheme="majorHAnsi" w:cstheme="majorHAnsi"/>
          <w:color w:val="000000"/>
          <w:sz w:val="20"/>
          <w:szCs w:val="20"/>
          <w:u w:color="000000"/>
        </w:rPr>
        <w:t>0</w:t>
      </w:r>
      <w:r>
        <w:rPr>
          <w:rFonts w:asciiTheme="majorHAnsi" w:hAnsiTheme="majorHAnsi" w:cstheme="majorHAnsi"/>
          <w:color w:val="000000"/>
          <w:sz w:val="20"/>
          <w:szCs w:val="20"/>
          <w:u w:color="000000"/>
        </w:rPr>
        <w:t>)</w:t>
      </w:r>
    </w:p>
    <w:p w14:paraId="62A515D0" w14:textId="4BD65A51" w:rsidR="00F16308" w:rsidRDefault="00473A6D"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Macro Finance Society (since 2021)</w:t>
      </w:r>
    </w:p>
    <w:p w14:paraId="7953C06C" w14:textId="77777777" w:rsidR="000C0B5B" w:rsidRPr="00E869C1" w:rsidRDefault="000C0B5B"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1DA7164E"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w:t>
      </w:r>
      <w:r w:rsidR="000C0B5B">
        <w:rPr>
          <w:rFonts w:asciiTheme="majorHAnsi" w:hAnsiTheme="majorHAnsi" w:cstheme="majorHAnsi"/>
          <w:color w:val="000000"/>
          <w:sz w:val="20"/>
          <w:szCs w:val="20"/>
          <w:u w:color="000000"/>
        </w:rPr>
        <w:t>2</w:t>
      </w:r>
      <w:r w:rsidRPr="00E869C1">
        <w:rPr>
          <w:rFonts w:asciiTheme="majorHAnsi" w:hAnsiTheme="majorHAnsi" w:cstheme="majorHAnsi"/>
          <w:color w:val="000000"/>
          <w:sz w:val="20"/>
          <w:szCs w:val="20"/>
          <w:u w:color="000000"/>
        </w:rPr>
        <w:t xml:space="preserve">)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Society for Economic Dynamics (SED) (2018 and 2019) </w:t>
      </w:r>
    </w:p>
    <w:p w14:paraId="26C3AFDC" w14:textId="4C6E16B3"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669A6E5" w14:textId="0C7FDA17" w:rsidR="00FD12DF" w:rsidRPr="00E869C1" w:rsidRDefault="00FD12D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Utah Winter Finance Conference (2021-present)</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3A470C62" w14:textId="35B11F5C" w:rsidR="00D9619B" w:rsidRDefault="00D9619B"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CICF (2022)</w:t>
      </w:r>
    </w:p>
    <w:p w14:paraId="5914054D" w14:textId="179E9857" w:rsidR="0014236A" w:rsidRDefault="0014236A"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AEA (2022): session on “Sovereign Defaul</w:t>
      </w:r>
      <w:r w:rsidR="003D3775">
        <w:rPr>
          <w:rFonts w:asciiTheme="majorHAnsi" w:hAnsiTheme="majorHAnsi" w:cstheme="majorHAnsi"/>
          <w:color w:val="000000"/>
          <w:sz w:val="20"/>
          <w:szCs w:val="20"/>
          <w:u w:color="000000"/>
        </w:rPr>
        <w:t>t</w:t>
      </w:r>
      <w:r>
        <w:rPr>
          <w:rFonts w:asciiTheme="majorHAnsi" w:hAnsiTheme="majorHAnsi" w:cstheme="majorHAnsi"/>
          <w:color w:val="000000"/>
          <w:sz w:val="20"/>
          <w:szCs w:val="20"/>
          <w:u w:color="000000"/>
        </w:rPr>
        <w:t>”</w:t>
      </w:r>
    </w:p>
    <w:p w14:paraId="7FBE05A3" w14:textId="3CA9CC6B"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w:t>
      </w:r>
      <w:r w:rsidR="0014236A">
        <w:rPr>
          <w:rFonts w:asciiTheme="majorHAnsi" w:hAnsiTheme="majorHAnsi" w:cstheme="majorHAnsi"/>
          <w:color w:val="000000"/>
          <w:sz w:val="20"/>
          <w:szCs w:val="20"/>
          <w:u w:color="000000"/>
        </w:rPr>
        <w:t>F</w:t>
      </w:r>
      <w:r w:rsidRPr="00E869C1">
        <w:rPr>
          <w:rFonts w:asciiTheme="majorHAnsi" w:hAnsiTheme="majorHAnsi" w:cstheme="majorHAnsi"/>
          <w:color w:val="000000"/>
          <w:sz w:val="20"/>
          <w:szCs w:val="20"/>
          <w:u w:color="000000"/>
        </w:rPr>
        <w:t>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7695A74D" w14:textId="127C7A49" w:rsidR="00D243D6" w:rsidRPr="00E869C1" w:rsidRDefault="00D243D6"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Banca </w:t>
      </w:r>
      <w:proofErr w:type="spellStart"/>
      <w:r>
        <w:rPr>
          <w:rFonts w:asciiTheme="majorHAnsi" w:hAnsiTheme="majorHAnsi" w:cstheme="majorHAnsi"/>
          <w:color w:val="000000"/>
          <w:sz w:val="20"/>
          <w:szCs w:val="20"/>
          <w:u w:color="000000"/>
        </w:rPr>
        <w:t>d’Italia</w:t>
      </w:r>
      <w:proofErr w:type="spellEnd"/>
      <w:r>
        <w:rPr>
          <w:rFonts w:asciiTheme="majorHAnsi" w:hAnsiTheme="majorHAnsi" w:cstheme="majorHAnsi"/>
          <w:color w:val="000000"/>
          <w:sz w:val="20"/>
          <w:szCs w:val="20"/>
          <w:u w:color="000000"/>
        </w:rPr>
        <w:t xml:space="preserve"> </w:t>
      </w:r>
      <w:r w:rsidRPr="00D243D6">
        <w:rPr>
          <w:rFonts w:asciiTheme="majorHAnsi" w:hAnsiTheme="majorHAnsi" w:cstheme="majorHAnsi"/>
          <w:color w:val="000000"/>
          <w:sz w:val="20"/>
          <w:szCs w:val="20"/>
          <w:u w:color="000000"/>
        </w:rPr>
        <w:t>Workshop on effects of COVID-19 on Firms</w:t>
      </w:r>
      <w:r>
        <w:rPr>
          <w:rFonts w:asciiTheme="majorHAnsi" w:hAnsiTheme="majorHAnsi" w:cstheme="majorHAnsi"/>
          <w:color w:val="000000"/>
          <w:sz w:val="20"/>
          <w:szCs w:val="20"/>
          <w:u w:color="000000"/>
        </w:rPr>
        <w:t xml:space="preserve"> (2021)</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502D19F1"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3EF55B56" w14:textId="77777777" w:rsidR="002C4DAF" w:rsidRPr="00E869C1" w:rsidRDefault="002C4DAF"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5AD693DA"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American Finance Association Nominating Committee (2020</w:t>
      </w:r>
      <w:r w:rsidR="00EF1CC2">
        <w:rPr>
          <w:rFonts w:asciiTheme="majorHAnsi" w:hAnsiTheme="majorHAnsi" w:cstheme="majorHAnsi"/>
          <w:color w:val="000000"/>
          <w:sz w:val="20"/>
          <w:szCs w:val="20"/>
          <w:u w:color="000000"/>
        </w:rPr>
        <w:t>, 2023</w:t>
      </w:r>
      <w:r w:rsidRPr="00E869C1">
        <w:rPr>
          <w:rFonts w:asciiTheme="majorHAnsi" w:hAnsiTheme="majorHAnsi" w:cstheme="majorHAnsi"/>
          <w:color w:val="000000"/>
          <w:sz w:val="20"/>
          <w:szCs w:val="20"/>
          <w:u w:color="000000"/>
        </w:rPr>
        <w:t xml:space="preserve">)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895456">
    <w:abstractNumId w:val="0"/>
  </w:num>
  <w:num w:numId="2" w16cid:durableId="1815219644">
    <w:abstractNumId w:val="1"/>
  </w:num>
  <w:num w:numId="3" w16cid:durableId="1038163645">
    <w:abstractNumId w:val="3"/>
  </w:num>
  <w:num w:numId="4" w16cid:durableId="1743407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0B5B"/>
    <w:rsid w:val="000C2ED2"/>
    <w:rsid w:val="000C58CF"/>
    <w:rsid w:val="000E7A46"/>
    <w:rsid w:val="000F22AE"/>
    <w:rsid w:val="00103A59"/>
    <w:rsid w:val="0014236A"/>
    <w:rsid w:val="001815AA"/>
    <w:rsid w:val="00181D09"/>
    <w:rsid w:val="0018312A"/>
    <w:rsid w:val="0019005B"/>
    <w:rsid w:val="00196334"/>
    <w:rsid w:val="001A185E"/>
    <w:rsid w:val="001A5F9C"/>
    <w:rsid w:val="001D194F"/>
    <w:rsid w:val="001D63CD"/>
    <w:rsid w:val="001D6567"/>
    <w:rsid w:val="001E6992"/>
    <w:rsid w:val="00221D96"/>
    <w:rsid w:val="00234808"/>
    <w:rsid w:val="002B4E59"/>
    <w:rsid w:val="002C4DAF"/>
    <w:rsid w:val="00302F2B"/>
    <w:rsid w:val="0031483C"/>
    <w:rsid w:val="00336E99"/>
    <w:rsid w:val="003A0337"/>
    <w:rsid w:val="003A4D2B"/>
    <w:rsid w:val="003D1311"/>
    <w:rsid w:val="003D3775"/>
    <w:rsid w:val="003D5B79"/>
    <w:rsid w:val="003E1C54"/>
    <w:rsid w:val="004010ED"/>
    <w:rsid w:val="00421017"/>
    <w:rsid w:val="004665E8"/>
    <w:rsid w:val="00473A6D"/>
    <w:rsid w:val="00475493"/>
    <w:rsid w:val="00497422"/>
    <w:rsid w:val="004B73B7"/>
    <w:rsid w:val="004C380D"/>
    <w:rsid w:val="00507531"/>
    <w:rsid w:val="00512D2A"/>
    <w:rsid w:val="00525233"/>
    <w:rsid w:val="00581E52"/>
    <w:rsid w:val="005913F5"/>
    <w:rsid w:val="005919C1"/>
    <w:rsid w:val="005A0814"/>
    <w:rsid w:val="005C087E"/>
    <w:rsid w:val="005D677E"/>
    <w:rsid w:val="00601825"/>
    <w:rsid w:val="00604F87"/>
    <w:rsid w:val="00606CB4"/>
    <w:rsid w:val="006173F9"/>
    <w:rsid w:val="00657075"/>
    <w:rsid w:val="006B3E8E"/>
    <w:rsid w:val="00701E24"/>
    <w:rsid w:val="00702B86"/>
    <w:rsid w:val="00736473"/>
    <w:rsid w:val="00777051"/>
    <w:rsid w:val="00780288"/>
    <w:rsid w:val="007A16C9"/>
    <w:rsid w:val="007C0C87"/>
    <w:rsid w:val="007C372F"/>
    <w:rsid w:val="007D44F7"/>
    <w:rsid w:val="007D73A6"/>
    <w:rsid w:val="007E442F"/>
    <w:rsid w:val="007F53F7"/>
    <w:rsid w:val="00803B07"/>
    <w:rsid w:val="008553DB"/>
    <w:rsid w:val="00865261"/>
    <w:rsid w:val="008862A3"/>
    <w:rsid w:val="008A36CB"/>
    <w:rsid w:val="008A478B"/>
    <w:rsid w:val="008B5D26"/>
    <w:rsid w:val="008C026B"/>
    <w:rsid w:val="008C0D08"/>
    <w:rsid w:val="008D5EC0"/>
    <w:rsid w:val="008E2257"/>
    <w:rsid w:val="008E31D4"/>
    <w:rsid w:val="008F6235"/>
    <w:rsid w:val="00905101"/>
    <w:rsid w:val="00905AC4"/>
    <w:rsid w:val="00933494"/>
    <w:rsid w:val="00945456"/>
    <w:rsid w:val="00975C92"/>
    <w:rsid w:val="00981712"/>
    <w:rsid w:val="0099216A"/>
    <w:rsid w:val="009A47AE"/>
    <w:rsid w:val="009A54F8"/>
    <w:rsid w:val="009C2FD8"/>
    <w:rsid w:val="009D6F15"/>
    <w:rsid w:val="00A018CE"/>
    <w:rsid w:val="00A02FB2"/>
    <w:rsid w:val="00A04C60"/>
    <w:rsid w:val="00A123AC"/>
    <w:rsid w:val="00A25056"/>
    <w:rsid w:val="00A26D5E"/>
    <w:rsid w:val="00A43483"/>
    <w:rsid w:val="00A820D0"/>
    <w:rsid w:val="00AB08E2"/>
    <w:rsid w:val="00AC7573"/>
    <w:rsid w:val="00B0668B"/>
    <w:rsid w:val="00B256AE"/>
    <w:rsid w:val="00B41EB6"/>
    <w:rsid w:val="00B535A0"/>
    <w:rsid w:val="00B5448F"/>
    <w:rsid w:val="00BB03A6"/>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243D6"/>
    <w:rsid w:val="00D7150C"/>
    <w:rsid w:val="00D93540"/>
    <w:rsid w:val="00D9619B"/>
    <w:rsid w:val="00D97E47"/>
    <w:rsid w:val="00DB5AC6"/>
    <w:rsid w:val="00E01977"/>
    <w:rsid w:val="00E24DB8"/>
    <w:rsid w:val="00E439A7"/>
    <w:rsid w:val="00E465B2"/>
    <w:rsid w:val="00E53CBC"/>
    <w:rsid w:val="00E62917"/>
    <w:rsid w:val="00E761F4"/>
    <w:rsid w:val="00E869BB"/>
    <w:rsid w:val="00E869C1"/>
    <w:rsid w:val="00EB6190"/>
    <w:rsid w:val="00EF1CC2"/>
    <w:rsid w:val="00F16308"/>
    <w:rsid w:val="00F16ED1"/>
    <w:rsid w:val="00F563D8"/>
    <w:rsid w:val="00F6358E"/>
    <w:rsid w:val="00F76D8C"/>
    <w:rsid w:val="00FA6DAD"/>
    <w:rsid w:val="00FB58BA"/>
    <w:rsid w:val="00FD12DF"/>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2563</Words>
  <Characters>14614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49</cp:revision>
  <cp:lastPrinted>2022-01-15T20:39:00Z</cp:lastPrinted>
  <dcterms:created xsi:type="dcterms:W3CDTF">2021-02-24T01:24:00Z</dcterms:created>
  <dcterms:modified xsi:type="dcterms:W3CDTF">2022-09-21T18:28:00Z</dcterms:modified>
</cp:coreProperties>
</file>