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5VEX</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204-217.</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I3175.47bC–G3616.50bC engineered SH bond (10.1038/nature22378)</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