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662.65pt" o:ole="">
            <v:imagedata r:id="rId8" o:title=""/>
          </v:shape>
          <o:OLEObject Type="Embed" ProgID="Word.OpenDocumentText.12" ShapeID="_x0000_i1025" DrawAspect="Content" ObjectID="_1751035755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C330A1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Pr="001836D6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B9BD80" w14:textId="7AA5989F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Pr="001836D6">
          <w:rPr>
            <w:rStyle w:val="Collegamentoipertestuale"/>
            <w:noProof/>
          </w:rPr>
          <w:t>1.1.1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Container Management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A7B229" w14:textId="60D74A46" w:rsidR="00C330A1" w:rsidRDefault="00C330A1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Pr="001836D6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Isolamento processi in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6AC6DC" w14:textId="449F19D4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Pr="001836D6">
          <w:rPr>
            <w:rStyle w:val="Collegamentoipertestuale"/>
            <w:noProof/>
          </w:rPr>
          <w:t>1.2.1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Pr="001836D6">
          <w:rPr>
            <w:rStyle w:val="Collegamentoipertestuale"/>
            <w:noProof/>
          </w:rPr>
          <w:t>indirizzi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B920E" w14:textId="596D0239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Pr="001836D6">
          <w:rPr>
            <w:rStyle w:val="Collegamentoipertestuale"/>
            <w:noProof/>
          </w:rPr>
          <w:t>1.2.2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Gruppi di controllo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FEFC66" w14:textId="6727A5F3" w:rsidR="00C330A1" w:rsidRDefault="00C330A1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Pr="001836D6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Sicurezza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5C2AD" w14:textId="3AD0D842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Pr="001836D6">
          <w:rPr>
            <w:rStyle w:val="Collegamentoipertestuale"/>
            <w:noProof/>
          </w:rPr>
          <w:t>1.3.1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Moduli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A36CC" w14:textId="6226C17E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Pr="001836D6">
          <w:rPr>
            <w:rStyle w:val="Collegamentoipertestuale"/>
            <w:noProof/>
          </w:rPr>
          <w:t>1.3.2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Secure Computing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0502AD" w14:textId="005BB432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Pr="001836D6">
          <w:rPr>
            <w:rStyle w:val="Collegamentoipertestuale"/>
            <w:noProof/>
            <w:lang w:val="en-US"/>
          </w:rPr>
          <w:t>1.3.3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  <w:lang w:val="en-US"/>
          </w:rPr>
          <w:t>Linux Security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44AD7F" w14:textId="239BE737" w:rsidR="00C330A1" w:rsidRDefault="00C330A1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Pr="001836D6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0A458" w14:textId="056DDAA4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Pr="001836D6">
          <w:rPr>
            <w:rStyle w:val="Collegamentoipertestuale"/>
            <w:noProof/>
          </w:rPr>
          <w:t>1.4.1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Architettura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6DC18D" w14:textId="3E263E0C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Pr="001836D6">
          <w:rPr>
            <w:rStyle w:val="Collegamentoipertestuale"/>
            <w:noProof/>
          </w:rPr>
          <w:t>1.4.2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Isolamento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A7022E" w14:textId="5073B303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Pr="001836D6">
          <w:rPr>
            <w:rStyle w:val="Collegamentoipertestuale"/>
            <w:noProof/>
          </w:rPr>
          <w:t>1.4.3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Immagine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B953F" w14:textId="6194208C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Pr="001836D6">
          <w:rPr>
            <w:rStyle w:val="Collegamentoipertestuale"/>
            <w:noProof/>
          </w:rPr>
          <w:t>1.4.4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Filesystem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697983" w14:textId="48FC6C80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Pr="001836D6">
          <w:rPr>
            <w:rStyle w:val="Collegamentoipertestuale"/>
            <w:noProof/>
          </w:rPr>
          <w:t>1.4.5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Networking in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677871" w14:textId="65211FE2" w:rsidR="00C330A1" w:rsidRDefault="00C330A1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Pr="001836D6">
          <w:rPr>
            <w:rStyle w:val="Collegamentoipertestuale"/>
            <w:noProof/>
          </w:rPr>
          <w:t>1.4.6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sicurezza del container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848FCB" w14:textId="639C6E5D" w:rsidR="00C330A1" w:rsidRDefault="00C330A1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Pr="001836D6">
          <w:rPr>
            <w:rStyle w:val="Collegamentoipertestuale"/>
            <w:noProof/>
          </w:rPr>
          <w:t>1.5</w:t>
        </w:r>
        <w:r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Pr="001836D6">
          <w:rPr>
            <w:rStyle w:val="Collegamentoipertestuale"/>
            <w:noProof/>
          </w:rPr>
          <w:t>Container Escape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8D4B9D" w14:textId="198AF09A" w:rsidR="00C330A1" w:rsidRDefault="00C330A1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Pr="001836D6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_Toc140419764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7F671127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</w:t>
        </w:r>
        <w:r w:rsidR="00084558">
          <w:rPr>
            <w:b/>
            <w:bCs/>
            <w:noProof/>
          </w:rPr>
          <w:t xml:space="preserve"> dell’</w:t>
        </w:r>
        <w:r w:rsidR="00581BCF">
          <w:rPr>
            <w:b/>
            <w:bCs/>
            <w:noProof/>
          </w:rPr>
          <w:t>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1277B2F9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sdt>
        <w:sdtPr>
          <w:id w:val="-1558779545"/>
          <w:citation/>
        </w:sdtPr>
        <w:sdtContent>
          <w:r w:rsidR="00390B75">
            <w:fldChar w:fldCharType="begin"/>
          </w:r>
          <w:r w:rsidR="00390B75">
            <w:instrText xml:space="preserve"> CITATION Red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[1]</w:t>
          </w:r>
          <w:r w:rsidR="00390B75">
            <w:fldChar w:fldCharType="end"/>
          </w:r>
        </w:sdtContent>
      </w:sdt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sdt>
        <w:sdtPr>
          <w:id w:val="1570777729"/>
          <w:citation/>
        </w:sdtPr>
        <w:sdtContent>
          <w:r w:rsidR="00390B75">
            <w:fldChar w:fldCharType="begin"/>
          </w:r>
          <w:r w:rsidR="00390B75">
            <w:instrText xml:space="preserve"> CITATION Aqu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[2]</w:t>
          </w:r>
          <w:r w:rsidR="00390B75">
            <w:fldChar w:fldCharType="end"/>
          </w:r>
        </w:sdtContent>
      </w:sdt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6F6E66BE" w14:textId="16C464F1" w:rsidR="00983A44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  <w:r w:rsidR="00983A44">
        <w:t xml:space="preserve"> Un esempio di framework </w:t>
      </w:r>
      <w:proofErr w:type="spellStart"/>
      <w:r w:rsidR="00983A44" w:rsidRPr="00983A44">
        <w:rPr>
          <w:i/>
          <w:iCs/>
        </w:rPr>
        <w:t>daemon-based</w:t>
      </w:r>
      <w:proofErr w:type="spellEnd"/>
      <w:r w:rsidR="00983A44">
        <w:t xml:space="preserve"> è il framework Docker, mentre un esempio di framework </w:t>
      </w:r>
      <w:proofErr w:type="spellStart"/>
      <w:r w:rsidR="00983A44" w:rsidRPr="00983A44">
        <w:rPr>
          <w:i/>
          <w:iCs/>
        </w:rPr>
        <w:t>daemonless</w:t>
      </w:r>
      <w:proofErr w:type="spellEnd"/>
      <w:r w:rsidR="00983A44">
        <w:t xml:space="preserve"> è il framework </w:t>
      </w:r>
      <w:proofErr w:type="spellStart"/>
      <w:r w:rsidR="00983A44">
        <w:t>Podman</w:t>
      </w:r>
      <w:proofErr w:type="spellEnd"/>
      <w:r w:rsidR="00D835D0">
        <w:t xml:space="preserve"> </w:t>
      </w:r>
      <w:sdt>
        <w:sdtPr>
          <w:id w:val="912124387"/>
          <w:citation/>
        </w:sdtPr>
        <w:sdtContent>
          <w:r w:rsidR="00D835D0">
            <w:fldChar w:fldCharType="begin"/>
          </w:r>
          <w:r w:rsidR="00533191">
            <w:instrText xml:space="preserve">CITATION AQu \l 1040 </w:instrText>
          </w:r>
          <w:r w:rsidR="00D835D0">
            <w:fldChar w:fldCharType="separate"/>
          </w:r>
          <w:r w:rsidR="00E6537A" w:rsidRPr="00E6537A">
            <w:rPr>
              <w:noProof/>
            </w:rPr>
            <w:t>[3]</w:t>
          </w:r>
          <w:r w:rsidR="00D835D0">
            <w:fldChar w:fldCharType="end"/>
          </w:r>
        </w:sdtContent>
      </w:sdt>
      <w:r w:rsidR="00983A44">
        <w:t>.</w:t>
      </w:r>
    </w:p>
    <w:p w14:paraId="107D0D20" w14:textId="256F251C" w:rsidR="00983A44" w:rsidRDefault="00983A44" w:rsidP="00983A44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1C98C986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sdt>
        <w:sdtPr>
          <w:id w:val="-1350481809"/>
          <w:citation/>
        </w:sdtPr>
        <w:sdtContent>
          <w:r w:rsidR="00390B75">
            <w:fldChar w:fldCharType="begin"/>
          </w:r>
          <w:r w:rsidR="00390B75">
            <w:instrText xml:space="preserve"> CITATION nam \l 1040 </w:instrText>
          </w:r>
          <w:r w:rsidR="00390B75">
            <w:fldChar w:fldCharType="separate"/>
          </w:r>
          <w:r w:rsidR="00E6537A" w:rsidRPr="00E6537A">
            <w:rPr>
              <w:noProof/>
            </w:rPr>
            <w:t>[4]</w:t>
          </w:r>
          <w:r w:rsidR="00390B75">
            <w:fldChar w:fldCharType="end"/>
          </w:r>
        </w:sdtContent>
      </w:sdt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1246E176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sdt>
        <w:sdtPr>
          <w:id w:val="-136654014"/>
          <w:citation/>
        </w:sdtPr>
        <w:sdtContent>
          <w:r w:rsidR="00F24092">
            <w:fldChar w:fldCharType="begin"/>
          </w:r>
          <w:r w:rsidR="00F24092">
            <w:instrText xml:space="preserve"> CITATION Lin \l 1040 </w:instrText>
          </w:r>
          <w:r w:rsidR="00F24092">
            <w:fldChar w:fldCharType="separate"/>
          </w:r>
          <w:r w:rsidR="00E6537A" w:rsidRPr="00E6537A">
            <w:rPr>
              <w:noProof/>
            </w:rPr>
            <w:t>[5]</w:t>
          </w:r>
          <w:r w:rsidR="00F24092">
            <w:fldChar w:fldCharType="end"/>
          </w:r>
        </w:sdtContent>
      </w:sdt>
      <w:r w:rsidR="00F24092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A3BAC16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>kernel</w:t>
      </w:r>
      <w:r w:rsidR="00084558">
        <w:t xml:space="preserve">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sdt>
        <w:sdtPr>
          <w:id w:val="670759730"/>
          <w:citation/>
        </w:sdtPr>
        <w:sdtContent>
          <w:r w:rsidR="00D835D0">
            <w:fldChar w:fldCharType="begin"/>
          </w:r>
          <w:r w:rsidR="00D835D0">
            <w:instrText xml:space="preserve"> CITATION Cha \l 1040 </w:instrText>
          </w:r>
          <w:r w:rsidR="00D835D0">
            <w:fldChar w:fldCharType="separate"/>
          </w:r>
          <w:r w:rsidR="00E6537A" w:rsidRPr="00E6537A">
            <w:rPr>
              <w:noProof/>
            </w:rPr>
            <w:t>[6]</w:t>
          </w:r>
          <w:r w:rsidR="00D835D0">
            <w:fldChar w:fldCharType="end"/>
          </w:r>
        </w:sdtContent>
      </w:sdt>
      <w:r>
        <w:t>.</w:t>
      </w:r>
    </w:p>
    <w:p w14:paraId="51EA3AB6" w14:textId="390F76B4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sdt>
        <w:sdtPr>
          <w:rPr>
            <w:i/>
            <w:iCs/>
          </w:rPr>
          <w:id w:val="-1619757854"/>
          <w:citation/>
        </w:sdtPr>
        <w:sdtContent>
          <w:r w:rsidR="009C31E2">
            <w:rPr>
              <w:i/>
              <w:iCs/>
            </w:rPr>
            <w:fldChar w:fldCharType="begin"/>
          </w:r>
          <w:r w:rsidR="009C31E2">
            <w:instrText xml:space="preserve"> CITATION 12D \l 1040 </w:instrText>
          </w:r>
          <w:r w:rsidR="009C31E2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[7]</w:t>
          </w:r>
          <w:r w:rsidR="009C31E2">
            <w:rPr>
              <w:i/>
              <w:iCs/>
            </w:rPr>
            <w:fldChar w:fldCharType="end"/>
          </w:r>
        </w:sdtContent>
      </w:sdt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3B1B102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virtuali.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492F30E5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D70080">
        <w:t>;</w:t>
      </w:r>
    </w:p>
    <w:p w14:paraId="4DD20301" w14:textId="025E157E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sdt>
        <w:sdtPr>
          <w:id w:val="1165901495"/>
          <w:citation/>
        </w:sdtPr>
        <w:sdtContent>
          <w:r>
            <w:fldChar w:fldCharType="begin"/>
          </w:r>
          <w:r>
            <w:instrText xml:space="preserve"> CITATION PRO \l 1040 </w:instrText>
          </w:r>
          <w:r>
            <w:fldChar w:fldCharType="separate"/>
          </w:r>
          <w:r w:rsidR="00E6537A" w:rsidRPr="00E6537A">
            <w:rPr>
              <w:noProof/>
            </w:rPr>
            <w:t>[8]</w:t>
          </w:r>
          <w:r>
            <w:fldChar w:fldCharType="end"/>
          </w:r>
        </w:sdtContent>
      </w:sdt>
      <w:r>
        <w:t>.</w:t>
      </w:r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960532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sdt>
        <w:sdtPr>
          <w:id w:val="-396740571"/>
          <w:citation/>
        </w:sdtPr>
        <w:sdtContent>
          <w:r>
            <w:fldChar w:fldCharType="begin"/>
          </w:r>
          <w:r>
            <w:instrText xml:space="preserve"> CITATION Und \l 1040 </w:instrText>
          </w:r>
          <w:r>
            <w:fldChar w:fldCharType="separate"/>
          </w:r>
          <w:r w:rsidR="00E6537A" w:rsidRPr="00E6537A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0AB5117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sdt>
        <w:sdtPr>
          <w:id w:val="186641899"/>
          <w:citation/>
        </w:sdtPr>
        <w:sdtContent>
          <w:r>
            <w:fldChar w:fldCharType="begin"/>
          </w:r>
          <w:r>
            <w:instrText xml:space="preserve"> CITATION cap \l 1040 </w:instrText>
          </w:r>
          <w:r>
            <w:fldChar w:fldCharType="separate"/>
          </w:r>
          <w:r w:rsidR="00E6537A" w:rsidRPr="00E6537A">
            <w:rPr>
              <w:noProof/>
            </w:rPr>
            <w:t>[10]</w:t>
          </w:r>
          <w:r>
            <w:fldChar w:fldCharType="end"/>
          </w:r>
        </w:sdtContent>
      </w:sdt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345AE3A3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sdt>
        <w:sdtPr>
          <w:id w:val="-1262446002"/>
          <w:citation/>
        </w:sdtPr>
        <w:sdtContent>
          <w:r w:rsidR="00B90645">
            <w:fldChar w:fldCharType="begin"/>
          </w:r>
          <w:r w:rsidR="00B90645">
            <w:instrText xml:space="preserve"> CITATION Sec1 \l 1040 </w:instrText>
          </w:r>
          <w:r w:rsidR="00B90645">
            <w:fldChar w:fldCharType="separate"/>
          </w:r>
          <w:r w:rsidR="00E6537A" w:rsidRPr="00E6537A">
            <w:rPr>
              <w:noProof/>
            </w:rPr>
            <w:t>[11]</w:t>
          </w:r>
          <w:r w:rsidR="00B90645">
            <w:fldChar w:fldCharType="end"/>
          </w:r>
        </w:sdtContent>
      </w:sdt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04093FDF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sdt>
        <w:sdtPr>
          <w:id w:val="1695960511"/>
          <w:citation/>
        </w:sdtPr>
        <w:sdtContent>
          <w:r w:rsidR="00B90645">
            <w:fldChar w:fldCharType="begin"/>
          </w:r>
          <w:r w:rsidR="00B90645">
            <w:instrText xml:space="preserve"> CITATION sec \l 1040 </w:instrText>
          </w:r>
          <w:r w:rsidR="00B90645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[12]</w:t>
          </w:r>
          <w:r w:rsidR="00B90645">
            <w:fldChar w:fldCharType="end"/>
          </w:r>
        </w:sdtContent>
      </w:sdt>
      <w:r>
        <w:t>.</w:t>
      </w:r>
    </w:p>
    <w:p w14:paraId="249EA016" w14:textId="754F1EF9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sdt>
        <w:sdtPr>
          <w:id w:val="-1137187859"/>
          <w:citation/>
        </w:sdtPr>
        <w:sdtContent>
          <w:r w:rsidR="00B90645">
            <w:fldChar w:fldCharType="begin"/>
          </w:r>
          <w:r w:rsidR="00B90645">
            <w:instrText xml:space="preserve"> CITATION Ase \l 1040 </w:instrText>
          </w:r>
          <w:r w:rsidR="00B90645">
            <w:fldChar w:fldCharType="separate"/>
          </w:r>
          <w:r w:rsidR="00E6537A" w:rsidRPr="00E6537A">
            <w:rPr>
              <w:noProof/>
            </w:rPr>
            <w:t>[13]</w:t>
          </w:r>
          <w:r w:rsidR="00B90645">
            <w:fldChar w:fldCharType="end"/>
          </w:r>
        </w:sdtContent>
      </w:sdt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225CB2E0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78468315"/>
          <w:citation/>
        </w:sdtPr>
        <w:sdtContent>
          <w:r w:rsidR="0037092D">
            <w:rPr>
              <w:color w:val="000000" w:themeColor="text1"/>
            </w:rPr>
            <w:fldChar w:fldCharType="begin"/>
          </w:r>
          <w:r w:rsidR="0037092D">
            <w:rPr>
              <w:color w:val="000000" w:themeColor="text1"/>
            </w:rPr>
            <w:instrText xml:space="preserve"> CITATION Lin1 \l 1040 </w:instrText>
          </w:r>
          <w:r w:rsidR="0037092D">
            <w:rPr>
              <w:color w:val="000000" w:themeColor="text1"/>
            </w:rPr>
            <w:fldChar w:fldCharType="separate"/>
          </w:r>
          <w:r w:rsidR="00E6537A" w:rsidRPr="00E6537A">
            <w:rPr>
              <w:noProof/>
              <w:color w:val="000000" w:themeColor="text1"/>
            </w:rPr>
            <w:t>[14]</w:t>
          </w:r>
          <w:r w:rsidR="0037092D">
            <w:rPr>
              <w:color w:val="000000" w:themeColor="text1"/>
            </w:rPr>
            <w:fldChar w:fldCharType="end"/>
          </w:r>
        </w:sdtContent>
      </w:sdt>
      <w:r w:rsidRPr="0015788A">
        <w:rPr>
          <w:color w:val="000000" w:themeColor="text1"/>
        </w:rPr>
        <w:t>.</w:t>
      </w:r>
    </w:p>
    <w:p w14:paraId="5A8FDD86" w14:textId="734CF39B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sdt>
        <w:sdtPr>
          <w:id w:val="999852946"/>
          <w:citation/>
        </w:sdtPr>
        <w:sdtContent>
          <w:r w:rsidR="00327F1E">
            <w:fldChar w:fldCharType="begin"/>
          </w:r>
          <w:r w:rsidR="00327F1E">
            <w:instrText xml:space="preserve"> CITATION How \l 1040 </w:instrText>
          </w:r>
          <w:r w:rsidR="00327F1E">
            <w:fldChar w:fldCharType="separate"/>
          </w:r>
          <w:r w:rsidR="00E6537A" w:rsidRPr="00E6537A">
            <w:rPr>
              <w:noProof/>
            </w:rPr>
            <w:t>[15]</w:t>
          </w:r>
          <w:r w:rsidR="00327F1E">
            <w:fldChar w:fldCharType="end"/>
          </w:r>
        </w:sdtContent>
      </w:sdt>
      <w:r w:rsidR="008E34A0">
        <w:t>.</w:t>
      </w:r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5DC81DC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sdt>
        <w:sdtPr>
          <w:id w:val="-1756969197"/>
          <w:citation/>
        </w:sdtPr>
        <w:sdtContent>
          <w:r w:rsidR="00AF081F">
            <w:fldChar w:fldCharType="begin"/>
          </w:r>
          <w:r w:rsidR="00AF081F">
            <w:instrText xml:space="preserve"> CITATION Qui1 \l 1040 </w:instrText>
          </w:r>
          <w:r w:rsidR="00AF081F">
            <w:fldChar w:fldCharType="separate"/>
          </w:r>
          <w:r w:rsidR="00E6537A" w:rsidRPr="00E6537A">
            <w:rPr>
              <w:noProof/>
            </w:rPr>
            <w:t>[16]</w:t>
          </w:r>
          <w:r w:rsidR="00AF081F">
            <w:fldChar w:fldCharType="end"/>
          </w:r>
        </w:sdtContent>
      </w:sdt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3003B4F1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sdt>
        <w:sdtPr>
          <w:id w:val="2144992563"/>
          <w:citation/>
        </w:sdtPr>
        <w:sdtContent>
          <w:r w:rsidR="00AF081F">
            <w:fldChar w:fldCharType="begin"/>
          </w:r>
          <w:r w:rsidR="00AF081F">
            <w:instrText xml:space="preserve"> CITATION Qui \l 1040 </w:instrText>
          </w:r>
          <w:r w:rsidR="00AF081F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[17]</w:t>
          </w:r>
          <w:r w:rsidR="00AF081F">
            <w:fldChar w:fldCharType="end"/>
          </w:r>
        </w:sdtContent>
      </w:sdt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0BE4081D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sdt>
        <w:sdtPr>
          <w:id w:val="1221330614"/>
          <w:citation/>
        </w:sdtPr>
        <w:sdtContent>
          <w:r w:rsidR="00887142">
            <w:fldChar w:fldCharType="begin"/>
          </w:r>
          <w:r w:rsidR="00887142">
            <w:instrText xml:space="preserve"> CITATION Doc1 \l 1040 </w:instrText>
          </w:r>
          <w:r w:rsidR="00887142">
            <w:fldChar w:fldCharType="separate"/>
          </w:r>
          <w:r w:rsidR="00E6537A" w:rsidRPr="00E6537A">
            <w:rPr>
              <w:noProof/>
            </w:rPr>
            <w:t>[18]</w:t>
          </w:r>
          <w:r w:rsidR="00887142">
            <w:fldChar w:fldCharType="end"/>
          </w:r>
        </w:sdtContent>
      </w:sdt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70FAB457" w14:textId="006DFF91" w:rsidR="00A176F4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>: le componenti del framework Docker sono di proprietà</w:t>
      </w:r>
      <w:r w:rsidR="00084558">
        <w:t xml:space="preserve"> dell’</w:t>
      </w:r>
      <w:r w:rsidR="00A176F4">
        <w:t xml:space="preserve">utente root (UID=0), mentre appartengono al gruppo </w:t>
      </w:r>
      <w:r w:rsidR="00F64751">
        <w:t>“</w:t>
      </w:r>
      <w:proofErr w:type="spellStart"/>
      <w:r w:rsidR="00A176F4">
        <w:t>docker</w:t>
      </w:r>
      <w:proofErr w:type="spellEnd"/>
      <w:r w:rsidR="00F64751">
        <w:t>”</w:t>
      </w:r>
      <w:r w:rsidR="00A176F4">
        <w:t xml:space="preserve"> (il suo GID varia da sistema a sistema) o al gruppo root (GID=0).</w:t>
      </w:r>
    </w:p>
    <w:p w14:paraId="0B42A3F7" w14:textId="58552AE0" w:rsidR="007E34D2" w:rsidRPr="004765F0" w:rsidRDefault="00A176F4" w:rsidP="00A176F4">
      <w:r>
        <w:t xml:space="preserve">Docker </w:t>
      </w:r>
      <w:r w:rsidR="00485599" w:rsidRPr="004765F0">
        <w:t>è sviluppato come</w:t>
      </w:r>
      <w:r w:rsidR="00084558">
        <w:t xml:space="preserve"> un’</w:t>
      </w:r>
      <w:r w:rsidR="00485599" w:rsidRPr="004765F0">
        <w:t xml:space="preserve">architettura </w:t>
      </w:r>
      <w:proofErr w:type="spellStart"/>
      <w:r w:rsidR="00485599" w:rsidRPr="004765F0">
        <w:t>client-server</w:t>
      </w:r>
      <w:proofErr w:type="spellEnd"/>
      <w:r w:rsidR="00485599" w:rsidRPr="004765F0">
        <w:t xml:space="preserve"> conforme alle regole REST API</w:t>
      </w:r>
      <w:r w:rsidR="00485599">
        <w:t xml:space="preserve">: la comunicazione tra clienti e controllore, basata su HTTP, è gestita in maniera </w:t>
      </w:r>
      <w:proofErr w:type="spellStart"/>
      <w:r w:rsidR="00485599">
        <w:t>stateless</w:t>
      </w:r>
      <w:proofErr w:type="spellEnd"/>
      <w:r w:rsidR="00485599">
        <w:t xml:space="preserve"> seguendo un formato standard specificato nella documentazione della Docker API </w:t>
      </w:r>
      <w:sdt>
        <w:sdtPr>
          <w:id w:val="-603647275"/>
          <w:citation/>
        </w:sdtPr>
        <w:sdtContent>
          <w:r w:rsidR="00485599">
            <w:fldChar w:fldCharType="begin"/>
          </w:r>
          <w:r w:rsidR="00485599">
            <w:instrText xml:space="preserve"> CITATION Dev \l 1040 </w:instrText>
          </w:r>
          <w:r w:rsidR="00485599">
            <w:fldChar w:fldCharType="separate"/>
          </w:r>
          <w:r w:rsidR="00E6537A" w:rsidRPr="00E6537A">
            <w:rPr>
              <w:noProof/>
            </w:rPr>
            <w:t>[19]</w:t>
          </w:r>
          <w:r w:rsidR="00485599">
            <w:fldChar w:fldCharType="end"/>
          </w:r>
        </w:sdtContent>
      </w:sdt>
      <w:r w:rsidR="00485599">
        <w:t>.</w:t>
      </w:r>
      <w:r>
        <w:t xml:space="preserve"> </w:t>
      </w:r>
      <w:r w:rsidR="007E34D2">
        <w:t>Di base,</w:t>
      </w:r>
      <w:r w:rsidR="00084558">
        <w:t xml:space="preserve"> 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3021FB3F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sdt>
        <w:sdtPr>
          <w:id w:val="-977065078"/>
          <w:citation/>
        </w:sdtPr>
        <w:sdtContent>
          <w:r w:rsidR="00962704">
            <w:fldChar w:fldCharType="begin"/>
          </w:r>
          <w:r w:rsidR="00962704">
            <w:instrText xml:space="preserve">CITATION doc2 \l 1040 </w:instrText>
          </w:r>
          <w:r w:rsidR="00962704">
            <w:fldChar w:fldCharType="separate"/>
          </w:r>
          <w:r w:rsidR="00E6537A" w:rsidRPr="00E6537A">
            <w:rPr>
              <w:noProof/>
            </w:rPr>
            <w:t>[20]</w:t>
          </w:r>
          <w:r w:rsidR="00962704">
            <w:fldChar w:fldCharType="end"/>
          </w:r>
        </w:sdtContent>
      </w:sdt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le task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632CED46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sdt>
        <w:sdtPr>
          <w:rPr>
            <w:i/>
            <w:iCs/>
          </w:rPr>
          <w:id w:val="451218524"/>
          <w:citation/>
        </w:sdtPr>
        <w:sdtContent>
          <w:r w:rsidR="00F7364C">
            <w:rPr>
              <w:i/>
              <w:iCs/>
            </w:rPr>
            <w:fldChar w:fldCharType="begin"/>
          </w:r>
          <w:r w:rsidR="00F7364C">
            <w:instrText xml:space="preserve"> CITATION Wha \l 1040 </w:instrText>
          </w:r>
          <w:r w:rsidR="00F7364C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[21]</w:t>
          </w:r>
          <w:r w:rsidR="00F7364C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1688097936"/>
          <w:citation/>
        </w:sdtPr>
        <w:sdtContent>
          <w:r w:rsidR="00D763D7">
            <w:rPr>
              <w:i/>
              <w:iCs/>
            </w:rPr>
            <w:fldChar w:fldCharType="begin"/>
          </w:r>
          <w:r w:rsidR="00D763D7">
            <w:rPr>
              <w:i/>
              <w:iCs/>
            </w:rPr>
            <w:instrText xml:space="preserve"> CITATION con \l 1040 </w:instrText>
          </w:r>
          <w:r w:rsidR="00D763D7">
            <w:rPr>
              <w:i/>
              <w:iCs/>
            </w:rPr>
            <w:fldChar w:fldCharType="separate"/>
          </w:r>
          <w:r w:rsidR="00E6537A">
            <w:rPr>
              <w:i/>
              <w:iCs/>
              <w:noProof/>
            </w:rPr>
            <w:t xml:space="preserve"> </w:t>
          </w:r>
          <w:r w:rsidR="00E6537A" w:rsidRPr="00E6537A">
            <w:rPr>
              <w:noProof/>
            </w:rPr>
            <w:t>[22]</w:t>
          </w:r>
          <w:r w:rsidR="00D763D7">
            <w:rPr>
              <w:i/>
              <w:iCs/>
            </w:rPr>
            <w:fldChar w:fldCharType="end"/>
          </w:r>
        </w:sdtContent>
      </w:sdt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0259ABBF" w:rsidR="00733F69" w:rsidRDefault="007E34D2" w:rsidP="00B55E84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sdt>
        <w:sdtPr>
          <w:rPr>
            <w:i/>
            <w:iCs/>
          </w:rPr>
          <w:id w:val="-1921791837"/>
          <w:citation/>
        </w:sdtPr>
        <w:sdtContent>
          <w:r w:rsidR="00AA5927">
            <w:rPr>
              <w:i/>
              <w:iCs/>
            </w:rPr>
            <w:fldChar w:fldCharType="begin"/>
          </w:r>
          <w:r w:rsidR="00AA5927">
            <w:instrText xml:space="preserve"> CITATION Int \l 1040 </w:instrText>
          </w:r>
          <w:r w:rsidR="00AA5927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[23]</w:t>
          </w:r>
          <w:r w:rsidR="00AA5927">
            <w:rPr>
              <w:i/>
              <w:iCs/>
            </w:rPr>
            <w:fldChar w:fldCharType="end"/>
          </w:r>
        </w:sdtContent>
      </w:sdt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</w:t>
      </w:r>
      <w:r w:rsidRPr="004765F0">
        <w:lastRenderedPageBreak/>
        <w:t xml:space="preserve">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sdt>
        <w:sdtPr>
          <w:id w:val="-1052372797"/>
          <w:citation/>
        </w:sdtPr>
        <w:sdtContent>
          <w:r w:rsidR="00A148C6">
            <w:fldChar w:fldCharType="begin"/>
          </w:r>
          <w:r w:rsidR="00A148C6">
            <w:instrText xml:space="preserve"> CITATION Doc2 \l 1040 </w:instrText>
          </w:r>
          <w:r w:rsidR="00A148C6">
            <w:fldChar w:fldCharType="separate"/>
          </w:r>
          <w:r w:rsidR="00E6537A" w:rsidRPr="00E6537A">
            <w:rPr>
              <w:noProof/>
            </w:rPr>
            <w:t>[24]</w:t>
          </w:r>
          <w:r w:rsidR="00A148C6">
            <w:fldChar w:fldCharType="end"/>
          </w:r>
        </w:sdtContent>
      </w:sdt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sdt>
        <w:sdtPr>
          <w:id w:val="-651755821"/>
          <w:citation/>
        </w:sdtPr>
        <w:sdtContent>
          <w:r w:rsidR="00A148C6">
            <w:fldChar w:fldCharType="begin"/>
          </w:r>
          <w:r w:rsidR="00A148C6">
            <w:instrText xml:space="preserve"> CITATION con1 \l 1040 </w:instrText>
          </w:r>
          <w:r w:rsidR="00A148C6">
            <w:fldChar w:fldCharType="separate"/>
          </w:r>
          <w:r w:rsidR="00E6537A" w:rsidRPr="00E6537A">
            <w:rPr>
              <w:noProof/>
            </w:rPr>
            <w:t>[25]</w:t>
          </w:r>
          <w:r w:rsidR="00A148C6">
            <w:fldChar w:fldCharType="end"/>
          </w:r>
        </w:sdtContent>
      </w:sdt>
      <w:r>
        <w:t>.</w:t>
      </w:r>
    </w:p>
    <w:p w14:paraId="5575D3D9" w14:textId="1DBDF084" w:rsidR="007A23ED" w:rsidRDefault="007A23ED" w:rsidP="007A23ED">
      <w:pPr>
        <w:ind w:left="360" w:firstLine="0"/>
      </w:pPr>
      <w:r>
        <w:t>S</w:t>
      </w:r>
      <w:r>
        <w:t>i prenda per esempio</w:t>
      </w:r>
      <w:r w:rsidR="00084558">
        <w:t xml:space="preserve"> l’</w:t>
      </w:r>
      <w:r w:rsidR="00D228E1">
        <w:t>esecuzione del</w:t>
      </w:r>
      <w:r>
        <w:t xml:space="preserve"> comando</w:t>
      </w:r>
      <w:r>
        <w:t xml:space="preserve"> da CLI</w:t>
      </w:r>
      <w:r>
        <w:t xml:space="preserve">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>
        <w:t xml:space="preserve">: 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48A1393B" w14:textId="0890F38A" w:rsidR="007A23ED" w:rsidRPr="007A23ED" w:rsidRDefault="007A23ED" w:rsidP="007A23ED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3" w:name="_RIFERIMENTI"/>
      <w:bookmarkStart w:id="14" w:name="_Toc140419758"/>
      <w:bookmarkEnd w:id="13"/>
      <w:r>
        <w:t>Isolamento</w:t>
      </w:r>
      <w:r w:rsidR="006A5BFE">
        <w:t xml:space="preserve"> del container Docker</w:t>
      </w:r>
      <w:bookmarkEnd w:id="14"/>
    </w:p>
    <w:p w14:paraId="4F183F9B" w14:textId="7627EB99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sdt>
        <w:sdtPr>
          <w:id w:val="-189301679"/>
          <w:citation/>
        </w:sdtPr>
        <w:sdtContent>
          <w:r w:rsidR="00C17CCD">
            <w:fldChar w:fldCharType="begin"/>
          </w:r>
          <w:r w:rsidR="00C17CCD">
            <w:instrText xml:space="preserve">CITATION uns \l 1040 </w:instrText>
          </w:r>
          <w:r w:rsidR="00C17CCD">
            <w:fldChar w:fldCharType="separate"/>
          </w:r>
          <w:r w:rsidR="00E6537A" w:rsidRPr="00E6537A">
            <w:rPr>
              <w:noProof/>
            </w:rPr>
            <w:t>[26]</w:t>
          </w:r>
          <w:r w:rsidR="00C17CCD">
            <w:fldChar w:fldCharType="end"/>
          </w:r>
        </w:sdtContent>
      </w:sdt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6D9DF62C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sdt>
        <w:sdtPr>
          <w:id w:val="519054836"/>
          <w:citation/>
        </w:sdtPr>
        <w:sdtContent>
          <w:r w:rsidR="00B51ACE">
            <w:fldChar w:fldCharType="begin"/>
          </w:r>
          <w:r w:rsidR="00B51ACE">
            <w:instrText xml:space="preserve"> CITATION clo \l 1040 </w:instrText>
          </w:r>
          <w:r w:rsidR="00B51ACE">
            <w:fldChar w:fldCharType="separate"/>
          </w:r>
          <w:r w:rsidR="00E6537A" w:rsidRPr="00E6537A">
            <w:rPr>
              <w:noProof/>
            </w:rPr>
            <w:t>[27]</w:t>
          </w:r>
          <w:r w:rsidR="00B51ACE">
            <w:fldChar w:fldCharType="end"/>
          </w:r>
        </w:sdtContent>
      </w:sdt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2C858D89" w14:textId="3BBE8B8F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sdt>
        <w:sdtPr>
          <w:id w:val="-1105955864"/>
          <w:citation/>
        </w:sdtPr>
        <w:sdtContent>
          <w:r w:rsidR="009D6CB7">
            <w:fldChar w:fldCharType="begin"/>
          </w:r>
          <w:r w:rsidR="009D6CB7">
            <w:instrText xml:space="preserve"> CITATION nam1 \l 1040 </w:instrText>
          </w:r>
          <w:r w:rsidR="009D6CB7">
            <w:fldChar w:fldCharType="separate"/>
          </w:r>
          <w:r w:rsidR="00E6537A" w:rsidRPr="00E6537A">
            <w:rPr>
              <w:noProof/>
            </w:rPr>
            <w:t>[28]</w:t>
          </w:r>
          <w:r w:rsidR="009D6CB7">
            <w:fldChar w:fldCharType="end"/>
          </w:r>
        </w:sdtContent>
      </w:sdt>
      <w:r w:rsidR="00847643">
        <w:t>.</w:t>
      </w:r>
    </w:p>
    <w:p w14:paraId="728E640B" w14:textId="11D0DFCA" w:rsidR="00980F97" w:rsidRDefault="000E7DBF" w:rsidP="00980F97">
      <w:r w:rsidRPr="000E7DBF">
        <w:t xml:space="preserve">Prima di tutto, si estraggono le informazioni dei </w:t>
      </w:r>
      <w:proofErr w:type="spellStart"/>
      <w:r w:rsidRPr="000E7DBF">
        <w:t>namespace</w:t>
      </w:r>
      <w:proofErr w:type="spellEnd"/>
      <w:r w:rsidRPr="000E7DBF">
        <w:t xml:space="preserve"> del processo terminale applicando il comando </w:t>
      </w:r>
      <w:proofErr w:type="spellStart"/>
      <w:r w:rsidRPr="000E7DBF">
        <w:rPr>
          <w:rFonts w:ascii="Courier New" w:hAnsi="Courier New" w:cs="Courier New"/>
        </w:rPr>
        <w:t>ls</w:t>
      </w:r>
      <w:proofErr w:type="spellEnd"/>
      <w:r w:rsidRPr="000E7DBF">
        <w:rPr>
          <w:rFonts w:ascii="Courier New" w:hAnsi="Courier New" w:cs="Courier New"/>
        </w:rPr>
        <w:t xml:space="preserve"> -l /proc/$$/ns</w:t>
      </w:r>
      <w:r w:rsidRPr="000E7DBF">
        <w:t xml:space="preserve"> . </w:t>
      </w:r>
      <w:proofErr w:type="spellStart"/>
      <w:r w:rsidRPr="000E7DBF">
        <w:t>Dopodichè</w:t>
      </w:r>
      <w:proofErr w:type="spellEnd"/>
      <w:r w:rsidRPr="000E7DBF">
        <w:t xml:space="preserve">, si crea una task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</w:t>
      </w:r>
      <w:proofErr w:type="spellStart"/>
      <w:r w:rsidRPr="000E7DBF">
        <w:t>host</w:t>
      </w:r>
      <w:proofErr w:type="spellEnd"/>
      <w:r w:rsidRPr="000E7DBF">
        <w:t xml:space="preserve"> tramite il comando </w:t>
      </w:r>
      <w:proofErr w:type="spellStart"/>
      <w:r w:rsidRPr="000E7DBF">
        <w:rPr>
          <w:rFonts w:ascii="Courier New" w:hAnsi="Courier New" w:cs="Courier New"/>
        </w:rPr>
        <w:t>ps</w:t>
      </w:r>
      <w:proofErr w:type="spellEnd"/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57CA94AB" w14:textId="66700576" w:rsidR="00644D1A" w:rsidRPr="006E1C86" w:rsidRDefault="0043514E" w:rsidP="00980F97">
      <w:r>
        <w:lastRenderedPageBreak/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980F97">
        <w:t xml:space="preserve">Docker </w:t>
      </w:r>
      <w:r w:rsidR="001233FB">
        <w:t xml:space="preserve">risultano </w:t>
      </w:r>
      <w:r w:rsidR="00AF0C19">
        <w:t>indipendenti dal sistema operativo ospitante e quali non</w:t>
      </w:r>
      <w:r w:rsidR="00980F97">
        <w:t xml:space="preserve">: in condizioni di default, </w:t>
      </w:r>
      <w:r w:rsidR="00F11916">
        <w:t>risultano</w:t>
      </w:r>
      <w:r w:rsidR="00D47C76">
        <w:t xml:space="preserve"> isolati i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2845FF" w:rsidRPr="00D47C76">
        <w:t>ipc</w:t>
      </w:r>
      <w:proofErr w:type="spellEnd"/>
      <w:r w:rsidR="002845FF" w:rsidRPr="00D47C76">
        <w:t xml:space="preserve">, mnt, net, </w:t>
      </w:r>
      <w:proofErr w:type="spellStart"/>
      <w:r w:rsidR="002845FF" w:rsidRPr="00D47C76">
        <w:t>pid</w:t>
      </w:r>
      <w:proofErr w:type="spellEnd"/>
      <w:r w:rsidR="002845FF" w:rsidRPr="00D47C76">
        <w:t xml:space="preserve">, </w:t>
      </w:r>
      <w:proofErr w:type="spellStart"/>
      <w:r w:rsidR="002845FF" w:rsidRPr="00D47C76">
        <w:t>uts</w:t>
      </w:r>
      <w:proofErr w:type="spellEnd"/>
      <w:r w:rsidR="000F06E9">
        <w:t>, mentre il</w:t>
      </w:r>
      <w:r w:rsidR="00D47C76">
        <w:t xml:space="preserve">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0F06E9">
        <w:t>cgroup</w:t>
      </w:r>
      <w:proofErr w:type="spellEnd"/>
      <w:r w:rsidR="000F06E9">
        <w:t xml:space="preserve">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</w:t>
      </w:r>
      <w:proofErr w:type="spellStart"/>
      <w:r w:rsidR="00540A5D">
        <w:t>cgroup</w:t>
      </w:r>
      <w:proofErr w:type="spellEnd"/>
      <w:r w:rsidR="00540A5D">
        <w:t xml:space="preserve"> v1 o </w:t>
      </w:r>
      <w:proofErr w:type="spellStart"/>
      <w:r w:rsidR="00540A5D">
        <w:t>cgroup</w:t>
      </w:r>
      <w:proofErr w:type="spellEnd"/>
      <w:r w:rsidR="00540A5D">
        <w:t xml:space="preserve"> v2 </w:t>
      </w:r>
      <w:sdt>
        <w:sdtPr>
          <w:id w:val="-297609111"/>
          <w:citation/>
        </w:sdtPr>
        <w:sdtContent>
          <w:r w:rsidR="00540A5D">
            <w:fldChar w:fldCharType="begin"/>
          </w:r>
          <w:r w:rsidR="00540A5D">
            <w:instrText xml:space="preserve"> CITATION Run \l 1040 </w:instrText>
          </w:r>
          <w:r w:rsidR="00540A5D">
            <w:fldChar w:fldCharType="separate"/>
          </w:r>
          <w:r w:rsidR="00E6537A" w:rsidRPr="00E6537A">
            <w:rPr>
              <w:noProof/>
            </w:rPr>
            <w:t>[29]</w:t>
          </w:r>
          <w:r w:rsidR="00540A5D">
            <w:fldChar w:fldCharType="end"/>
          </w:r>
        </w:sdtContent>
      </w:sdt>
      <w:r w:rsidR="00644D1A" w:rsidRPr="00644D1A">
        <w:rPr>
          <w:rFonts w:cs="Times New Roman"/>
        </w:rPr>
        <w:t>.</w:t>
      </w:r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proofErr w:type="spellStart"/>
      <w:r w:rsidR="00DB7C48">
        <w:rPr>
          <w:rFonts w:cs="Times New Roman"/>
        </w:rPr>
        <w:t>cgroup</w:t>
      </w:r>
      <w:proofErr w:type="spellEnd"/>
      <w:r w:rsidR="00DB7C48">
        <w:rPr>
          <w:rFonts w:cs="Times New Roman"/>
        </w:rPr>
        <w:t xml:space="preserve">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7F1DC21C" w14:textId="2AACE523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 w:rsidR="00F64751">
        <w:rPr>
          <w:rFonts w:cs="Times New Roman"/>
        </w:rPr>
        <w:t>“</w:t>
      </w:r>
      <w:r w:rsidRPr="003D1549">
        <w:rPr>
          <w:rFonts w:cs="Times New Roman"/>
        </w:rPr>
        <w:t>/</w:t>
      </w:r>
      <w:r w:rsidR="00F64751"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14B74A9D" w14:textId="39EF34E3" w:rsidR="00B02B0B" w:rsidRDefault="00856953" w:rsidP="00D47C76">
      <w:r>
        <w:t xml:space="preserve">Tramite comando, è possibile </w:t>
      </w:r>
      <w:r w:rsidR="002D4BFF">
        <w:t xml:space="preserve">configurare i </w:t>
      </w:r>
      <w:proofErr w:type="spellStart"/>
      <w:r w:rsidR="002D4BFF">
        <w:t>namespace</w:t>
      </w:r>
      <w:proofErr w:type="spellEnd"/>
      <w:r w:rsidR="002D4BFF">
        <w:t xml:space="preserve"> del container e i </w:t>
      </w:r>
      <w:proofErr w:type="spellStart"/>
      <w:r w:rsidR="009B3F58">
        <w:t>cgroup</w:t>
      </w:r>
      <w:proofErr w:type="spellEnd"/>
      <w:r w:rsidR="00041158">
        <w:t xml:space="preserve"> in fase</w:t>
      </w:r>
      <w:r w:rsidR="00850D00">
        <w:t xml:space="preserve"> d’</w:t>
      </w:r>
      <w:r w:rsidR="00041158">
        <w:t>inizializzazione del container</w:t>
      </w:r>
      <w:r w:rsidR="002D4BFF">
        <w:t xml:space="preserve">: ad esempio, aggiungendo al comando </w:t>
      </w:r>
      <w:proofErr w:type="spellStart"/>
      <w:r w:rsidR="002D4BFF" w:rsidRPr="00294C6A">
        <w:rPr>
          <w:rFonts w:ascii="Courier New" w:hAnsi="Courier New" w:cs="Courier New"/>
        </w:rPr>
        <w:t>docker</w:t>
      </w:r>
      <w:proofErr w:type="spellEnd"/>
      <w:r w:rsidR="002D4BFF" w:rsidRPr="00294C6A">
        <w:rPr>
          <w:rFonts w:ascii="Courier New" w:hAnsi="Courier New" w:cs="Courier New"/>
        </w:rPr>
        <w:t xml:space="preserve"> </w:t>
      </w:r>
      <w:proofErr w:type="spellStart"/>
      <w:r w:rsidR="002D4BFF" w:rsidRPr="00294C6A">
        <w:rPr>
          <w:rFonts w:ascii="Courier New" w:hAnsi="Courier New" w:cs="Courier New"/>
        </w:rPr>
        <w:t>run</w:t>
      </w:r>
      <w:proofErr w:type="spellEnd"/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pid</w:t>
      </w:r>
      <w:proofErr w:type="spellEnd"/>
      <w:r w:rsidR="002D4BFF">
        <w:t xml:space="preserve"> o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memory</w:t>
      </w:r>
      <w:proofErr w:type="spellEnd"/>
      <w:sdt>
        <w:sdtPr>
          <w:id w:val="-60491082"/>
          <w:citation/>
        </w:sdtPr>
        <w:sdtContent>
          <w:r w:rsidR="0044617E">
            <w:fldChar w:fldCharType="begin"/>
          </w:r>
          <w:r w:rsidR="0044617E">
            <w:instrText xml:space="preserve"> CITATION Doc5 \l 1040 </w:instrText>
          </w:r>
          <w:r w:rsidR="0044617E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[30]</w:t>
          </w:r>
          <w:r w:rsidR="0044617E">
            <w:fldChar w:fldCharType="end"/>
          </w:r>
        </w:sdtContent>
      </w:sdt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5" w:name="_Toc140419759"/>
      <w:r>
        <w:t>Immagine Docker</w:t>
      </w:r>
      <w:bookmarkEnd w:id="15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68738B25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sdt>
        <w:sdtPr>
          <w:id w:val="-1811094405"/>
          <w:citation/>
        </w:sdtPr>
        <w:sdtContent>
          <w:r w:rsidR="003C1FBB">
            <w:fldChar w:fldCharType="begin"/>
          </w:r>
          <w:r w:rsidR="003C1FBB">
            <w:instrText xml:space="preserve"> CITATION Bes \l 1040 </w:instrText>
          </w:r>
          <w:r w:rsidR="003C1FBB">
            <w:fldChar w:fldCharType="separate"/>
          </w:r>
          <w:r w:rsidR="00E6537A" w:rsidRPr="00E6537A">
            <w:rPr>
              <w:noProof/>
            </w:rPr>
            <w:t>[31]</w:t>
          </w:r>
          <w:r w:rsidR="003C1FBB">
            <w:fldChar w:fldCharType="end"/>
          </w:r>
        </w:sdtContent>
      </w:sdt>
      <w:r w:rsidR="004D7AC1">
        <w:t>.</w:t>
      </w:r>
    </w:p>
    <w:p w14:paraId="54FA78A1" w14:textId="0724AC62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sdt>
        <w:sdtPr>
          <w:id w:val="-462652266"/>
          <w:citation/>
        </w:sdtPr>
        <w:sdtContent>
          <w:r>
            <w:fldChar w:fldCharType="begin"/>
          </w:r>
          <w:r>
            <w:instrText xml:space="preserve"> CITATION Doc6 \l 1040 </w:instrText>
          </w:r>
          <w:r>
            <w:fldChar w:fldCharType="separate"/>
          </w:r>
          <w:r w:rsidR="00E6537A" w:rsidRPr="00E6537A">
            <w:rPr>
              <w:noProof/>
            </w:rPr>
            <w:t>[32]</w:t>
          </w:r>
          <w:r>
            <w:fldChar w:fldCharType="end"/>
          </w:r>
        </w:sdtContent>
      </w:sdt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6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6"/>
    </w:p>
    <w:p w14:paraId="09ADEFBA" w14:textId="3C4D5122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sdt>
        <w:sdtPr>
          <w:id w:val="-1819176301"/>
          <w:citation/>
        </w:sdtPr>
        <w:sdtContent>
          <w:r w:rsidR="00F03E01">
            <w:fldChar w:fldCharType="begin"/>
          </w:r>
          <w:r w:rsidR="00F03E01">
            <w:instrText xml:space="preserve"> CITATION Use \l 1040 </w:instrText>
          </w:r>
          <w:r w:rsidR="00F03E01">
            <w:fldChar w:fldCharType="separate"/>
          </w:r>
          <w:r w:rsidR="00E6537A" w:rsidRPr="00E6537A">
            <w:rPr>
              <w:noProof/>
            </w:rPr>
            <w:t>[33]</w:t>
          </w:r>
          <w:r w:rsidR="00F03E01">
            <w:fldChar w:fldCharType="end"/>
          </w:r>
        </w:sdtContent>
      </w:sdt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filesystem;</w:t>
      </w:r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lastRenderedPageBreak/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  <w:r w:rsidR="00511CC5">
        <w:t xml:space="preserve"> Questa costituisce il punto di </w:t>
      </w:r>
      <w:proofErr w:type="spellStart"/>
      <w:r w:rsidR="00511CC5">
        <w:t>mount</w:t>
      </w:r>
      <w:proofErr w:type="spellEnd"/>
      <w:r w:rsidR="00511CC5">
        <w:t xml:space="preserve"> del filesystem presente nel container.</w:t>
      </w:r>
    </w:p>
    <w:p w14:paraId="6DBA8F4A" w14:textId="4AE1EB01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sdt>
        <w:sdtPr>
          <w:id w:val="-315577341"/>
          <w:citation/>
        </w:sdtPr>
        <w:sdtContent>
          <w:r w:rsidR="00F362A6">
            <w:fldChar w:fldCharType="begin"/>
          </w:r>
          <w:r w:rsidR="00F362A6">
            <w:instrText xml:space="preserve"> CITATION doc1 \l 1040 </w:instrText>
          </w:r>
          <w:r w:rsidR="00F362A6">
            <w:fldChar w:fldCharType="separate"/>
          </w:r>
          <w:r w:rsidR="00E6537A">
            <w:rPr>
              <w:noProof/>
            </w:rPr>
            <w:t xml:space="preserve"> </w:t>
          </w:r>
          <w:r w:rsidR="00E6537A" w:rsidRPr="00E6537A">
            <w:rPr>
              <w:noProof/>
            </w:rPr>
            <w:t>[34]</w:t>
          </w:r>
          <w:r w:rsidR="00F362A6">
            <w:fldChar w:fldCharType="end"/>
          </w:r>
        </w:sdtContent>
      </w:sdt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0672CDB6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sdt>
        <w:sdtPr>
          <w:rPr>
            <w:i/>
            <w:iCs/>
          </w:rPr>
          <w:id w:val="858858919"/>
          <w:citation/>
        </w:sdtPr>
        <w:sdtContent>
          <w:r w:rsidR="001358F6">
            <w:rPr>
              <w:i/>
              <w:iCs/>
            </w:rPr>
            <w:fldChar w:fldCharType="begin"/>
          </w:r>
          <w:r w:rsidR="001358F6">
            <w:rPr>
              <w:i/>
              <w:iCs/>
            </w:rPr>
            <w:instrText xml:space="preserve"> CITATION ker \l 1040 </w:instrText>
          </w:r>
          <w:r w:rsidR="001358F6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[35]</w:t>
          </w:r>
          <w:r w:rsidR="001358F6">
            <w:rPr>
              <w:i/>
              <w:iCs/>
            </w:rPr>
            <w:fldChar w:fldCharType="end"/>
          </w:r>
        </w:sdtContent>
      </w:sdt>
      <w:r>
        <w:t>.</w:t>
      </w:r>
    </w:p>
    <w:p w14:paraId="0A941641" w14:textId="0CD619B5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sdt>
        <w:sdtPr>
          <w:id w:val="-459341780"/>
          <w:citation/>
        </w:sdtPr>
        <w:sdtContent>
          <w:r w:rsidR="0043283B">
            <w:fldChar w:fldCharType="begin"/>
          </w:r>
          <w:r w:rsidR="0043283B">
            <w:instrText xml:space="preserve"> CITATION Vol \l 1040 </w:instrText>
          </w:r>
          <w:r w:rsidR="0043283B">
            <w:fldChar w:fldCharType="separate"/>
          </w:r>
          <w:r w:rsidR="00E6537A" w:rsidRPr="00E6537A">
            <w:rPr>
              <w:noProof/>
            </w:rPr>
            <w:t>[36]</w:t>
          </w:r>
          <w:r w:rsidR="0043283B">
            <w:fldChar w:fldCharType="end"/>
          </w:r>
        </w:sdtContent>
      </w:sdt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7" w:name="_Toc140419761"/>
      <w:r>
        <w:t>Networking in Docker</w:t>
      </w:r>
      <w:bookmarkEnd w:id="17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3C2EA9B6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sdt>
        <w:sdtPr>
          <w:id w:val="-313419372"/>
          <w:citation/>
        </w:sdtPr>
        <w:sdtContent>
          <w:r w:rsidR="00026668">
            <w:fldChar w:fldCharType="begin"/>
          </w:r>
          <w:r>
            <w:instrText xml:space="preserve">CITATION doc3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[37]</w:t>
          </w:r>
          <w:r w:rsidR="00026668">
            <w:fldChar w:fldCharType="end"/>
          </w:r>
        </w:sdtContent>
      </w:sdt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79D5E066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sdt>
        <w:sdtPr>
          <w:id w:val="-520242256"/>
          <w:citation/>
        </w:sdtPr>
        <w:sdtContent>
          <w:r w:rsidR="00026668">
            <w:fldChar w:fldCharType="begin"/>
          </w:r>
          <w:r w:rsidR="00026668">
            <w:instrText xml:space="preserve"> CITATION Non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[38]</w:t>
          </w:r>
          <w:r w:rsidR="00026668">
            <w:fldChar w:fldCharType="end"/>
          </w:r>
        </w:sdtContent>
      </w:sdt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7841A3D7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lastRenderedPageBreak/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sdt>
        <w:sdtPr>
          <w:id w:val="-1833749405"/>
          <w:citation/>
        </w:sdtPr>
        <w:sdtContent>
          <w:r w:rsidR="00026668">
            <w:fldChar w:fldCharType="begin"/>
          </w:r>
          <w:r w:rsidR="00026668">
            <w:instrText xml:space="preserve"> CITATION Hos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[39]</w:t>
          </w:r>
          <w:r w:rsidR="00026668">
            <w:fldChar w:fldCharType="end"/>
          </w:r>
        </w:sdtContent>
      </w:sdt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1FA5F051" w:rsidR="00053630" w:rsidRDefault="00084558" w:rsidP="0001585F">
      <w:pPr>
        <w:pStyle w:val="Paragrafoelenco"/>
        <w:numPr>
          <w:ilvl w:val="0"/>
          <w:numId w:val="13"/>
        </w:numPr>
      </w:pPr>
      <w:r>
        <w:t>N</w:t>
      </w:r>
      <w:r>
        <w:t xml:space="preserve">etwork </w:t>
      </w:r>
      <w:r w:rsidR="00053630">
        <w:rPr>
          <w:i/>
          <w:iCs/>
        </w:rPr>
        <w:t xml:space="preserve">bridge </w:t>
      </w:r>
      <w:sdt>
        <w:sdtPr>
          <w:id w:val="-1687442670"/>
          <w:citation/>
        </w:sdtPr>
        <w:sdtContent>
          <w:r w:rsidR="00026668">
            <w:fldChar w:fldCharType="begin"/>
          </w:r>
          <w:r w:rsidR="00026668">
            <w:instrText xml:space="preserve"> CITATION Bri \l 1040 </w:instrText>
          </w:r>
          <w:r w:rsidR="00026668">
            <w:fldChar w:fldCharType="separate"/>
          </w:r>
          <w:r w:rsidR="00E6537A" w:rsidRPr="00E6537A">
            <w:rPr>
              <w:noProof/>
            </w:rPr>
            <w:t>[40]</w:t>
          </w:r>
          <w:r w:rsidR="00026668">
            <w:fldChar w:fldCharType="end"/>
          </w:r>
        </w:sdtContent>
      </w:sdt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>indirizzo 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>server</w:t>
      </w:r>
      <w:r w:rsidR="00084558">
        <w:t xml:space="preserve"> </w:t>
      </w:r>
      <w:r>
        <w:t>DNS incorporato che permette ai containers di risolvere i nomi degli atri containers per raggiungerli, anziché usare il loro IP.</w:t>
      </w:r>
    </w:p>
    <w:p w14:paraId="256D33FE" w14:textId="3B854A3D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sdt>
        <w:sdtPr>
          <w:id w:val="177474193"/>
          <w:citation/>
        </w:sdtPr>
        <w:sdtContent>
          <w:r>
            <w:fldChar w:fldCharType="begin"/>
          </w:r>
          <w:r>
            <w:instrText xml:space="preserve"> CITATION Net \l 1040 </w:instrText>
          </w:r>
          <w:r>
            <w:fldChar w:fldCharType="separate"/>
          </w:r>
          <w:r w:rsidR="00E6537A" w:rsidRPr="00E6537A">
            <w:rPr>
              <w:noProof/>
            </w:rPr>
            <w:t>[41]</w:t>
          </w:r>
          <w:r>
            <w:fldChar w:fldCharType="end"/>
          </w:r>
        </w:sdtContent>
      </w:sdt>
      <w:r>
        <w:t xml:space="preserve"> .</w:t>
      </w:r>
    </w:p>
    <w:p w14:paraId="313E26DD" w14:textId="6B27BE7E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sdt>
        <w:sdtPr>
          <w:rPr>
            <w:rFonts w:cs="Times New Roman"/>
          </w:rPr>
          <w:id w:val="-954943770"/>
          <w:citation/>
        </w:sdtPr>
        <w:sdtContent>
          <w:r w:rsidR="008A5AF1">
            <w:rPr>
              <w:rFonts w:cs="Times New Roman"/>
            </w:rPr>
            <w:fldChar w:fldCharType="begin"/>
          </w:r>
          <w:r w:rsidR="00275107">
            <w:rPr>
              <w:rFonts w:cs="Times New Roman"/>
            </w:rPr>
            <w:instrText xml:space="preserve">CITATION Net1 \l 1040 </w:instrText>
          </w:r>
          <w:r w:rsidR="008A5AF1">
            <w:rPr>
              <w:rFonts w:cs="Times New Roman"/>
            </w:rPr>
            <w:fldChar w:fldCharType="separate"/>
          </w:r>
          <w:r w:rsidR="00275107" w:rsidRPr="00275107">
            <w:rPr>
              <w:rFonts w:cs="Times New Roman"/>
              <w:noProof/>
            </w:rPr>
            <w:t>[42]</w:t>
          </w:r>
          <w:r w:rsidR="008A5AF1">
            <w:rPr>
              <w:rFonts w:cs="Times New Roman"/>
            </w:rPr>
            <w:fldChar w:fldCharType="end"/>
          </w:r>
        </w:sdtContent>
      </w:sdt>
      <w:r w:rsidRPr="008A5AF1">
        <w:rPr>
          <w:rFonts w:cs="Times New Roman"/>
        </w:rPr>
        <w:t>.</w:t>
      </w:r>
    </w:p>
    <w:p w14:paraId="52EAE436" w14:textId="653800AF" w:rsidR="00F618F8" w:rsidRDefault="00F618F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8" w:name="_Toc140419762"/>
      <w:r>
        <w:t>sicurezza del container Docker</w:t>
      </w:r>
      <w:bookmarkEnd w:id="18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27FB55DE" w:rsidR="004F4DE6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la flag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19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19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 xml:space="preserve">Questa vulnerabilità descrive generalmente la capacità di un </w:t>
      </w:r>
      <w:r>
        <w:t xml:space="preserve">utente </w:t>
      </w:r>
      <w:r>
        <w:t>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21AD141B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</w:t>
      </w:r>
      <w:r w:rsidR="00547D6F">
        <w:t>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6F8C39AE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sdt>
        <w:sdtPr>
          <w:rPr>
            <w:i/>
            <w:iCs/>
          </w:rPr>
          <w:id w:val="1123039540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instrText xml:space="preserve"> CITATION Bro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[43]</w:t>
          </w:r>
          <w:r w:rsidR="008B5E7A">
            <w:rPr>
              <w:i/>
              <w:iCs/>
            </w:rPr>
            <w:fldChar w:fldCharType="end"/>
          </w:r>
        </w:sdtContent>
      </w:sdt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sdt>
        <w:sdtPr>
          <w:rPr>
            <w:i/>
            <w:iCs/>
          </w:rPr>
          <w:id w:val="930701575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instrText xml:space="preserve"> CITATION Ini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[44]</w:t>
          </w:r>
          <w:r w:rsidR="008B5E7A">
            <w:rPr>
              <w:i/>
              <w:iCs/>
            </w:rPr>
            <w:fldChar w:fldCharType="end"/>
          </w:r>
        </w:sdtContent>
      </w:sdt>
      <w:r>
        <w:t>.</w:t>
      </w:r>
    </w:p>
    <w:p w14:paraId="78C1147C" w14:textId="76D5850B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sdt>
        <w:sdtPr>
          <w:rPr>
            <w:i/>
            <w:iCs/>
          </w:rPr>
          <w:id w:val="-1446762391"/>
          <w:citation/>
        </w:sdtPr>
        <w:sdtContent>
          <w:r w:rsidR="008B5E7A">
            <w:rPr>
              <w:i/>
              <w:iCs/>
            </w:rPr>
            <w:fldChar w:fldCharType="begin"/>
          </w:r>
          <w:r w:rsidR="008B5E7A">
            <w:rPr>
              <w:i/>
              <w:iCs/>
            </w:rPr>
            <w:instrText xml:space="preserve">CITATION Pri \l 1040 </w:instrText>
          </w:r>
          <w:r w:rsidR="008B5E7A">
            <w:rPr>
              <w:i/>
              <w:iCs/>
            </w:rPr>
            <w:fldChar w:fldCharType="separate"/>
          </w:r>
          <w:r w:rsidR="00E6537A" w:rsidRPr="00E6537A">
            <w:rPr>
              <w:noProof/>
            </w:rPr>
            <w:t>[45]</w:t>
          </w:r>
          <w:r w:rsidR="008B5E7A">
            <w:rPr>
              <w:i/>
              <w:iCs/>
            </w:rPr>
            <w:fldChar w:fldCharType="end"/>
          </w:r>
        </w:sdtContent>
      </w:sdt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36B4AFA7" w14:textId="375B3AAD" w:rsidR="004F4DE6" w:rsidRPr="007538ED" w:rsidRDefault="004F4DE6" w:rsidP="002E4F47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6BF503F1" w14:textId="7148AEBB" w:rsidR="00A870DD" w:rsidRDefault="00A870DD" w:rsidP="00A870DD">
      <w:pPr>
        <w:pStyle w:val="Titolo1"/>
      </w:pPr>
      <w:bookmarkStart w:id="20" w:name="_Toc140419764"/>
      <w:r>
        <w:lastRenderedPageBreak/>
        <w:t>RIFERIMENTI</w:t>
      </w:r>
      <w:bookmarkEnd w:id="2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275107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«I vantaggi dei Container,»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275107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Aqua, «Container Images: Architecture and Best Practices,» [Online]. Available: https://www.aquasec.com/cloud-native-academy/container-security/container-images/.</w:t>
            </w:r>
          </w:p>
        </w:tc>
      </w:tr>
      <w:tr w:rsidR="00275107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«A Qualitative and Quantitative Analisys of Container Engines,» [Online]. </w:t>
            </w:r>
            <w:r>
              <w:rPr>
                <w:noProof/>
              </w:rPr>
              <w:t>Available: https://arxiv.org/pdf/2303.04080.pdf.</w:t>
            </w:r>
          </w:p>
        </w:tc>
      </w:tr>
      <w:tr w:rsidR="00275107" w:rsidRPr="00275107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75107" w:rsidRPr="00275107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«Linux namespaces - Wikipedia,» [Online]. Available: https://en.wikipedia.org/wiki/Linux_namespaces.</w:t>
            </w:r>
          </w:p>
        </w:tc>
      </w:tr>
      <w:tr w:rsidR="00275107" w:rsidRPr="00275107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«Chapter 1. Introduction to Control Groups,» [Online]. Available: https://access.redhat.com/documentation/it-it/red_hat_enterprise_linux/7/html/resource_management_guide/chap-introduction_to_control_groups.</w:t>
            </w:r>
          </w:p>
        </w:tc>
      </w:tr>
      <w:tr w:rsidR="00275107" w:rsidRPr="00275107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«1.2 Default Cgroup Hierarchies Red Hat Enterprise Linux 7 | Red Hat,» [Online]. Available: https://access.redhat.com/documentation/it-it/red_hat_enterprise_linux/7/html/resource_management_guide/sec-default_cgroup_hierarchies.</w:t>
            </w:r>
          </w:p>
        </w:tc>
      </w:tr>
      <w:tr w:rsidR="00275107" w:rsidRPr="00275107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«PROCFS /proc/self - IBM Documentation,» [Online]. Available: https://www.ibm.com/docs/en/ztpf/1.1.0.15?topic=targets-procfs-procself.</w:t>
            </w:r>
          </w:p>
        </w:tc>
      </w:tr>
      <w:tr w:rsidR="00275107" w:rsidRPr="00275107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«Understanding the new control groups API [LWN.net],» [Online]. Available: https://lwn.net/Articles/679786/.</w:t>
            </w:r>
          </w:p>
        </w:tc>
      </w:tr>
      <w:tr w:rsidR="00275107" w:rsidRPr="00275107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22702684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</w:t>
            </w:r>
            <w:r w:rsidR="009B3F58">
              <w:rPr>
                <w:noProof/>
                <w:lang w:val="en-US"/>
              </w:rPr>
              <w:t>capability</w:t>
            </w:r>
            <w:r w:rsidRPr="00275107">
              <w:rPr>
                <w:noProof/>
                <w:lang w:val="en-US"/>
              </w:rPr>
              <w:t>(7) - Linux manual page,»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275107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«Security/Sandbox/Seccomp - MozillaWiki,» [Online]. Available: https://wiki.mozilla.org/Security/Sandbox/Seccomp.</w:t>
            </w:r>
          </w:p>
        </w:tc>
      </w:tr>
      <w:tr w:rsidR="00275107" w:rsidRPr="00275107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«seccomp(2) - Linux manual page,» [Online]. Available: https://man7.org/linux/man-pages/man2/seccomp.2.html.</w:t>
            </w:r>
          </w:p>
        </w:tc>
      </w:tr>
      <w:tr w:rsidR="00275107" w:rsidRPr="00275107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«A seccomp overview [LWN.net],» [Online]. Available: https://lwn.net/Articles/656307/.</w:t>
            </w:r>
          </w:p>
        </w:tc>
      </w:tr>
      <w:tr w:rsidR="00275107" w:rsidRPr="00275107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«Linux Security Module Usage --- The Linux Kernel Documentation,» [Online]. Available: https://www.kernel.org/doc/html/latest/admin-guide/LSM/index.html.</w:t>
            </w:r>
          </w:p>
        </w:tc>
      </w:tr>
      <w:tr w:rsidR="00275107" w:rsidRPr="00275107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1F3E81BA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Pr="00275107">
              <w:rPr>
                <w:noProof/>
                <w:lang w:val="en-US"/>
              </w:rPr>
              <w:t xml:space="preserve"> Security,»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275107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«QuickProfileLanguage WIki AppArmor / AppArmor,» [Online]. Available: https://gitlab.com/apparmor/apparmor/-/wikis/About.</w:t>
            </w:r>
          </w:p>
        </w:tc>
      </w:tr>
      <w:tr w:rsidR="00275107" w:rsidRPr="00275107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«QuickProfileLanguage Wiki AppArmor / AppArmor,» [Online]. Available: https://gitlab.com/apparmor/apparmor/-/wikis/QuickProfileLanguage#file-rules.</w:t>
            </w:r>
          </w:p>
        </w:tc>
      </w:tr>
      <w:tr w:rsidR="00275107" w:rsidRPr="00275107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 Overview | Docker Documentation,» [Online]. Available: https://docs.docker.com/get-started/overview.</w:t>
            </w:r>
          </w:p>
        </w:tc>
      </w:tr>
      <w:tr w:rsidR="00275107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«Develop with Docker Engine API | Docker Documentation,» [Online]. </w:t>
            </w:r>
            <w:r>
              <w:rPr>
                <w:noProof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>«dockerd | Docker Documentation,» [Online]. Available: https://docs.docker.com/engine/reference/commandline/dockerd/.</w:t>
            </w:r>
          </w:p>
        </w:tc>
      </w:tr>
      <w:tr w:rsidR="00275107" w:rsidRPr="00275107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«What Is Containerd? | Docker,» [Online]. Available: https://www.docker.com/blog/what-is-containerd-runtime/.</w:t>
            </w:r>
          </w:p>
        </w:tc>
      </w:tr>
      <w:tr w:rsidR="00275107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«containerd/containerd: An open and reliable container runtime,» [Online]. </w:t>
            </w:r>
            <w:r>
              <w:rPr>
                <w:noProof/>
              </w:rPr>
              <w:t>Available: https://github.com/containerd/containerd.</w:t>
            </w:r>
          </w:p>
        </w:tc>
      </w:tr>
      <w:tr w:rsidR="00275107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«Introducing runC: A lightweight universal container runtime | Docker,» [Online]. </w:t>
            </w:r>
            <w:r>
              <w:rPr>
                <w:noProof/>
              </w:rPr>
              <w:t>Available: https://www.docker.com/blog/runc/.</w:t>
            </w:r>
          </w:p>
        </w:tc>
      </w:tr>
      <w:tr w:rsidR="00275107" w:rsidRPr="00275107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«dockercon-2016,» [Online]. Available: https://github.com/crosbymichael/dockercon-2016/tree/master/.</w:t>
            </w:r>
          </w:p>
        </w:tc>
      </w:tr>
      <w:tr w:rsidR="00275107" w:rsidRPr="00275107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«containerd/runtime/v2/README.md at main,» [Online]. Available: https://github.com/containerd/containerd/blob/main/runtime/v2/.</w:t>
            </w:r>
          </w:p>
        </w:tc>
      </w:tr>
      <w:tr w:rsidR="00275107" w:rsidRPr="00275107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«unshare(2) - Linux manual page,» [Online]. Available: https://man7.org/linux/man-pages/man2/unshare.2.html.</w:t>
            </w:r>
          </w:p>
        </w:tc>
      </w:tr>
      <w:tr w:rsidR="00275107" w:rsidRPr="00275107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«clone(2) | Linux manual page,» [Online]. Available: https://man7.org/linux/man-pages/man2/clone.2.html.</w:t>
            </w:r>
          </w:p>
        </w:tc>
      </w:tr>
      <w:tr w:rsidR="00275107" w:rsidRPr="00275107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75107" w:rsidRPr="00275107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«Runtime metrics | Docker Documentation,» [Online]. Available: https://docs.docker.com/config/containers/runmetrics/.</w:t>
            </w:r>
          </w:p>
        </w:tc>
      </w:tr>
      <w:tr w:rsidR="00275107" w:rsidRPr="00275107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 run reference | DOcker Documentation,» [Online]. Available: https://docs.docker.com/engine/reference/run/.</w:t>
            </w:r>
          </w:p>
        </w:tc>
      </w:tr>
      <w:tr w:rsidR="00275107" w:rsidRPr="00275107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«Best practices for writing Dockerfiles | Docker Documentation,» [Online]. Available: https://docs.docker.com/develop/develop-images/dockerfile_best-practices/.</w:t>
            </w:r>
          </w:p>
        </w:tc>
      </w:tr>
      <w:tr w:rsidR="00275107" w:rsidRPr="00275107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«Dockerfile reference | Docker Documentation,» [Online]. Available: https://docs.docker.com/engine/reference/builder/.</w:t>
            </w:r>
          </w:p>
        </w:tc>
      </w:tr>
      <w:tr w:rsidR="00275107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«Use The OverlayFS Storage Driver | Docker Documentation,» [Online]. </w:t>
            </w:r>
            <w:r>
              <w:rPr>
                <w:noProof/>
              </w:rPr>
              <w:t>Available: https://docs.docker.com/storage/storagedriver/overlayfs-driver/.</w:t>
            </w:r>
          </w:p>
        </w:tc>
      </w:tr>
      <w:tr w:rsidR="00275107" w:rsidRPr="00275107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«docker/docs/userguide/storagedriver at main,» [Online]. Available: https://github.com/tnozicka/docker/blob/master/docs/userguide/storagedriver/overlayfs-driver.md.</w:t>
            </w:r>
          </w:p>
        </w:tc>
      </w:tr>
      <w:tr w:rsidR="00275107" w:rsidRPr="00275107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«kernel.org,» [Online]. Available: https://www.kernel.org/doc/Documentation/filesystems/overlayfs.txt.</w:t>
            </w:r>
          </w:p>
        </w:tc>
      </w:tr>
      <w:tr w:rsidR="00275107" w:rsidRPr="00275107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«Volumes | Docker Documentation,» [Online]. Available: https://docs.docker.com/storage/volumes/.</w:t>
            </w:r>
          </w:p>
        </w:tc>
      </w:tr>
      <w:tr w:rsidR="00275107" w:rsidRPr="00275107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de-AT"/>
              </w:rPr>
              <w:t xml:space="preserve">«docker network | Docker Documentation,» [Online]. </w:t>
            </w:r>
            <w:r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275107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«None network driver | Docker Documentation,» [Online]. Available: https://docs.docker.com/network/drivers/none/.</w:t>
            </w:r>
          </w:p>
        </w:tc>
      </w:tr>
      <w:tr w:rsidR="00275107" w:rsidRPr="00275107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«Host network driver | Docker Documentation,» [Online]. Available: https://docs.docker.com/network/drivers/host/.</w:t>
            </w:r>
          </w:p>
        </w:tc>
      </w:tr>
      <w:tr w:rsidR="00275107" w:rsidRPr="00275107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«Bridge network driver | Docker Documentation,» [Online]. Available: https://docs.docker.com/network/drivers/bridge/.</w:t>
            </w:r>
          </w:p>
        </w:tc>
      </w:tr>
      <w:tr w:rsidR="00275107" w:rsidRPr="00275107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«Networking Overview | Docker Documentation,» [Online]. Available: https://docs.docker.com/network/.</w:t>
            </w:r>
          </w:p>
        </w:tc>
      </w:tr>
      <w:tr w:rsidR="00275107" w:rsidRPr="00275107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7777777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>«Network Containers | Docker Documentation,» [Online]. Available: https://docs.docker.com/engine/tutorials/networkingcontainers/.</w:t>
            </w:r>
          </w:p>
        </w:tc>
      </w:tr>
      <w:tr w:rsidR="00275107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«Browser Information Discovery, Technique T1217 - Enterprice | MITRE ATT&amp;CK,» [Online]. </w:t>
            </w:r>
            <w:r>
              <w:rPr>
                <w:noProof/>
              </w:rPr>
              <w:t>Available: https://attack.mitre.org/techniques/T1217/.</w:t>
            </w:r>
          </w:p>
        </w:tc>
      </w:tr>
      <w:tr w:rsidR="00275107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«Initial Access, Tactic TA0001 - Enterprise | MITRE ATT&amp;CK,» [Online]. </w:t>
            </w:r>
            <w:r>
              <w:rPr>
                <w:noProof/>
              </w:rPr>
              <w:t>Available: https://attack.mitre.org/tactics/TA0001/.</w:t>
            </w:r>
          </w:p>
        </w:tc>
      </w:tr>
      <w:tr w:rsidR="00275107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77777777" w:rsidR="00275107" w:rsidRDefault="00275107">
            <w:pPr>
              <w:pStyle w:val="Bibliografia"/>
              <w:rPr>
                <w:noProof/>
              </w:rPr>
            </w:pPr>
            <w:r w:rsidRPr="00275107">
              <w:rPr>
                <w:noProof/>
                <w:lang w:val="en-US"/>
              </w:rPr>
              <w:t xml:space="preserve">«Privilege Escalation, Tactic TA0004 - Enterprise | MITRE ATT&amp;CK,» [Online]. </w:t>
            </w:r>
            <w:r>
              <w:rPr>
                <w:noProof/>
              </w:rPr>
              <w:t>Available: https://attack.mitre.org/tactics/TA0004/.</w:t>
            </w:r>
          </w:p>
        </w:tc>
      </w:tr>
    </w:tbl>
    <w:p w14:paraId="2B3D3321" w14:textId="77777777" w:rsidR="00275107" w:rsidRDefault="00275107">
      <w:pPr>
        <w:divId w:val="854609874"/>
        <w:rPr>
          <w:rFonts w:eastAsia="Times New Roman"/>
          <w:noProof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A7146B">
      <w:footerReference w:type="even" r:id="rId12"/>
      <w:footerReference w:type="first" r:id="rId13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34DA" w14:textId="77777777" w:rsidR="00CA2B15" w:rsidRDefault="00CA2B15" w:rsidP="00A7146B">
      <w:pPr>
        <w:spacing w:line="240" w:lineRule="auto"/>
      </w:pPr>
      <w:r>
        <w:separator/>
      </w:r>
    </w:p>
  </w:endnote>
  <w:endnote w:type="continuationSeparator" w:id="0">
    <w:p w14:paraId="27357F7B" w14:textId="77777777" w:rsidR="00CA2B15" w:rsidRDefault="00CA2B15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9B46" w14:textId="77777777" w:rsidR="00CA2B15" w:rsidRDefault="00CA2B15" w:rsidP="00A7146B">
      <w:pPr>
        <w:spacing w:line="240" w:lineRule="auto"/>
      </w:pPr>
      <w:r>
        <w:separator/>
      </w:r>
    </w:p>
  </w:footnote>
  <w:footnote w:type="continuationSeparator" w:id="0">
    <w:p w14:paraId="4549ACB5" w14:textId="77777777" w:rsidR="00CA2B15" w:rsidRDefault="00CA2B15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33FB"/>
    <w:rsid w:val="00124069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7092D"/>
    <w:rsid w:val="00370A5F"/>
    <w:rsid w:val="003748CF"/>
    <w:rsid w:val="00390B75"/>
    <w:rsid w:val="00392F87"/>
    <w:rsid w:val="0039653D"/>
    <w:rsid w:val="00397EEB"/>
    <w:rsid w:val="003A2501"/>
    <w:rsid w:val="003A3587"/>
    <w:rsid w:val="003A43EB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5367"/>
    <w:rsid w:val="006E1C86"/>
    <w:rsid w:val="006F4EAC"/>
    <w:rsid w:val="007028C6"/>
    <w:rsid w:val="00703CEB"/>
    <w:rsid w:val="00704610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71B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4F69"/>
    <w:rsid w:val="00826727"/>
    <w:rsid w:val="008341D9"/>
    <w:rsid w:val="008376BC"/>
    <w:rsid w:val="0084635A"/>
    <w:rsid w:val="00846C1E"/>
    <w:rsid w:val="00847643"/>
    <w:rsid w:val="00850D00"/>
    <w:rsid w:val="00855DB2"/>
    <w:rsid w:val="00856953"/>
    <w:rsid w:val="00860158"/>
    <w:rsid w:val="00866CEC"/>
    <w:rsid w:val="0087303B"/>
    <w:rsid w:val="0087464E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0F97"/>
    <w:rsid w:val="00982B2F"/>
    <w:rsid w:val="00983A44"/>
    <w:rsid w:val="00993360"/>
    <w:rsid w:val="00996702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31E2"/>
    <w:rsid w:val="009D57E1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45C91"/>
    <w:rsid w:val="00C5321C"/>
    <w:rsid w:val="00C533A1"/>
    <w:rsid w:val="00C5647B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49E3"/>
    <w:rsid w:val="00E80B6D"/>
    <w:rsid w:val="00E80F0F"/>
    <w:rsid w:val="00E828FF"/>
    <w:rsid w:val="00E90371"/>
    <w:rsid w:val="00E917A8"/>
    <w:rsid w:val="00E92279"/>
    <w:rsid w:val="00E9252F"/>
    <w:rsid w:val="00E93F82"/>
    <w:rsid w:val="00EA02A3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A0D56"/>
    <w:rsid w:val="00FA0E77"/>
    <w:rsid w:val="00FA4245"/>
    <w:rsid w:val="00FB0A1E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Qui1</b:Tag>
    <b:SourceType>InternetSite</b:SourceType>
    <b:Guid>{84306D64-4066-4CBD-BD89-B1C663AF4F34}</b:Guid>
    <b:Title>QuickProfileLanguage WIki AppArmor / AppArmor</b:Title>
    <b:URL>https://gitlab.com/apparmor/apparmor/-/wikis/About</b:URL>
    <b:RefOrder>16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</b:Sources>
</file>

<file path=customXml/itemProps1.xml><?xml version="1.0" encoding="utf-8"?>
<ds:datastoreItem xmlns:ds="http://schemas.openxmlformats.org/officeDocument/2006/customXml" ds:itemID="{DDE4A1B6-8FC3-4551-A3C9-C12EAA7D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23</Pages>
  <Words>4751</Words>
  <Characters>27082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476</cp:revision>
  <cp:lastPrinted>2023-07-03T10:15:00Z</cp:lastPrinted>
  <dcterms:created xsi:type="dcterms:W3CDTF">2023-06-25T14:08:00Z</dcterms:created>
  <dcterms:modified xsi:type="dcterms:W3CDTF">2023-07-16T16:02:00Z</dcterms:modified>
</cp:coreProperties>
</file>