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662.55pt" o:ole="">
            <v:imagedata r:id="rId11" o:title=""/>
          </v:shape>
          <o:OLEObject Type="Embed" ProgID="Word.OpenDocumentText.12" ShapeID="_x0000_i1025" DrawAspect="Content" ObjectID="_1751796376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2DBDC813" w14:textId="2139AA8B" w:rsidR="000621B4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681906" w:history="1">
        <w:r w:rsidR="000621B4" w:rsidRPr="00620B42">
          <w:rPr>
            <w:rStyle w:val="Collegamentoipertestuale"/>
            <w:noProof/>
          </w:rPr>
          <w:t>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INTRODUZIONE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64B14A84" w14:textId="36825379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7" w:history="1">
        <w:r w:rsidR="000621B4" w:rsidRPr="00620B42">
          <w:rPr>
            <w:rStyle w:val="Collegamentoipertestuale"/>
            <w:noProof/>
          </w:rPr>
          <w:t>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0084A8B3" w14:textId="4489195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8" w:history="1">
        <w:r w:rsidR="000621B4" w:rsidRPr="00620B42">
          <w:rPr>
            <w:rStyle w:val="Collegamentoipertestuale"/>
            <w:noProof/>
          </w:rPr>
          <w:t>1.1.1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Management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0</w:t>
        </w:r>
        <w:r w:rsidR="000621B4">
          <w:rPr>
            <w:noProof/>
            <w:webHidden/>
          </w:rPr>
          <w:fldChar w:fldCharType="end"/>
        </w:r>
      </w:hyperlink>
    </w:p>
    <w:p w14:paraId="7C4884AF" w14:textId="3C9014D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09" w:history="1">
        <w:r w:rsidR="000621B4" w:rsidRPr="00620B42">
          <w:rPr>
            <w:rStyle w:val="Collegamentoipertestuale"/>
            <w:noProof/>
          </w:rPr>
          <w:t>1.2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processi in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_Toc140681909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05172D7B" w14:textId="0D30EAF3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0" w:history="1">
        <w:r w:rsidR="000621B4" w:rsidRPr="00620B42">
          <w:rPr>
            <w:rStyle w:val="Collegamentoipertestuale"/>
            <w:noProof/>
          </w:rPr>
          <w:t>1.2.1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Spazi d’indirizzi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65388918" w14:textId="4CE6A81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1" w:history="1">
        <w:r w:rsidR="000621B4" w:rsidRPr="00620B42">
          <w:rPr>
            <w:rStyle w:val="Collegamentoipertestuale"/>
            <w:noProof/>
          </w:rPr>
          <w:t>1.2.2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Gruppi di controllo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</w:t>
        </w:r>
        <w:r w:rsidR="000621B4">
          <w:rPr>
            <w:noProof/>
            <w:webHidden/>
          </w:rPr>
          <w:fldChar w:fldCharType="end"/>
        </w:r>
      </w:hyperlink>
    </w:p>
    <w:p w14:paraId="44F04D83" w14:textId="602693B7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2" w:history="1">
        <w:r w:rsidR="000621B4" w:rsidRPr="00620B42">
          <w:rPr>
            <w:rStyle w:val="Collegamentoipertestuale"/>
            <w:noProof/>
          </w:rPr>
          <w:t>1.3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Linux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51DA74BA" w14:textId="3BBB55BA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3" w:history="1">
        <w:r w:rsidR="000621B4" w:rsidRPr="00620B42">
          <w:rPr>
            <w:rStyle w:val="Collegamentoipertestuale"/>
            <w:noProof/>
          </w:rPr>
          <w:t>1.3.1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Moduli Capability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4BCF11E" w14:textId="08991FC2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4" w:history="1">
        <w:r w:rsidR="000621B4" w:rsidRPr="00620B42">
          <w:rPr>
            <w:rStyle w:val="Collegamentoipertestuale"/>
            <w:noProof/>
          </w:rPr>
          <w:t>1.3.2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Secure Computing mode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1F7AD4CE" w14:textId="43E9B2A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5" w:history="1">
        <w:r w:rsidR="000621B4" w:rsidRPr="00620B42">
          <w:rPr>
            <w:rStyle w:val="Collegamentoipertestuale"/>
            <w:noProof/>
            <w:lang w:val="en-US"/>
          </w:rPr>
          <w:t>1.3.3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  <w:lang w:val="en-US"/>
          </w:rPr>
          <w:t>Linux Security Modules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_Toc140681915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3</w:t>
        </w:r>
        <w:r w:rsidR="000621B4">
          <w:rPr>
            <w:noProof/>
            <w:webHidden/>
          </w:rPr>
          <w:fldChar w:fldCharType="end"/>
        </w:r>
      </w:hyperlink>
    </w:p>
    <w:p w14:paraId="4642B28F" w14:textId="109BA49C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6" w:history="1">
        <w:r w:rsidR="000621B4" w:rsidRPr="00620B42">
          <w:rPr>
            <w:rStyle w:val="Collegamentoipertestuale"/>
            <w:noProof/>
          </w:rPr>
          <w:t>1.4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_Toc140681916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07C8FBFB" w14:textId="1D557EEC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7" w:history="1">
        <w:r w:rsidR="000621B4" w:rsidRPr="00620B42">
          <w:rPr>
            <w:rStyle w:val="Collegamentoipertestuale"/>
            <w:noProof/>
          </w:rPr>
          <w:t>1.4.1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Architettura framework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_Toc140681917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5</w:t>
        </w:r>
        <w:r w:rsidR="000621B4">
          <w:rPr>
            <w:noProof/>
            <w:webHidden/>
          </w:rPr>
          <w:fldChar w:fldCharType="end"/>
        </w:r>
      </w:hyperlink>
    </w:p>
    <w:p w14:paraId="44779277" w14:textId="4D22D640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8" w:history="1">
        <w:r w:rsidR="000621B4" w:rsidRPr="00620B42">
          <w:rPr>
            <w:rStyle w:val="Collegamentoipertestuale"/>
            <w:noProof/>
          </w:rPr>
          <w:t>1.4.2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Isolamento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_Toc140681918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7</w:t>
        </w:r>
        <w:r w:rsidR="000621B4">
          <w:rPr>
            <w:noProof/>
            <w:webHidden/>
          </w:rPr>
          <w:fldChar w:fldCharType="end"/>
        </w:r>
      </w:hyperlink>
    </w:p>
    <w:p w14:paraId="3A3AC79B" w14:textId="56FF0DBB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19" w:history="1">
        <w:r w:rsidR="000621B4" w:rsidRPr="00620B42">
          <w:rPr>
            <w:rStyle w:val="Collegamentoipertestuale"/>
            <w:noProof/>
          </w:rPr>
          <w:t>1.4.3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Immagine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_Toc140681919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7C08601E" w14:textId="417D5145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0" w:history="1">
        <w:r w:rsidR="000621B4" w:rsidRPr="00620B42">
          <w:rPr>
            <w:rStyle w:val="Collegamentoipertestuale"/>
            <w:noProof/>
          </w:rPr>
          <w:t>1.4.4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Filesystem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_Toc140681920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9</w:t>
        </w:r>
        <w:r w:rsidR="000621B4">
          <w:rPr>
            <w:noProof/>
            <w:webHidden/>
          </w:rPr>
          <w:fldChar w:fldCharType="end"/>
        </w:r>
      </w:hyperlink>
    </w:p>
    <w:p w14:paraId="685C64CB" w14:textId="17A2A9BE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1" w:history="1">
        <w:r w:rsidR="000621B4" w:rsidRPr="00620B42">
          <w:rPr>
            <w:rStyle w:val="Collegamentoipertestuale"/>
            <w:noProof/>
          </w:rPr>
          <w:t>1.4.5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Networking in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_Toc140681921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10</w:t>
        </w:r>
        <w:r w:rsidR="000621B4">
          <w:rPr>
            <w:noProof/>
            <w:webHidden/>
          </w:rPr>
          <w:fldChar w:fldCharType="end"/>
        </w:r>
      </w:hyperlink>
    </w:p>
    <w:p w14:paraId="3B93B05D" w14:textId="7DA8755D" w:rsidR="000621B4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2" w:history="1">
        <w:r w:rsidR="000621B4" w:rsidRPr="00620B42">
          <w:rPr>
            <w:rStyle w:val="Collegamentoipertestuale"/>
            <w:noProof/>
          </w:rPr>
          <w:t>1.4.6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Sicurezza del container Docker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_Toc140681922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11</w:t>
        </w:r>
        <w:r w:rsidR="000621B4">
          <w:rPr>
            <w:noProof/>
            <w:webHidden/>
          </w:rPr>
          <w:fldChar w:fldCharType="end"/>
        </w:r>
      </w:hyperlink>
    </w:p>
    <w:p w14:paraId="2BE1B9DA" w14:textId="1E081645" w:rsidR="000621B4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3" w:history="1">
        <w:r w:rsidR="000621B4" w:rsidRPr="00620B42">
          <w:rPr>
            <w:rStyle w:val="Collegamentoipertestuale"/>
            <w:noProof/>
          </w:rPr>
          <w:t>1.5</w:t>
        </w:r>
        <w:r w:rsidR="000621B4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0621B4" w:rsidRPr="00620B42">
          <w:rPr>
            <w:rStyle w:val="Collegamentoipertestuale"/>
            <w:noProof/>
          </w:rPr>
          <w:t>Container Escape Vulnerability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_Toc140681923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12</w:t>
        </w:r>
        <w:r w:rsidR="000621B4">
          <w:rPr>
            <w:noProof/>
            <w:webHidden/>
          </w:rPr>
          <w:fldChar w:fldCharType="end"/>
        </w:r>
      </w:hyperlink>
    </w:p>
    <w:p w14:paraId="0DA3A06A" w14:textId="6302D55B" w:rsidR="000621B4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681924" w:history="1">
        <w:r w:rsidR="000621B4" w:rsidRPr="00620B42">
          <w:rPr>
            <w:rStyle w:val="Collegamentoipertestuale"/>
            <w:noProof/>
          </w:rPr>
          <w:t>RIFERIMENTI</w:t>
        </w:r>
        <w:r w:rsidR="000621B4">
          <w:rPr>
            <w:noProof/>
            <w:webHidden/>
          </w:rPr>
          <w:tab/>
        </w:r>
        <w:r w:rsidR="000621B4">
          <w:rPr>
            <w:noProof/>
            <w:webHidden/>
          </w:rPr>
          <w:fldChar w:fldCharType="begin"/>
        </w:r>
        <w:r w:rsidR="000621B4">
          <w:rPr>
            <w:noProof/>
            <w:webHidden/>
          </w:rPr>
          <w:instrText xml:space="preserve"> PAGEREF _Toc140681924 \h </w:instrText>
        </w:r>
        <w:r w:rsidR="000621B4">
          <w:rPr>
            <w:noProof/>
            <w:webHidden/>
          </w:rPr>
        </w:r>
        <w:r w:rsidR="000621B4">
          <w:rPr>
            <w:noProof/>
            <w:webHidden/>
          </w:rPr>
          <w:fldChar w:fldCharType="separate"/>
        </w:r>
        <w:r w:rsidR="000621B4">
          <w:rPr>
            <w:noProof/>
            <w:webHidden/>
          </w:rPr>
          <w:t>13</w:t>
        </w:r>
        <w:r w:rsidR="000621B4">
          <w:rPr>
            <w:noProof/>
            <w:webHidden/>
          </w:rPr>
          <w:fldChar w:fldCharType="end"/>
        </w:r>
      </w:hyperlink>
    </w:p>
    <w:p w14:paraId="2F811770" w14:textId="594DA92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16E93686" w14:textId="10170B63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0679979" w:history="1">
        <w:r w:rsidR="00B32AC7" w:rsidRPr="006312E3">
          <w:rPr>
            <w:rStyle w:val="Collegamentoipertestuale"/>
            <w:noProof/>
          </w:rPr>
          <w:t>Figura 1: comando docker run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_Toc140679979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6</w:t>
        </w:r>
        <w:r w:rsidR="00B32AC7">
          <w:rPr>
            <w:noProof/>
            <w:webHidden/>
          </w:rPr>
          <w:fldChar w:fldCharType="end"/>
        </w:r>
      </w:hyperlink>
    </w:p>
    <w:p w14:paraId="0BDD7E49" w14:textId="3C48D4BB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0" w:history="1">
        <w:r w:rsidR="00B32AC7" w:rsidRPr="006312E3">
          <w:rPr>
            <w:rStyle w:val="Collegamentoipertestuale"/>
            <w:noProof/>
          </w:rPr>
          <w:t>Figura 2: unshare syscall di containerd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_Toc140679980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7</w:t>
        </w:r>
        <w:r w:rsidR="00B32AC7">
          <w:rPr>
            <w:noProof/>
            <w:webHidden/>
          </w:rPr>
          <w:fldChar w:fldCharType="end"/>
        </w:r>
      </w:hyperlink>
    </w:p>
    <w:p w14:paraId="4B42748F" w14:textId="5CAB86E8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1" w:history="1">
        <w:r w:rsidR="00B32AC7" w:rsidRPr="006312E3">
          <w:rPr>
            <w:rStyle w:val="Collegamentoipertestuale"/>
            <w:noProof/>
          </w:rPr>
          <w:t>Figura 3: confronto ns processo container e bash host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_Toc140679981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8</w:t>
        </w:r>
        <w:r w:rsidR="00B32AC7">
          <w:rPr>
            <w:noProof/>
            <w:webHidden/>
          </w:rPr>
          <w:fldChar w:fldCharType="end"/>
        </w:r>
      </w:hyperlink>
    </w:p>
    <w:p w14:paraId="4F7E7B13" w14:textId="78F8730E" w:rsidR="00B32AC7" w:rsidRDefault="00000000">
      <w:pPr>
        <w:pStyle w:val="Indicedellefigure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40679982" w:history="1">
        <w:r w:rsidR="00B32AC7" w:rsidRPr="006312E3">
          <w:rPr>
            <w:rStyle w:val="Collegamentoipertestuale"/>
            <w:noProof/>
          </w:rPr>
          <w:t>Figura 4: OverlayFS in Docker</w:t>
        </w:r>
        <w:r w:rsidR="00B32AC7">
          <w:rPr>
            <w:noProof/>
            <w:webHidden/>
          </w:rPr>
          <w:tab/>
        </w:r>
        <w:r w:rsidR="00B32AC7">
          <w:rPr>
            <w:noProof/>
            <w:webHidden/>
          </w:rPr>
          <w:fldChar w:fldCharType="begin"/>
        </w:r>
        <w:r w:rsidR="00B32AC7">
          <w:rPr>
            <w:noProof/>
            <w:webHidden/>
          </w:rPr>
          <w:instrText xml:space="preserve"> PAGEREF _Toc140679982 \h </w:instrText>
        </w:r>
        <w:r w:rsidR="00B32AC7">
          <w:rPr>
            <w:noProof/>
            <w:webHidden/>
          </w:rPr>
        </w:r>
        <w:r w:rsidR="00B32AC7">
          <w:rPr>
            <w:noProof/>
            <w:webHidden/>
          </w:rPr>
          <w:fldChar w:fldCharType="separate"/>
        </w:r>
        <w:r w:rsidR="00B32AC7">
          <w:rPr>
            <w:noProof/>
            <w:webHidden/>
          </w:rPr>
          <w:t>9</w:t>
        </w:r>
        <w:r w:rsidR="00B32AC7">
          <w:rPr>
            <w:noProof/>
            <w:webHidden/>
          </w:rPr>
          <w:fldChar w:fldCharType="end"/>
        </w:r>
      </w:hyperlink>
    </w:p>
    <w:p w14:paraId="4EB79793" w14:textId="42445BA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r>
        <w:rPr>
          <w:b/>
          <w:bCs/>
          <w:noProof/>
        </w:rPr>
        <w:fldChar w:fldCharType="end"/>
      </w:r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AE7752">
      <w:pPr>
        <w:rPr>
          <w:sz w:val="30"/>
          <w:szCs w:val="30"/>
        </w:rPr>
        <w:sectPr w:rsidR="00A7146B" w:rsidSect="00A7146B">
          <w:footerReference w:type="even" r:id="rId13"/>
          <w:footerReference w:type="default" r:id="rId14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2223FEAF" w:rsidR="00AE6403" w:rsidRDefault="00AE6403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9EE44BB" w14:textId="77777777" w:rsidR="00A7146B" w:rsidRDefault="00A7146B" w:rsidP="006219DD">
      <w:pPr>
        <w:ind w:firstLine="0"/>
        <w:rPr>
          <w:sz w:val="30"/>
          <w:szCs w:val="30"/>
        </w:rPr>
      </w:pP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681906"/>
      <w:r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681907"/>
      <w:r>
        <w:t>Container</w:t>
      </w:r>
      <w:bookmarkEnd w:id="2"/>
    </w:p>
    <w:p w14:paraId="53F11258" w14:textId="46346462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</w:t>
      </w:r>
      <w:r w:rsidRPr="00AE7752">
        <w:t>software</w:t>
      </w:r>
      <w:r w:rsidRPr="003C2D2F">
        <w:t xml:space="preserve">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68190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6C0C139A" w14:textId="1490F707" w:rsidR="00FC1455" w:rsidRPr="00FC1455" w:rsidRDefault="00983A44" w:rsidP="00F974A6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68190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68191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68191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68191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68191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68191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68191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68191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681917"/>
      <w:r>
        <w:t>Architettura</w:t>
      </w:r>
      <w:r w:rsidR="00606C5B">
        <w:t xml:space="preserve"> framework</w:t>
      </w:r>
      <w:bookmarkEnd w:id="12"/>
    </w:p>
    <w:p w14:paraId="2349C81E" w14:textId="5F3AED9A" w:rsidR="00A169D1" w:rsidRDefault="00485599" w:rsidP="00A169D1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 xml:space="preserve">: </w:t>
      </w:r>
      <w:r w:rsidRPr="004765F0">
        <w:t>è sviluppato come</w:t>
      </w:r>
      <w:r w:rsidR="00084558">
        <w:t xml:space="preserve"> un’</w:t>
      </w:r>
      <w:r w:rsidRPr="004765F0">
        <w:t xml:space="preserve">architettura </w:t>
      </w:r>
      <w:proofErr w:type="spellStart"/>
      <w:r w:rsidRPr="004765F0">
        <w:t>client-server</w:t>
      </w:r>
      <w:proofErr w:type="spellEnd"/>
      <w:r w:rsidRPr="004765F0">
        <w:t xml:space="preserve"> conforme alle regole REST API</w:t>
      </w:r>
      <w:r>
        <w:t xml:space="preserve">: la comunicazione tra clienti e controllore, basata su HTTP, è gestita in maniera </w:t>
      </w:r>
      <w:proofErr w:type="spellStart"/>
      <w:r>
        <w:t>stateless</w:t>
      </w:r>
      <w:proofErr w:type="spellEnd"/>
      <w:r>
        <w:t xml:space="preserve"> seguendo un formato standard specificato nella documentazione della Docker API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B42A3F7" w14:textId="0A813038" w:rsidR="007E34D2" w:rsidRPr="004765F0" w:rsidRDefault="007E34D2" w:rsidP="00A169D1">
      <w:r>
        <w:t>Di base,</w:t>
      </w:r>
      <w:r w:rsidR="00084558">
        <w:t xml:space="preserve"> l’</w:t>
      </w:r>
      <w:r>
        <w:t xml:space="preserve">architettura </w:t>
      </w:r>
      <w:r w:rsidR="004C2C44">
        <w:t xml:space="preserve">Docker </w:t>
      </w:r>
      <w:r>
        <w:t>è così costituita</w:t>
      </w:r>
      <w:r w:rsidR="00B32AC7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4C49858A" w14:textId="612B5C67" w:rsidR="00E73CC0" w:rsidRDefault="007E34D2" w:rsidP="00E73CC0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</w:t>
      </w:r>
      <w:r w:rsidRPr="004765F0">
        <w:lastRenderedPageBreak/>
        <w:t>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5012E9D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 w:rsidR="00B32AC7">
        <w:t xml:space="preserve"> (</w:t>
      </w:r>
      <w:r w:rsidR="00B32AC7">
        <w:fldChar w:fldCharType="begin"/>
      </w:r>
      <w:r w:rsidR="00B32AC7">
        <w:instrText xml:space="preserve"> REF _Ref140679780 \h </w:instrText>
      </w:r>
      <w:r w:rsidR="00B32AC7">
        <w:fldChar w:fldCharType="separate"/>
      </w:r>
      <w:r w:rsidR="00B32AC7">
        <w:t xml:space="preserve">Figura </w:t>
      </w:r>
      <w:r w:rsidR="00B32AC7">
        <w:rPr>
          <w:noProof/>
        </w:rPr>
        <w:t>1</w:t>
      </w:r>
      <w:r w:rsidR="00B32AC7">
        <w:fldChar w:fldCharType="end"/>
      </w:r>
      <w:r w:rsidR="00B32AC7">
        <w:t>)</w:t>
      </w:r>
      <w:r w:rsidR="00B32AC7" w:rsidRPr="004765F0">
        <w:t>: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586C0BE5" w14:textId="6F8D2352" w:rsidR="00F974A6" w:rsidRDefault="007A23ED" w:rsidP="00F974A6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1DD3CDA1" w14:textId="77777777" w:rsidR="002B19C1" w:rsidRDefault="002B19C1" w:rsidP="00124A9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DECB26" wp14:editId="63FF2399">
            <wp:extent cx="5400379" cy="5424170"/>
            <wp:effectExtent l="0" t="0" r="0" b="5080"/>
            <wp:docPr id="147341845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18459" name="Immagin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79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5BB" w14:textId="7A5F8CE0" w:rsidR="002B19C1" w:rsidRPr="007A23ED" w:rsidRDefault="002B19C1" w:rsidP="00B32AC7">
      <w:pPr>
        <w:pStyle w:val="Didascalia"/>
        <w:jc w:val="center"/>
      </w:pPr>
      <w:bookmarkStart w:id="13" w:name="_Ref140679780"/>
      <w:bookmarkStart w:id="14" w:name="_Toc140679979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3"/>
      <w:r>
        <w:t xml:space="preserve">: </w:t>
      </w:r>
      <w:r w:rsidR="00B32AC7">
        <w:t xml:space="preserve">comando </w:t>
      </w:r>
      <w:proofErr w:type="spellStart"/>
      <w:r w:rsidR="00B32AC7">
        <w:t>docker</w:t>
      </w:r>
      <w:proofErr w:type="spellEnd"/>
      <w:r w:rsidR="00B32AC7">
        <w:t xml:space="preserve"> </w:t>
      </w:r>
      <w:proofErr w:type="spellStart"/>
      <w:r w:rsidR="00B32AC7">
        <w:t>run</w:t>
      </w:r>
      <w:bookmarkEnd w:id="14"/>
      <w:proofErr w:type="spellEnd"/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5" w:name="_RIFERIMENTI"/>
      <w:bookmarkStart w:id="16" w:name="_Toc140681918"/>
      <w:bookmarkEnd w:id="15"/>
      <w:r>
        <w:lastRenderedPageBreak/>
        <w:t>Isolamento</w:t>
      </w:r>
      <w:r w:rsidR="006A5BFE">
        <w:t xml:space="preserve"> del container Docker</w:t>
      </w:r>
      <w:bookmarkEnd w:id="16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16C788C5" w:rsidR="00C11EAA" w:rsidRDefault="00482FCE" w:rsidP="00482FCE"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delle flag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B3063F">
        <w:t>(</w:t>
      </w:r>
      <w:r w:rsidR="00B3063F">
        <w:fldChar w:fldCharType="begin"/>
      </w:r>
      <w:r w:rsidR="00B3063F">
        <w:instrText xml:space="preserve"> REF _Ref140672352 \h </w:instrText>
      </w:r>
      <w:r w:rsidR="00B3063F">
        <w:fldChar w:fldCharType="separate"/>
      </w:r>
      <w:r w:rsidR="00B3063F">
        <w:t xml:space="preserve">Figura </w:t>
      </w:r>
      <w:r w:rsidR="00B3063F">
        <w:rPr>
          <w:noProof/>
        </w:rPr>
        <w:t>1</w:t>
      </w:r>
      <w:r w:rsidR="00B3063F">
        <w:fldChar w:fldCharType="end"/>
      </w:r>
      <w:r w:rsidR="00B3063F">
        <w:t xml:space="preserve">)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B3063F">
        <w:t>NEW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7C9E676E" w14:textId="77777777" w:rsidR="00B3063F" w:rsidRDefault="00B3063F" w:rsidP="00B3063F">
      <w:pPr>
        <w:keepNext/>
        <w:ind w:firstLine="0"/>
      </w:pPr>
      <w:r>
        <w:rPr>
          <w:noProof/>
        </w:rPr>
        <w:drawing>
          <wp:inline distT="0" distB="0" distL="0" distR="0" wp14:anchorId="6DD1FED1" wp14:editId="2C297CDB">
            <wp:extent cx="5344795" cy="511810"/>
            <wp:effectExtent l="0" t="0" r="8255" b="2540"/>
            <wp:docPr id="9590939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5AEF" w14:textId="372BCE38" w:rsidR="00B3063F" w:rsidRPr="00482FCE" w:rsidRDefault="00B3063F" w:rsidP="00B32AC7">
      <w:pPr>
        <w:pStyle w:val="Didascalia"/>
        <w:jc w:val="center"/>
        <w:rPr>
          <w:rFonts w:cs="Times New Roman"/>
        </w:rPr>
      </w:pPr>
      <w:bookmarkStart w:id="17" w:name="_Ref140672352"/>
      <w:bookmarkStart w:id="18" w:name="_Toc140679980"/>
      <w:r>
        <w:t xml:space="preserve">Figura </w:t>
      </w:r>
      <w:fldSimple w:instr=" SEQ Figura \* ARABIC ">
        <w:r w:rsidR="002B19C1">
          <w:rPr>
            <w:noProof/>
          </w:rPr>
          <w:t>2</w:t>
        </w:r>
      </w:fldSimple>
      <w:bookmarkEnd w:id="17"/>
      <w:r>
        <w:t xml:space="preserve">: </w:t>
      </w:r>
      <w:proofErr w:type="spellStart"/>
      <w:r>
        <w:t>unshare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di </w:t>
      </w:r>
      <w:proofErr w:type="spellStart"/>
      <w:r>
        <w:t>containerd</w:t>
      </w:r>
      <w:bookmarkEnd w:id="18"/>
      <w:proofErr w:type="spellEnd"/>
    </w:p>
    <w:p w14:paraId="2FE8B5EF" w14:textId="77777777" w:rsidR="00FB453C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2B19C1">
        <w:t xml:space="preserve"> (</w:t>
      </w:r>
      <w:r w:rsidR="002B19C1">
        <w:fldChar w:fldCharType="begin"/>
      </w:r>
      <w:r w:rsidR="002B19C1">
        <w:instrText xml:space="preserve"> REF _Ref140674311 \h </w:instrText>
      </w:r>
      <w:r w:rsidR="002B19C1">
        <w:fldChar w:fldCharType="separate"/>
      </w:r>
      <w:r w:rsidR="002B19C1">
        <w:t xml:space="preserve">Figura </w:t>
      </w:r>
      <w:r w:rsidR="002B19C1">
        <w:rPr>
          <w:noProof/>
        </w:rPr>
        <w:t>3</w:t>
      </w:r>
      <w:r w:rsidR="002B19C1">
        <w:fldChar w:fldCharType="end"/>
      </w:r>
      <w:r w:rsidR="002B19C1">
        <w:t>)</w:t>
      </w:r>
      <w:r w:rsidR="000E7DBF">
        <w:t xml:space="preserve">. </w:t>
      </w:r>
    </w:p>
    <w:p w14:paraId="2C858D89" w14:textId="599E7B30" w:rsidR="00847643" w:rsidRDefault="000E7DBF" w:rsidP="000E7DBF">
      <w:pPr>
        <w:pStyle w:val="Rientrocorpodeltesto"/>
      </w:pPr>
      <w:r>
        <w:t xml:space="preserve">Il </w:t>
      </w:r>
      <w:r w:rsidR="00AF0C19">
        <w:t xml:space="preserve">contenuto della </w:t>
      </w:r>
      <w:r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0450170D" w14:textId="424592ED" w:rsidR="002B19C1" w:rsidRDefault="002F71AE" w:rsidP="002B19C1">
      <w:r>
        <w:t>Si possono estrarre</w:t>
      </w:r>
      <w:r w:rsidR="000E7DBF" w:rsidRPr="000E7DBF">
        <w:t xml:space="preserve"> le informazioni dei </w:t>
      </w:r>
      <w:proofErr w:type="spellStart"/>
      <w:r w:rsidR="000E7DBF" w:rsidRPr="000E7DBF">
        <w:t>namespace</w:t>
      </w:r>
      <w:proofErr w:type="spellEnd"/>
      <w:r w:rsidR="000E7DBF" w:rsidRPr="000E7DBF">
        <w:t xml:space="preserve"> del processo terminale applicando il comando </w:t>
      </w:r>
      <w:proofErr w:type="spellStart"/>
      <w:r w:rsidR="000E7DBF" w:rsidRPr="000E7DBF">
        <w:rPr>
          <w:rFonts w:ascii="Courier New" w:hAnsi="Courier New" w:cs="Courier New"/>
        </w:rPr>
        <w:t>ls</w:t>
      </w:r>
      <w:proofErr w:type="spellEnd"/>
      <w:r w:rsidR="000E7DBF" w:rsidRPr="000E7DBF">
        <w:rPr>
          <w:rFonts w:ascii="Courier New" w:hAnsi="Courier New" w:cs="Courier New"/>
        </w:rPr>
        <w:t xml:space="preserve"> -l /proc/$$/ns</w:t>
      </w:r>
      <w:r w:rsidR="000E7DBF" w:rsidRPr="000E7DBF">
        <w:t xml:space="preserve"> . </w:t>
      </w:r>
      <w:r>
        <w:t xml:space="preserve">Inoltre, se si </w:t>
      </w:r>
      <w:r w:rsidR="000E7DBF" w:rsidRPr="000E7DBF">
        <w:t xml:space="preserve">crea </w:t>
      </w:r>
      <w:proofErr w:type="gramStart"/>
      <w:r w:rsidR="000E7DBF" w:rsidRPr="000E7DBF">
        <w:t>una task</w:t>
      </w:r>
      <w:proofErr w:type="gramEnd"/>
      <w:r w:rsidR="000E7DBF" w:rsidRPr="000E7DBF">
        <w:t xml:space="preserve"> </w:t>
      </w:r>
      <w:r w:rsidR="00F64751">
        <w:t>“</w:t>
      </w:r>
      <w:r w:rsidR="000E7DBF" w:rsidRPr="000E7DBF">
        <w:t>lunga</w:t>
      </w:r>
      <w:r w:rsidR="00F64751">
        <w:t>”</w:t>
      </w:r>
      <w:r w:rsidR="000E7DBF" w:rsidRPr="000E7DBF">
        <w:t xml:space="preserve"> in un container e si ricerca la task su </w:t>
      </w:r>
      <w:proofErr w:type="spellStart"/>
      <w:r w:rsidR="000E7DBF" w:rsidRPr="000E7DBF">
        <w:t>host</w:t>
      </w:r>
      <w:proofErr w:type="spellEnd"/>
      <w:r w:rsidR="000E7DBF" w:rsidRPr="000E7DBF">
        <w:t xml:space="preserve"> tramite il comando </w:t>
      </w:r>
      <w:proofErr w:type="spellStart"/>
      <w:r w:rsidR="000E7DBF" w:rsidRPr="000E7DBF">
        <w:rPr>
          <w:rFonts w:ascii="Courier New" w:hAnsi="Courier New" w:cs="Courier New"/>
        </w:rPr>
        <w:t>ps</w:t>
      </w:r>
      <w:proofErr w:type="spellEnd"/>
      <w:r w:rsidR="000E7DBF" w:rsidRPr="000E7DBF">
        <w:t xml:space="preserve">, </w:t>
      </w:r>
      <w:r>
        <w:t>è possibile</w:t>
      </w:r>
      <w:r w:rsidR="000E7DBF" w:rsidRPr="000E7DBF">
        <w:t xml:space="preserve"> estrarre il PID </w:t>
      </w:r>
      <w:r w:rsidR="00F64751">
        <w:t>“</w:t>
      </w:r>
      <w:r w:rsidR="000E7DBF" w:rsidRPr="000E7DBF">
        <w:t>reale</w:t>
      </w:r>
      <w:r w:rsidR="00F64751">
        <w:t>”</w:t>
      </w:r>
      <w:r w:rsidR="000E7DBF" w:rsidRPr="000E7DBF">
        <w:t xml:space="preserve"> della task </w:t>
      </w:r>
      <w:r>
        <w:t xml:space="preserve">containerizzata </w:t>
      </w:r>
      <w:r w:rsidR="000E7DBF" w:rsidRPr="000E7DBF">
        <w:t xml:space="preserve">e accedere alle informazioni della sua sottocartella </w:t>
      </w:r>
      <w:r w:rsidR="000E7DBF" w:rsidRPr="000E7DBF">
        <w:rPr>
          <w:rFonts w:ascii="Courier New" w:hAnsi="Courier New" w:cs="Courier New"/>
        </w:rPr>
        <w:t>ns</w:t>
      </w:r>
      <w:r w:rsidR="000E7DBF" w:rsidRPr="000E7DBF">
        <w:t xml:space="preserve"> come fatto per il terminale.</w:t>
      </w:r>
    </w:p>
    <w:p w14:paraId="4A8D2DA4" w14:textId="30BED7AA" w:rsidR="00A169D1" w:rsidRDefault="002B19C1" w:rsidP="002B19C1">
      <w:pPr>
        <w:rPr>
          <w:rStyle w:val="Collegamentoipertestuale"/>
          <w:rFonts w:cs="Times New Roman"/>
          <w:color w:val="auto"/>
          <w:u w:val="none"/>
        </w:rPr>
      </w:pPr>
      <w:r>
        <w:t xml:space="preserve">In questo modo, è possibile distinguere quali </w:t>
      </w:r>
      <w:proofErr w:type="spellStart"/>
      <w:r>
        <w:t>namespace</w:t>
      </w:r>
      <w:proofErr w:type="spellEnd"/>
      <w:r>
        <w:t xml:space="preserve"> di un container Docker risultano indipendenti dal sistema operativo ospitante e quali non: in condizioni di default, risultano isolati i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D47C76">
        <w:t>ipc</w:t>
      </w:r>
      <w:proofErr w:type="spellEnd"/>
      <w:r w:rsidRPr="00D47C76">
        <w:t xml:space="preserve">, mnt, net, </w:t>
      </w:r>
      <w:proofErr w:type="spellStart"/>
      <w:r w:rsidRPr="00D47C76">
        <w:t>pid</w:t>
      </w:r>
      <w:proofErr w:type="spellEnd"/>
      <w:r w:rsidRPr="00D47C76">
        <w:t xml:space="preserve">, </w:t>
      </w:r>
      <w:proofErr w:type="spellStart"/>
      <w:r w:rsidRPr="00D47C76">
        <w:t>uts</w:t>
      </w:r>
      <w:proofErr w:type="spellEnd"/>
      <w:r>
        <w:t xml:space="preserve">, mentre il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risulta condiviso o meno se è attivo, rispettivamente, </w:t>
      </w:r>
      <w:proofErr w:type="spellStart"/>
      <w:r>
        <w:t>cgroup</w:t>
      </w:r>
      <w:proofErr w:type="spellEnd"/>
      <w:r>
        <w:t xml:space="preserve"> v1 o </w:t>
      </w:r>
      <w:proofErr w:type="spellStart"/>
      <w:r>
        <w:t>cgroup</w:t>
      </w:r>
      <w:proofErr w:type="spellEnd"/>
      <w:r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Pr="008235C5">
              <w:rPr>
                <w:noProof/>
              </w:rPr>
              <w:t>[29]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bookmarkStart w:id="19" w:name="_MON_1751286639"/>
    <w:bookmarkEnd w:id="19"/>
    <w:p w14:paraId="2B9383CE" w14:textId="5B1D412A" w:rsidR="0084233D" w:rsidRPr="00A169D1" w:rsidRDefault="002B19C1" w:rsidP="00A169D1">
      <w:pPr>
        <w:ind w:firstLine="0"/>
        <w:jc w:val="center"/>
        <w:rPr>
          <w:rFonts w:cs="Times New Roman"/>
        </w:rPr>
      </w:pPr>
      <w:r>
        <w:object w:dxaOrig="8505" w:dyaOrig="10248" w14:anchorId="3E37459A">
          <v:shape id="_x0000_i1026" type="#_x0000_t75" style="width:425.15pt;height:512.55pt" o:ole="" o:bordertopcolor="this" o:borderleftcolor="this" o:borderbottomcolor="this" o:borderrightcolor="this" filled="t" fillcolor="#e7e6e6 [3214]">
            <v:fill opacity="13107f"/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51796377" r:id="rId18"/>
        </w:object>
      </w:r>
    </w:p>
    <w:p w14:paraId="6CC524EC" w14:textId="1D012BF8" w:rsidR="002B19C1" w:rsidRDefault="0084233D" w:rsidP="00B32AC7">
      <w:pPr>
        <w:pStyle w:val="Didascalia"/>
        <w:jc w:val="center"/>
      </w:pPr>
      <w:bookmarkStart w:id="20" w:name="_Ref140674311"/>
      <w:bookmarkStart w:id="21" w:name="_Toc140679981"/>
      <w:r>
        <w:t xml:space="preserve">Figura </w:t>
      </w:r>
      <w:fldSimple w:instr=" SEQ Figura \* ARABIC ">
        <w:r w:rsidR="002B19C1">
          <w:rPr>
            <w:noProof/>
          </w:rPr>
          <w:t>3</w:t>
        </w:r>
      </w:fldSimple>
      <w:bookmarkEnd w:id="20"/>
      <w:r>
        <w:t xml:space="preserve">: confronto </w:t>
      </w:r>
      <w:r w:rsidR="00EC3F47">
        <w:t>ns</w:t>
      </w:r>
      <w:r>
        <w:t xml:space="preserve"> processo container 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host</w:t>
      </w:r>
      <w:bookmarkEnd w:id="21"/>
      <w:proofErr w:type="spellEnd"/>
    </w:p>
    <w:p w14:paraId="3EE4B0CB" w14:textId="77777777" w:rsidR="002B19C1" w:rsidRDefault="002B19C1" w:rsidP="002B19C1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attivo determina, inoltre, 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driver di Docker,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665F39A1" w14:textId="396FFFC7" w:rsidR="002B19C1" w:rsidRPr="003D1549" w:rsidRDefault="002B19C1" w:rsidP="002B19C1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>Di default</w:t>
      </w:r>
      <w:r w:rsidR="00B32AC7">
        <w:rPr>
          <w:rFonts w:cs="Times New Roman"/>
        </w:rPr>
        <w:t>,</w:t>
      </w:r>
      <w:r w:rsidRPr="003D1549">
        <w:rPr>
          <w:rFonts w:cs="Times New Roman"/>
        </w:rPr>
        <w:t xml:space="preserve">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>
        <w:rPr>
          <w:rFonts w:cs="Times New Roman"/>
        </w:rPr>
        <w:t>“</w:t>
      </w:r>
      <w:r w:rsidRPr="003D1549">
        <w:rPr>
          <w:rFonts w:cs="Times New Roman"/>
        </w:rPr>
        <w:t>/</w:t>
      </w:r>
      <w:r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45E21B9A" w14:textId="2CE9B3BF" w:rsidR="002B19C1" w:rsidRPr="002B19C1" w:rsidRDefault="002B19C1" w:rsidP="002B19C1">
      <w:r>
        <w:t xml:space="preserve">Tramite comando, è possibile configurare i </w:t>
      </w:r>
      <w:proofErr w:type="spellStart"/>
      <w:r>
        <w:t>namespace</w:t>
      </w:r>
      <w:proofErr w:type="spellEnd"/>
      <w:r>
        <w:t xml:space="preserve"> del container e i </w:t>
      </w:r>
      <w:proofErr w:type="spellStart"/>
      <w:r>
        <w:t>cgroup</w:t>
      </w:r>
      <w:proofErr w:type="spellEnd"/>
      <w:r>
        <w:t xml:space="preserve"> in fase d’inizializzazione del container: ad esempio, aggiungendo al comando </w:t>
      </w:r>
      <w:proofErr w:type="spellStart"/>
      <w:r w:rsidRPr="00294C6A">
        <w:rPr>
          <w:rFonts w:ascii="Courier New" w:hAnsi="Courier New" w:cs="Courier New"/>
        </w:rPr>
        <w:t>docker</w:t>
      </w:r>
      <w:proofErr w:type="spellEnd"/>
      <w:r w:rsidRPr="00294C6A">
        <w:rPr>
          <w:rFonts w:ascii="Courier New" w:hAnsi="Courier New" w:cs="Courier New"/>
        </w:rPr>
        <w:t xml:space="preserve"> </w:t>
      </w:r>
      <w:proofErr w:type="spellStart"/>
      <w:r w:rsidRPr="00294C6A">
        <w:rPr>
          <w:rFonts w:ascii="Courier New" w:hAnsi="Courier New" w:cs="Courier New"/>
        </w:rPr>
        <w:t>run</w:t>
      </w:r>
      <w:proofErr w:type="spellEnd"/>
      <w:r>
        <w:t xml:space="preserve"> opzioni come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pid</w:t>
      </w:r>
      <w:proofErr w:type="spellEnd"/>
      <w:r>
        <w:t xml:space="preserve"> o </w:t>
      </w:r>
      <w:r w:rsidRPr="002D4BFF">
        <w:rPr>
          <w:rFonts w:ascii="Courier New" w:hAnsi="Courier New" w:cs="Courier New"/>
        </w:rPr>
        <w:t>--</w:t>
      </w:r>
      <w:proofErr w:type="spellStart"/>
      <w:r w:rsidRPr="002D4BFF">
        <w:rPr>
          <w:rFonts w:ascii="Courier New" w:hAnsi="Courier New" w:cs="Courier New"/>
        </w:rPr>
        <w:t>memory</w:t>
      </w:r>
      <w:proofErr w:type="spellEnd"/>
      <w:r w:rsidR="00000000">
        <w:fldChar w:fldCharType="begin"/>
      </w:r>
      <w:r w:rsidR="00000000">
        <w:instrText>HYPERLINK \l "riferimento_3"</w:instrText>
      </w:r>
      <w:r w:rsidR="00000000"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Pr="008235C5">
            <w:rPr>
              <w:noProof/>
            </w:rPr>
            <w:t>[30]</w:t>
          </w:r>
          <w:r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 w:rsidR="00000000">
        <w:rPr>
          <w:rStyle w:val="Collegamentoipertestuale"/>
          <w:color w:val="auto"/>
          <w:u w:val="none"/>
        </w:rPr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22" w:name="_Toc140681919"/>
      <w:r>
        <w:lastRenderedPageBreak/>
        <w:t>Immagine Docker</w:t>
      </w:r>
      <w:bookmarkEnd w:id="22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23" w:name="_Toc14068192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23"/>
    </w:p>
    <w:p w14:paraId="09ADEFBA" w14:textId="02A6330E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281E0D">
        <w:t>, presente nel kernel Linux dalla versione 4.0</w:t>
      </w:r>
      <w:r w:rsidR="001A1A50">
        <w:t>.</w:t>
      </w:r>
    </w:p>
    <w:p w14:paraId="6977482C" w14:textId="4A986439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1205C2">
        <w:t xml:space="preserve"> (</w:t>
      </w:r>
      <w:r w:rsidR="001205C2">
        <w:fldChar w:fldCharType="begin"/>
      </w:r>
      <w:r w:rsidR="001205C2">
        <w:instrText xml:space="preserve"> REF _Ref140674623 \h </w:instrText>
      </w:r>
      <w:r w:rsidR="001205C2">
        <w:fldChar w:fldCharType="separate"/>
      </w:r>
      <w:r w:rsidR="001205C2">
        <w:t xml:space="preserve">Figura </w:t>
      </w:r>
      <w:r w:rsidR="001205C2">
        <w:rPr>
          <w:noProof/>
        </w:rPr>
        <w:t>3</w:t>
      </w:r>
      <w:r w:rsidR="001205C2">
        <w:fldChar w:fldCharType="end"/>
      </w:r>
      <w:r w:rsidR="001205C2">
        <w:t>)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16ADEF45" w14:textId="0B85601E" w:rsidR="00F974A6" w:rsidRDefault="00DB48F3" w:rsidP="00F974A6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</w:t>
      </w:r>
      <w:r w:rsidR="002B19C1">
        <w:t xml:space="preserve">viene montato nel container. Esso </w:t>
      </w:r>
      <w:r w:rsidR="0073712E">
        <w:t>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</w:p>
    <w:p w14:paraId="25CA084A" w14:textId="15E9B9E4" w:rsidR="00F974A6" w:rsidRDefault="00F974A6" w:rsidP="00E73CC0">
      <w:pPr>
        <w:ind w:left="360" w:firstLine="0"/>
        <w:jc w:val="center"/>
      </w:pPr>
      <w:r>
        <w:rPr>
          <w:noProof/>
        </w:rPr>
        <w:drawing>
          <wp:inline distT="0" distB="0" distL="0" distR="0" wp14:anchorId="4A53D647" wp14:editId="0D503F88">
            <wp:extent cx="4943996" cy="1264920"/>
            <wp:effectExtent l="0" t="0" r="9525" b="0"/>
            <wp:docPr id="929627517" name="Immagine 1" descr="Use the OverlayFS storage driver | Docker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 the OverlayFS storage driver | Docker Documen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91" cy="127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4FDD" w14:textId="49706989" w:rsidR="00F974A6" w:rsidRDefault="00F974A6" w:rsidP="00B32AC7">
      <w:pPr>
        <w:pStyle w:val="Didascalia"/>
        <w:jc w:val="center"/>
      </w:pPr>
      <w:bookmarkStart w:id="24" w:name="_Ref140674623"/>
      <w:bookmarkStart w:id="25" w:name="_Toc140679982"/>
      <w:r>
        <w:t xml:space="preserve">Figura </w:t>
      </w:r>
      <w:fldSimple w:instr=" SEQ Figura \* ARABIC ">
        <w:r w:rsidR="002B19C1">
          <w:rPr>
            <w:noProof/>
          </w:rPr>
          <w:t>4</w:t>
        </w:r>
      </w:fldSimple>
      <w:bookmarkEnd w:id="24"/>
      <w:r>
        <w:t xml:space="preserve">: </w:t>
      </w:r>
      <w:proofErr w:type="spellStart"/>
      <w:r>
        <w:t>OverlayFS</w:t>
      </w:r>
      <w:proofErr w:type="spellEnd"/>
      <w:r>
        <w:t xml:space="preserve"> in Docker</w:t>
      </w:r>
      <w:bookmarkEnd w:id="25"/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lastRenderedPageBreak/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26" w:name="_Toc140681921"/>
      <w:r>
        <w:t>Networking in Docker</w:t>
      </w:r>
      <w:bookmarkEnd w:id="26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 xml:space="preserve">indirizzo </w:t>
      </w:r>
      <w:r w:rsidR="00053630">
        <w:lastRenderedPageBreak/>
        <w:t>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27" w:name="_Toc140681922"/>
      <w:r>
        <w:t>S</w:t>
      </w:r>
      <w:r w:rsidR="00F618F8">
        <w:t>icurezza del container Docker</w:t>
      </w:r>
      <w:bookmarkEnd w:id="27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697A2F6D" w:rsidR="001205C2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4BE69F4D" w14:textId="05E8BA2C" w:rsidR="004F4DE6" w:rsidRDefault="001205C2" w:rsidP="002B19C1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28" w:name="_Toc14068192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28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3787F9E1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0"/>
          <w:footerReference w:type="first" r:id="rId21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 w:rsidRPr="00C61B1D">
        <w:rPr>
          <w:rStyle w:val="Rimandonotaapidipagina"/>
          <w:rFonts w:cs="Times New Roman"/>
          <w:color w:val="FFFFFF" w:themeColor="background1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30" w:name="_Toc140681924"/>
      <w:r>
        <w:t>RIFERIMENTI</w:t>
      </w:r>
      <w:bookmarkEnd w:id="30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AE6403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AE6403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AE6403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AE6403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AE6403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AE6403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AE6403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AE6403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AE6403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AE6403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AE6403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AE6403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AE6403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AE6403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AE6403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AE6403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AE6403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AE6403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AE6403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AE6403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AE6403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AE6403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AE6403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AE6403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AE6403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AE6403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AE6403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AE6403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AE6403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AE6403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AE6403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AE6403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AE6403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AE6403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AE6403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AE6403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2"/>
      <w:headerReference w:type="default" r:id="rId23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D7C2" w14:textId="77777777" w:rsidR="00A55601" w:rsidRDefault="00A55601" w:rsidP="00A7146B">
      <w:pPr>
        <w:spacing w:line="240" w:lineRule="auto"/>
      </w:pPr>
      <w:r>
        <w:separator/>
      </w:r>
    </w:p>
  </w:endnote>
  <w:endnote w:type="continuationSeparator" w:id="0">
    <w:p w14:paraId="2CEE6736" w14:textId="77777777" w:rsidR="00A55601" w:rsidRDefault="00A55601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D27D" w14:textId="77777777" w:rsidR="00A55601" w:rsidRDefault="00A55601" w:rsidP="0036336D">
      <w:pPr>
        <w:spacing w:line="240" w:lineRule="auto"/>
        <w:ind w:firstLine="0"/>
      </w:pPr>
    </w:p>
  </w:footnote>
  <w:footnote w:type="continuationSeparator" w:id="0">
    <w:p w14:paraId="6A0BFF01" w14:textId="77777777" w:rsidR="00A55601" w:rsidRDefault="00A55601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9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9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31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Start w:id="32" w:name="riferimento_3"/>
    <w:bookmarkEnd w:id="31"/>
  </w:footnote>
  <w:footnote w:id="3">
    <w:p w14:paraId="3A3B7528" w14:textId="22E8C7A8" w:rsidR="009A1736" w:rsidRDefault="009A1736">
      <w:pPr>
        <w:pStyle w:val="Testonotaapidipagina"/>
      </w:pPr>
      <w:bookmarkStart w:id="33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3"/>
    </w:p>
  </w:footnote>
  <w:footnote w:id="4">
    <w:p w14:paraId="22529FFD" w14:textId="13FA3D09" w:rsidR="009A1736" w:rsidRDefault="009A1736">
      <w:pPr>
        <w:pStyle w:val="Testonotaapidipagina"/>
      </w:pPr>
      <w:bookmarkStart w:id="3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3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1B4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05C2"/>
    <w:rsid w:val="001233FB"/>
    <w:rsid w:val="00124069"/>
    <w:rsid w:val="00124A9A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9C1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2F71A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525E5"/>
    <w:rsid w:val="00362DAD"/>
    <w:rsid w:val="0036336D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501C"/>
    <w:rsid w:val="00676A52"/>
    <w:rsid w:val="006817EA"/>
    <w:rsid w:val="00681DD4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178BA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233D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76166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2803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774E9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9D1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5601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403"/>
    <w:rsid w:val="00AE6C90"/>
    <w:rsid w:val="00AE7752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063F"/>
    <w:rsid w:val="00B321E9"/>
    <w:rsid w:val="00B324ED"/>
    <w:rsid w:val="00B327B6"/>
    <w:rsid w:val="00B32AC7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61B1D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3CC0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3F47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EF3B45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974A6"/>
    <w:rsid w:val="00FA0D56"/>
    <w:rsid w:val="00FA0E77"/>
    <w:rsid w:val="00FA4245"/>
    <w:rsid w:val="00FB0A1E"/>
    <w:rsid w:val="00FB3C73"/>
    <w:rsid w:val="00FB453C"/>
    <w:rsid w:val="00FB4734"/>
    <w:rsid w:val="00FC1455"/>
    <w:rsid w:val="00FC4CE4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681DD4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40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681DD4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681DD4"/>
    <w:pPr>
      <w:outlineLvl w:val="2"/>
    </w:pPr>
    <w:rPr>
      <w:color w:val="000000" w:themeColor="text1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1DD4"/>
    <w:rPr>
      <w:rFonts w:eastAsiaTheme="majorEastAsia" w:cstheme="majorBidi"/>
      <w:sz w:val="40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1DD4"/>
    <w:rPr>
      <w:rFonts w:eastAsiaTheme="majorEastAsia" w:cstheme="majorBidi"/>
      <w:sz w:val="36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81DD4"/>
    <w:rPr>
      <w:rFonts w:eastAsiaTheme="majorEastAsia" w:cstheme="majorBidi"/>
      <w:color w:val="000000" w:themeColor="text1"/>
      <w:sz w:val="30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25</Pages>
  <Words>5054</Words>
  <Characters>28813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33</cp:revision>
  <cp:lastPrinted>2023-07-03T10:15:00Z</cp:lastPrinted>
  <dcterms:created xsi:type="dcterms:W3CDTF">2023-07-16T20:50:00Z</dcterms:created>
  <dcterms:modified xsi:type="dcterms:W3CDTF">2023-07-25T11:20:00Z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