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C0C5DC" w14:textId="3A2BFE09" w:rsidR="2C5422C2" w:rsidRPr="001C6F95" w:rsidRDefault="2C5422C2" w:rsidP="00285867">
      <w:pPr>
        <w:pStyle w:val="JRCText"/>
        <w:rPr>
          <w:rFonts w:ascii="EC Square Sans Pro Light" w:eastAsia="EC Square Sans Pro Light" w:hAnsi="EC Square Sans Pro Light" w:cs="EC Square Sans Pro Light"/>
        </w:rPr>
      </w:pPr>
      <w:r w:rsidRPr="001C6F95">
        <w:rPr>
          <w:b/>
          <w:bCs/>
          <w:color w:val="6CA644"/>
          <w:sz w:val="56"/>
          <w:szCs w:val="56"/>
        </w:rPr>
        <w:t>Contents</w:t>
      </w:r>
    </w:p>
    <w:p w14:paraId="0C309F4C" w14:textId="77777777" w:rsidR="00E178EB" w:rsidRPr="001C6F95" w:rsidRDefault="00E178EB" w:rsidP="5B1E31BC">
      <w:pPr>
        <w:pStyle w:val="TOC1"/>
        <w:rPr>
          <w:rFonts w:ascii="EC Square Sans Pro" w:hAnsi="EC Square Sans Pro"/>
          <w:noProof w:val="0"/>
          <w:color w:val="2B579A"/>
          <w:sz w:val="22"/>
          <w:szCs w:val="22"/>
        </w:rPr>
      </w:pPr>
    </w:p>
    <w:p w14:paraId="2FE52834" w14:textId="08926C59" w:rsidR="000307D6" w:rsidRPr="001C6F95" w:rsidRDefault="00F7732B">
      <w:pPr>
        <w:pStyle w:val="TOC1"/>
        <w:rPr>
          <w:rFonts w:asciiTheme="minorHAnsi" w:eastAsiaTheme="minorEastAsia" w:hAnsiTheme="minorHAnsi" w:cstheme="minorBidi"/>
          <w:noProof w:val="0"/>
          <w:sz w:val="22"/>
          <w:szCs w:val="22"/>
          <w:lang w:eastAsia="en-GB"/>
        </w:rPr>
      </w:pPr>
      <w:r w:rsidRPr="001C6F95">
        <w:rPr>
          <w:rFonts w:ascii="EC Square Sans Pro" w:hAnsi="EC Square Sans Pro"/>
          <w:noProof w:val="0"/>
          <w:color w:val="2B579A"/>
          <w:sz w:val="22"/>
          <w:szCs w:val="22"/>
        </w:rPr>
        <w:fldChar w:fldCharType="begin"/>
      </w:r>
      <w:r w:rsidR="385BE1A5" w:rsidRPr="001C6F95">
        <w:rPr>
          <w:rFonts w:ascii="EC Square Sans Pro" w:hAnsi="EC Square Sans Pro"/>
          <w:noProof w:val="0"/>
          <w:sz w:val="22"/>
          <w:szCs w:val="22"/>
        </w:rPr>
        <w:instrText xml:space="preserve"> TOC \h \z \t "JRC_Level-1_Front_title,1,JRC_Level-2_Back_title,2,JRC_Level-2_title,2,JRC_Level-1_title,1,JRC_Level-4_title,4,JRC_Level-3_title,3,JRC_Level-5_title,5,JRC_Level-1_Back_title,1" </w:instrText>
      </w:r>
      <w:r w:rsidRPr="001C6F95">
        <w:rPr>
          <w:rFonts w:ascii="EC Square Sans Pro" w:hAnsi="EC Square Sans Pro"/>
          <w:noProof w:val="0"/>
          <w:color w:val="2B579A"/>
          <w:sz w:val="22"/>
          <w:szCs w:val="22"/>
        </w:rPr>
        <w:fldChar w:fldCharType="separate"/>
      </w:r>
      <w:hyperlink w:anchor="_Toc193115012" w:history="1">
        <w:r w:rsidR="000307D6" w:rsidRPr="001C6F95">
          <w:rPr>
            <w:rStyle w:val="Hyperlink"/>
            <w:noProof w:val="0"/>
          </w:rPr>
          <w:t>6. Financing the green transition</w:t>
        </w:r>
        <w:r w:rsidR="000307D6" w:rsidRPr="001C6F95">
          <w:rPr>
            <w:noProof w:val="0"/>
            <w:webHidden/>
          </w:rPr>
          <w:tab/>
        </w:r>
        <w:r w:rsidR="000307D6" w:rsidRPr="001C6F95">
          <w:rPr>
            <w:noProof w:val="0"/>
            <w:webHidden/>
          </w:rPr>
          <w:fldChar w:fldCharType="begin"/>
        </w:r>
        <w:r w:rsidR="000307D6" w:rsidRPr="001C6F95">
          <w:rPr>
            <w:noProof w:val="0"/>
            <w:webHidden/>
          </w:rPr>
          <w:instrText xml:space="preserve"> PAGEREF _Toc193115012 \h </w:instrText>
        </w:r>
        <w:r w:rsidR="000307D6" w:rsidRPr="001C6F95">
          <w:rPr>
            <w:noProof w:val="0"/>
            <w:webHidden/>
          </w:rPr>
        </w:r>
        <w:r w:rsidR="000307D6" w:rsidRPr="001C6F95">
          <w:rPr>
            <w:noProof w:val="0"/>
            <w:webHidden/>
          </w:rPr>
          <w:fldChar w:fldCharType="separate"/>
        </w:r>
        <w:r w:rsidR="000307D6" w:rsidRPr="001C6F95">
          <w:rPr>
            <w:noProof w:val="0"/>
            <w:webHidden/>
          </w:rPr>
          <w:t>1</w:t>
        </w:r>
        <w:r w:rsidR="000307D6" w:rsidRPr="001C6F95">
          <w:rPr>
            <w:noProof w:val="0"/>
            <w:webHidden/>
          </w:rPr>
          <w:fldChar w:fldCharType="end"/>
        </w:r>
      </w:hyperlink>
    </w:p>
    <w:p w14:paraId="05442504" w14:textId="335E5DF1" w:rsidR="000307D6" w:rsidRPr="001C6F95" w:rsidRDefault="00621F80">
      <w:pPr>
        <w:pStyle w:val="TOC2"/>
        <w:rPr>
          <w:rFonts w:asciiTheme="minorHAnsi" w:eastAsiaTheme="minorEastAsia" w:hAnsiTheme="minorHAnsi" w:cstheme="minorBidi"/>
          <w:noProof w:val="0"/>
          <w:sz w:val="22"/>
          <w:szCs w:val="22"/>
          <w:lang w:eastAsia="en-GB"/>
        </w:rPr>
      </w:pPr>
      <w:hyperlink w:anchor="_Toc193115013" w:history="1">
        <w:r w:rsidR="000307D6" w:rsidRPr="001C6F95">
          <w:rPr>
            <w:rStyle w:val="Hyperlink"/>
            <w:noProof w:val="0"/>
          </w:rPr>
          <w:t>6.1</w:t>
        </w:r>
        <w:r w:rsidR="000307D6" w:rsidRPr="001C6F95">
          <w:rPr>
            <w:rFonts w:asciiTheme="minorHAnsi" w:eastAsiaTheme="minorEastAsia" w:hAnsiTheme="minorHAnsi" w:cstheme="minorBidi"/>
            <w:noProof w:val="0"/>
            <w:sz w:val="22"/>
            <w:szCs w:val="22"/>
            <w:lang w:eastAsia="en-GB"/>
          </w:rPr>
          <w:tab/>
        </w:r>
        <w:r w:rsidR="000307D6" w:rsidRPr="001C6F95">
          <w:rPr>
            <w:rStyle w:val="Hyperlink"/>
            <w:noProof w:val="0"/>
          </w:rPr>
          <w:t>Mobilising private finance</w:t>
        </w:r>
        <w:r w:rsidR="000307D6" w:rsidRPr="001C6F95">
          <w:rPr>
            <w:noProof w:val="0"/>
            <w:webHidden/>
          </w:rPr>
          <w:tab/>
        </w:r>
        <w:r w:rsidR="000307D6" w:rsidRPr="001C6F95">
          <w:rPr>
            <w:noProof w:val="0"/>
            <w:webHidden/>
          </w:rPr>
          <w:fldChar w:fldCharType="begin"/>
        </w:r>
        <w:r w:rsidR="000307D6" w:rsidRPr="001C6F95">
          <w:rPr>
            <w:noProof w:val="0"/>
            <w:webHidden/>
          </w:rPr>
          <w:instrText xml:space="preserve"> PAGEREF _Toc193115013 \h </w:instrText>
        </w:r>
        <w:r w:rsidR="000307D6" w:rsidRPr="001C6F95">
          <w:rPr>
            <w:noProof w:val="0"/>
            <w:webHidden/>
          </w:rPr>
        </w:r>
        <w:r w:rsidR="000307D6" w:rsidRPr="001C6F95">
          <w:rPr>
            <w:noProof w:val="0"/>
            <w:webHidden/>
          </w:rPr>
          <w:fldChar w:fldCharType="separate"/>
        </w:r>
        <w:r w:rsidR="000307D6" w:rsidRPr="001C6F95">
          <w:rPr>
            <w:noProof w:val="0"/>
            <w:webHidden/>
          </w:rPr>
          <w:t>3</w:t>
        </w:r>
        <w:r w:rsidR="000307D6" w:rsidRPr="001C6F95">
          <w:rPr>
            <w:noProof w:val="0"/>
            <w:webHidden/>
          </w:rPr>
          <w:fldChar w:fldCharType="end"/>
        </w:r>
      </w:hyperlink>
    </w:p>
    <w:p w14:paraId="224CC0EE" w14:textId="31409B99" w:rsidR="000307D6" w:rsidRPr="001C6F95" w:rsidRDefault="00621F80">
      <w:pPr>
        <w:pStyle w:val="TOC2"/>
        <w:rPr>
          <w:rFonts w:asciiTheme="minorHAnsi" w:eastAsiaTheme="minorEastAsia" w:hAnsiTheme="minorHAnsi" w:cstheme="minorBidi"/>
          <w:noProof w:val="0"/>
          <w:sz w:val="22"/>
          <w:szCs w:val="22"/>
          <w:lang w:eastAsia="en-GB"/>
        </w:rPr>
      </w:pPr>
      <w:hyperlink w:anchor="_Toc193115014" w:history="1">
        <w:r w:rsidR="000307D6" w:rsidRPr="001C6F95">
          <w:rPr>
            <w:rStyle w:val="Hyperlink"/>
            <w:noProof w:val="0"/>
          </w:rPr>
          <w:t>6.2</w:t>
        </w:r>
        <w:r w:rsidR="000307D6" w:rsidRPr="001C6F95">
          <w:rPr>
            <w:rFonts w:asciiTheme="minorHAnsi" w:eastAsiaTheme="minorEastAsia" w:hAnsiTheme="minorHAnsi" w:cstheme="minorBidi"/>
            <w:noProof w:val="0"/>
            <w:sz w:val="22"/>
            <w:szCs w:val="22"/>
            <w:lang w:eastAsia="en-GB"/>
          </w:rPr>
          <w:tab/>
        </w:r>
        <w:r w:rsidR="000307D6" w:rsidRPr="001C6F95">
          <w:rPr>
            <w:rStyle w:val="Hyperlink"/>
            <w:noProof w:val="0"/>
          </w:rPr>
          <w:t>Fostering sustainable investments through the next MFF</w:t>
        </w:r>
        <w:r w:rsidR="000307D6" w:rsidRPr="001C6F95">
          <w:rPr>
            <w:noProof w:val="0"/>
            <w:webHidden/>
          </w:rPr>
          <w:tab/>
        </w:r>
        <w:r w:rsidR="000307D6" w:rsidRPr="001C6F95">
          <w:rPr>
            <w:noProof w:val="0"/>
            <w:webHidden/>
          </w:rPr>
          <w:fldChar w:fldCharType="begin"/>
        </w:r>
        <w:r w:rsidR="000307D6" w:rsidRPr="001C6F95">
          <w:rPr>
            <w:noProof w:val="0"/>
            <w:webHidden/>
          </w:rPr>
          <w:instrText xml:space="preserve"> PAGEREF _Toc193115014 \h </w:instrText>
        </w:r>
        <w:r w:rsidR="000307D6" w:rsidRPr="001C6F95">
          <w:rPr>
            <w:noProof w:val="0"/>
            <w:webHidden/>
          </w:rPr>
        </w:r>
        <w:r w:rsidR="000307D6" w:rsidRPr="001C6F95">
          <w:rPr>
            <w:noProof w:val="0"/>
            <w:webHidden/>
          </w:rPr>
          <w:fldChar w:fldCharType="separate"/>
        </w:r>
        <w:r w:rsidR="000307D6" w:rsidRPr="001C6F95">
          <w:rPr>
            <w:noProof w:val="0"/>
            <w:webHidden/>
          </w:rPr>
          <w:t>12</w:t>
        </w:r>
        <w:r w:rsidR="000307D6" w:rsidRPr="001C6F95">
          <w:rPr>
            <w:noProof w:val="0"/>
            <w:webHidden/>
          </w:rPr>
          <w:fldChar w:fldCharType="end"/>
        </w:r>
      </w:hyperlink>
    </w:p>
    <w:p w14:paraId="328FB461" w14:textId="0861ED9C" w:rsidR="00F7732B" w:rsidRPr="001C6F95" w:rsidRDefault="00F7732B" w:rsidP="00274D25">
      <w:pPr>
        <w:pStyle w:val="JRCText"/>
      </w:pPr>
      <w:r w:rsidRPr="001C6F95">
        <w:rPr>
          <w:color w:val="2B579A"/>
          <w:sz w:val="22"/>
          <w:szCs w:val="22"/>
          <w:shd w:val="clear" w:color="auto" w:fill="E6E6E6"/>
        </w:rPr>
        <w:fldChar w:fldCharType="end"/>
      </w:r>
    </w:p>
    <w:p w14:paraId="3E4F7D98" w14:textId="77777777" w:rsidR="003F13D5" w:rsidRPr="001C6F95" w:rsidRDefault="003F13D5" w:rsidP="00F7732B">
      <w:pPr>
        <w:rPr>
          <w:lang w:eastAsia="en-US"/>
        </w:rPr>
        <w:sectPr w:rsidR="003F13D5" w:rsidRPr="001C6F95" w:rsidSect="00977AF4">
          <w:footerReference w:type="default" r:id="rId11"/>
          <w:footerReference w:type="first" r:id="rId12"/>
          <w:pgSz w:w="11906" w:h="16838"/>
          <w:pgMar w:top="1417" w:right="1417" w:bottom="1417" w:left="1417" w:header="708" w:footer="708" w:gutter="0"/>
          <w:pgNumType w:fmt="lowerRoman" w:start="1"/>
          <w:cols w:space="708"/>
          <w:docGrid w:linePitch="360"/>
        </w:sectPr>
      </w:pPr>
    </w:p>
    <w:p w14:paraId="6351E5B6" w14:textId="630731D7" w:rsidR="00621AC2" w:rsidRPr="001C6F95" w:rsidRDefault="00A00BF4" w:rsidP="00A00BF4">
      <w:pPr>
        <w:pStyle w:val="JRCLevel-1title"/>
      </w:pPr>
      <w:bookmarkStart w:id="0" w:name="_Toc184306465"/>
      <w:bookmarkStart w:id="1" w:name="_Toc184881550"/>
      <w:bookmarkStart w:id="2" w:name="_Toc184306471"/>
      <w:bookmarkStart w:id="3" w:name="_Toc184881553"/>
      <w:bookmarkStart w:id="4" w:name="_Toc184968580"/>
      <w:bookmarkStart w:id="5" w:name="_Toc193115012"/>
      <w:bookmarkStart w:id="6" w:name="_Toc160095615"/>
      <w:bookmarkStart w:id="7" w:name="_Toc161312038"/>
      <w:bookmarkEnd w:id="0"/>
      <w:bookmarkEnd w:id="1"/>
      <w:r w:rsidRPr="001C6F95">
        <w:lastRenderedPageBreak/>
        <w:t xml:space="preserve">6. </w:t>
      </w:r>
      <w:r w:rsidR="00621AC2" w:rsidRPr="001C6F95">
        <w:t>Financing the green transition</w:t>
      </w:r>
      <w:bookmarkEnd w:id="2"/>
      <w:bookmarkEnd w:id="3"/>
      <w:bookmarkEnd w:id="4"/>
      <w:bookmarkEnd w:id="5"/>
    </w:p>
    <w:bookmarkEnd w:id="6"/>
    <w:bookmarkEnd w:id="7"/>
    <w:p w14:paraId="0DE8D436" w14:textId="77777777" w:rsidR="00ED4CEA" w:rsidRPr="001C6F95" w:rsidRDefault="00ED4CEA" w:rsidP="00ED4CEA">
      <w:pPr>
        <w:rPr>
          <w:rFonts w:eastAsia="EC Square Sans Pro" w:cs="EC Square Sans Pro"/>
          <w:b/>
          <w:color w:val="000000" w:themeColor="text1"/>
        </w:rPr>
      </w:pPr>
      <w:r w:rsidRPr="001C6F95">
        <w:rPr>
          <w:rFonts w:eastAsia="EC Square Sans Pro" w:cs="EC Square Sans Pro"/>
          <w:b/>
          <w:color w:val="000000" w:themeColor="text1"/>
        </w:rPr>
        <w:t xml:space="preserve">Achieving the ambitious EU climate and environmental objectives requires a substantial increase in </w:t>
      </w:r>
      <w:r w:rsidRPr="001C6F95">
        <w:rPr>
          <w:rFonts w:eastAsia="EC Square Sans Pro" w:cs="EC Square Sans Pro"/>
          <w:b/>
          <w:bCs/>
          <w:color w:val="000000" w:themeColor="text1"/>
        </w:rPr>
        <w:t>sustainable</w:t>
      </w:r>
      <w:r w:rsidRPr="001C6F95">
        <w:rPr>
          <w:rFonts w:eastAsia="EC Square Sans Pro" w:cs="EC Square Sans Pro"/>
          <w:b/>
          <w:color w:val="000000" w:themeColor="text1"/>
        </w:rPr>
        <w:t xml:space="preserve"> investments in the EU. </w:t>
      </w:r>
    </w:p>
    <w:p w14:paraId="3821D3E4" w14:textId="77777777" w:rsidR="00ED4CEA" w:rsidRPr="001C6F95" w:rsidRDefault="00ED4CEA" w:rsidP="00ED4CEA">
      <w:pPr>
        <w:rPr>
          <w:rFonts w:eastAsia="EC Square Sans Pro" w:cs="EC Square Sans Pro"/>
          <w:color w:val="000000" w:themeColor="text1"/>
        </w:rPr>
      </w:pPr>
      <w:r w:rsidRPr="001C6F95">
        <w:rPr>
          <w:rFonts w:eastAsia="EC Square Sans Pro" w:cs="EC Square Sans Pro"/>
          <w:color w:val="000000" w:themeColor="text1"/>
        </w:rPr>
        <w:t>Since 2020, the European Commission has published multiple estimates on different investment needs for achieving specific strategies (e.g. RePowerEU, 2040 climate target). While recognising the existence of several EU-based reports assessing the investment needs and gaps (e.g. I4CE, Rousseau Institute), this section reports on EC’s official estimates for public and private investment needs and gaps required to achieve the EU’s climate and environmental objectives (referred hereafter as ‘sustainable investments’). These estimates can vary considerably due to changes in the macroeconomic context (e.g. energy crisis, inflation) and technology costs, but also due to different definitions, scope, methodologies and timelines for assessment. Nonetheless, these offer an indication of challenge faced by the EU, as we</w:t>
      </w:r>
      <w:bookmarkStart w:id="8" w:name="_GoBack"/>
      <w:bookmarkEnd w:id="8"/>
      <w:r w:rsidRPr="001C6F95">
        <w:rPr>
          <w:rFonts w:eastAsia="EC Square Sans Pro" w:cs="EC Square Sans Pro"/>
          <w:color w:val="000000" w:themeColor="text1"/>
        </w:rPr>
        <w:t xml:space="preserve">ll as the need to substantially increase the volume of sustainable investments. </w:t>
      </w:r>
    </w:p>
    <w:p w14:paraId="711384E2" w14:textId="57F1CF5A" w:rsidR="00ED4CEA" w:rsidRPr="001C6F95" w:rsidRDefault="00ED4CEA" w:rsidP="00ED4CEA">
      <w:r w:rsidRPr="001C6F95">
        <w:t xml:space="preserve">Under the Fit-for-55 package, the annual average investment gap for </w:t>
      </w:r>
      <w:r w:rsidRPr="001C6F95">
        <w:rPr>
          <w:b/>
          <w:bCs/>
        </w:rPr>
        <w:t>climate change mitigation</w:t>
      </w:r>
      <w:r w:rsidRPr="001C6F95">
        <w:t xml:space="preserve"> - to achieve a greenhouse gas emission reduction of at least 55% by 2030 - was estimated to be EUR 477 billion (between 2021 and 2030) for the energy system and transport sector</w:t>
      </w:r>
      <w:r w:rsidR="00E80515">
        <w:t xml:space="preserve"> </w:t>
      </w:r>
      <w:r w:rsidR="00E80515">
        <w:fldChar w:fldCharType="begin"/>
      </w:r>
      <w:r w:rsidR="00A647BA">
        <w:instrText xml:space="preserve"> ADDIN ZOTERO_ITEM CSL_CITATION {"citationID":"hxrcTvEb","properties":{"formattedCitation":"[1]","plainCitation":"[1]","noteIndex":0},"citationItems":[{"id":1141,"uris":["http://zotero.org/groups/5272309/items/4HMMLN3B"],"itemData":{"id":1141,"type":"bill","abstract":"On 23 March, the European Commission published an investment needs assessment on requirements and available funds for key net-zero technologies until 2030.","language":"en","title":"Investment needs assessment and funding availabilities to strengthen EU's Net-Zero technology manufacturing capacity SWD(2023) 68","URL":"https://single-market-economy.ec.europa.eu/publications/staff-working-document-investment-needs-assessment-and-funding-availabilities-strengthen-eus-net_en","author":[{"literal":"Directorate-General for Internal Market, Industry, Entrepreneurship and SMEs"}],"accessed":{"date-parts":[["2025",3,19]]},"issued":{"date-parts":[["2023",3,16]]}}}],"schema":"https://github.com/citation-style-language/schema/raw/master/csl-citation.json"} </w:instrText>
      </w:r>
      <w:r w:rsidR="00E80515">
        <w:fldChar w:fldCharType="separate"/>
      </w:r>
      <w:r w:rsidR="00E80515" w:rsidRPr="00E80515">
        <w:t>[1]</w:t>
      </w:r>
      <w:r w:rsidR="00E80515">
        <w:fldChar w:fldCharType="end"/>
      </w:r>
      <w:r w:rsidRPr="001C6F95">
        <w:t xml:space="preserve">. Since then, this investment gap has further increased to </w:t>
      </w:r>
      <w:r w:rsidRPr="001C6F95">
        <w:rPr>
          <w:b/>
          <w:bCs/>
        </w:rPr>
        <w:t>over EUR 620 billion</w:t>
      </w:r>
      <w:r w:rsidRPr="001C6F95">
        <w:t xml:space="preserve"> annually, due to additional investment needs for RePowerEU and the Net Zero Industrial Act</w:t>
      </w:r>
      <w:r w:rsidR="008A7067">
        <w:t xml:space="preserve"> </w:t>
      </w:r>
      <w:r w:rsidR="00013818" w:rsidRPr="001C6F95">
        <w:fldChar w:fldCharType="begin"/>
      </w:r>
      <w:r w:rsidR="00A647BA">
        <w:instrText xml:space="preserve"> ADDIN ZOTERO_ITEM CSL_CITATION {"citationID":"piaDgRbw","properties":{"formattedCitation":"[1], [2]","plainCitation":"[1], [2]","noteIndex":0},"citationItems":[{"id":1141,"uris":["http://zotero.org/groups/5272309/items/4HMMLN3B"],"itemData":{"id":1141,"type":"bill","abstract":"On 23 March, the European Commission published an investment needs assessment on requirements and available funds for key net-zero technologies until 2030.","language":"en","title":"Investment needs assessment and funding availabilities to strengthen EU's Net-Zero technology manufacturing capacity SWD(2023) 68","URL":"https://single-market-economy.ec.europa.eu/publications/staff-working-document-investment-needs-assessment-and-funding-availabilities-strengthen-eus-net_en","author":[{"literal":"Directorate-General for Internal Market, Industry, Entrepreneurship and SMEs"}],"accessed":{"date-parts":[["2025",3,19]]},"issued":{"date-parts":[["2023",3,16]]}}},{"id":157,"uris":["http://zotero.org/groups/5272309/items/V7L4UL5M","http://zotero.org/groups/5272309/items/XB6XLJQS"],"itemData":{"id":157,"type":"bill","language":"en","title":"COMMUNICATION FROM THE COMMISSION TO THE EUROPEAN PARLIAMENT, THE EUROPEAN COUNCIL, THE COUNCIL, THE EUROPEAN ECONOMIC AND SOCIAL COMMITTEE AND THE COMMITTEE OF THE REGIONS REPowerEU Plan","title-short":"COM(2022) 230","URL":"https://eur-lex.europa.eu/legal-content/EN/TXT/?uri=COM%3A2022%3A230%3AFIN","accessed":{"date-parts":[["2023",11,29]]},"issued":{"date-parts":[["2022"]]}}}],"schema":"https://github.com/citation-style-language/schema/raw/master/csl-citation.json"} </w:instrText>
      </w:r>
      <w:r w:rsidR="00013818" w:rsidRPr="001C6F95">
        <w:fldChar w:fldCharType="separate"/>
      </w:r>
      <w:r w:rsidR="00FD1FF8" w:rsidRPr="00FD1FF8">
        <w:t>[1], [2]</w:t>
      </w:r>
      <w:r w:rsidR="00013818" w:rsidRPr="001C6F95">
        <w:fldChar w:fldCharType="end"/>
      </w:r>
      <w:r w:rsidR="008A7067">
        <w:t>.</w:t>
      </w:r>
    </w:p>
    <w:p w14:paraId="14DDB53C" w14:textId="1E5411A9" w:rsidR="00ED4CEA" w:rsidRPr="001C6F95" w:rsidRDefault="00ED4CEA" w:rsidP="00ED4CEA">
      <w:pPr>
        <w:rPr>
          <w:rFonts w:eastAsia="Calibri"/>
          <w:u w:val="single"/>
        </w:rPr>
      </w:pPr>
      <w:r w:rsidRPr="001C6F95">
        <w:rPr>
          <w:bCs/>
        </w:rPr>
        <w:t xml:space="preserve">Estimates for investment needs and gaps for </w:t>
      </w:r>
      <w:r w:rsidRPr="001C6F95">
        <w:rPr>
          <w:b/>
          <w:bCs/>
        </w:rPr>
        <w:t>climate change adaptation</w:t>
      </w:r>
      <w:r w:rsidRPr="001C6F95">
        <w:t xml:space="preserve"> are less clear-cut, considering the uncertainties in climate change projections, as the alignment of adaptation investment needs is strongly dependent on model assumptions and scenarios. This uncertainty is further reinforced by a lack of data to assess physical risk and adaption needs (</w:t>
      </w:r>
      <w:r w:rsidRPr="00275872">
        <w:t xml:space="preserve">see Chapter </w:t>
      </w:r>
      <w:r w:rsidR="003D7FFE">
        <w:t>4</w:t>
      </w:r>
      <w:r w:rsidRPr="001C6F95">
        <w:t>). Hence, existing estimates range between EUR 30 and EUR 500 billion annually in Europe based on different scenarios</w:t>
      </w:r>
      <w:r w:rsidR="00197B6A" w:rsidRPr="001C6F95">
        <w:t xml:space="preserve"> </w:t>
      </w:r>
      <w:r w:rsidR="00197B6A" w:rsidRPr="001C6F95">
        <w:rPr>
          <w:rFonts w:eastAsia="Calibri"/>
        </w:rPr>
        <w:fldChar w:fldCharType="begin"/>
      </w:r>
      <w:r w:rsidR="00A647BA">
        <w:rPr>
          <w:rFonts w:eastAsia="Calibri"/>
        </w:rPr>
        <w:instrText xml:space="preserve"> ADDIN ZOTERO_ITEM CSL_CITATION {"citationID":"ZWIlCrez","properties":{"formattedCitation":"[3]","plainCitation":"[3]","noteIndex":0},"citationItems":[{"id":1118,"uris":["http://zotero.org/groups/5272309/items/7N9IJGWH"],"itemData":{"id":1118,"type":"book","abstract":"The EIB’s first dedicated Adaptation Plan will strengthen investment and technical support to protect projects from the impact of more extreme weather and increase climate resilience of existing and new infrastructure.","language":"EN","note":"https://www.eib.org/attachments/publications/the_eib_cllimate_adaptation_plan_en.pdf","publisher":"European Investment Bank","source":"www.eib.org","title":"The EIB Climate Adaptation Plan: Supporting the EU Adaptation Strategy to build resilience to climate change","title-short":"The EIB Climate Adaptation Plan","URL":"https://www.eib.org/en/publications/the-eib-climate-adaptation-plan","author":[{"family":"Bank","given":"European Investment"}],"accessed":{"date-parts":[["2025",3,18]]},"issued":{"date-parts":[["2021",10,26]]}}}],"schema":"https://github.com/citation-style-language/schema/raw/master/csl-citation.json"} </w:instrText>
      </w:r>
      <w:r w:rsidR="00197B6A" w:rsidRPr="001C6F95">
        <w:rPr>
          <w:rFonts w:eastAsia="Calibri"/>
        </w:rPr>
        <w:fldChar w:fldCharType="separate"/>
      </w:r>
      <w:r w:rsidR="00E80515" w:rsidRPr="00E80515">
        <w:rPr>
          <w:rFonts w:eastAsia="Calibri"/>
        </w:rPr>
        <w:t>[3]</w:t>
      </w:r>
      <w:r w:rsidR="00197B6A" w:rsidRPr="001C6F95">
        <w:rPr>
          <w:rFonts w:eastAsia="Calibri"/>
        </w:rPr>
        <w:fldChar w:fldCharType="end"/>
      </w:r>
      <w:r w:rsidR="00197B6A" w:rsidRPr="001C6F95">
        <w:rPr>
          <w:rFonts w:eastAsia="Calibri"/>
        </w:rPr>
        <w:t>.</w:t>
      </w:r>
    </w:p>
    <w:p w14:paraId="47BEA469" w14:textId="3FFAEC7A" w:rsidR="00ED4CEA" w:rsidRPr="001C6F95" w:rsidRDefault="00ED4CEA" w:rsidP="00ED4CEA">
      <w:pPr>
        <w:rPr>
          <w:rFonts w:eastAsia="EC Square Sans Pro" w:cs="EC Square Sans Pro"/>
          <w:color w:val="000000" w:themeColor="text1"/>
        </w:rPr>
      </w:pPr>
      <w:r w:rsidRPr="001C6F95">
        <w:rPr>
          <w:rFonts w:eastAsia="EC Square Sans Pro" w:cs="EC Square Sans Pro"/>
          <w:b/>
          <w:color w:val="000000" w:themeColor="text1"/>
        </w:rPr>
        <w:t>Environmental objectives</w:t>
      </w:r>
      <w:r w:rsidR="007C42ED" w:rsidRPr="001C6F95">
        <w:rPr>
          <w:rFonts w:eastAsia="EC Square Sans Pro" w:cs="EC Square Sans Pro"/>
          <w:b/>
          <w:color w:val="000000" w:themeColor="text1"/>
        </w:rPr>
        <w:t xml:space="preserve"> </w:t>
      </w:r>
      <w:r w:rsidR="007C42ED" w:rsidRPr="001C6F95">
        <w:rPr>
          <w:rFonts w:eastAsia="EC Square Sans Pro" w:cs="EC Square Sans Pro"/>
          <w:color w:val="000000" w:themeColor="text1"/>
        </w:rPr>
        <w:t>investment needs</w:t>
      </w:r>
      <w:r w:rsidRPr="001C6F95">
        <w:rPr>
          <w:rFonts w:eastAsia="EC Square Sans Pro" w:cs="EC Square Sans Pro"/>
          <w:color w:val="000000" w:themeColor="text1"/>
        </w:rPr>
        <w:t xml:space="preserve">, namely pollution prevention &amp; control, circular economy and waste, water protection and </w:t>
      </w:r>
      <w:r w:rsidR="007C42ED" w:rsidRPr="001C6F95">
        <w:rPr>
          <w:rFonts w:eastAsia="EC Square Sans Pro" w:cs="EC Square Sans Pro"/>
          <w:color w:val="000000" w:themeColor="text1"/>
        </w:rPr>
        <w:t>management</w:t>
      </w:r>
      <w:r w:rsidRPr="001C6F95">
        <w:rPr>
          <w:rFonts w:eastAsia="EC Square Sans Pro" w:cs="EC Square Sans Pro"/>
          <w:color w:val="000000" w:themeColor="text1"/>
        </w:rPr>
        <w:t>, a</w:t>
      </w:r>
      <w:r w:rsidR="007C42ED" w:rsidRPr="001C6F95">
        <w:rPr>
          <w:rFonts w:eastAsia="EC Square Sans Pro" w:cs="EC Square Sans Pro"/>
          <w:color w:val="000000" w:themeColor="text1"/>
        </w:rPr>
        <w:t>nd biodiversity and ecosystems are estimated to be around 2.4% of EU GDP for the 2021-2027 period</w:t>
      </w:r>
      <w:r w:rsidR="00A647BA">
        <w:rPr>
          <w:rFonts w:eastAsia="EC Square Sans Pro" w:cs="EC Square Sans Pro"/>
          <w:color w:val="000000" w:themeColor="text1"/>
        </w:rPr>
        <w:t xml:space="preserve"> </w:t>
      </w:r>
      <w:r w:rsidR="00A647BA">
        <w:rPr>
          <w:rFonts w:eastAsia="EC Square Sans Pro" w:cs="EC Square Sans Pro"/>
          <w:color w:val="000000" w:themeColor="text1"/>
        </w:rPr>
        <w:fldChar w:fldCharType="begin"/>
      </w:r>
      <w:r w:rsidR="00E42CE5">
        <w:rPr>
          <w:rFonts w:eastAsia="EC Square Sans Pro" w:cs="EC Square Sans Pro"/>
          <w:color w:val="000000" w:themeColor="text1"/>
        </w:rPr>
        <w:instrText xml:space="preserve"> ADDIN ZOTERO_ITEM CSL_CITATION {"citationID":"Wt0Rr4Ut","properties":{"formattedCitation":"[4]","plainCitation":"[4]","noteIndex":0},"citationItems":[{"id":1483,"uris":["http://zotero.org/groups/5272309/items/5LP3QYZP"],"itemData":{"id":1483,"type":"report","event-place":"[internal doc, not published yet]","publisher-place":"[internal doc, not published yet]","title":"Environmental Implementation Review 2025 – Environmental implementation for prosperity and security","author":[{"literal":"European Commission, Directorate General for Environment."}],"issued":{"date-parts":[["2025"]]}}}],"schema":"https://github.com/citation-style-language/schema/raw/master/csl-citation.json"} </w:instrText>
      </w:r>
      <w:r w:rsidR="00A647BA">
        <w:rPr>
          <w:rFonts w:eastAsia="EC Square Sans Pro" w:cs="EC Square Sans Pro"/>
          <w:color w:val="000000" w:themeColor="text1"/>
        </w:rPr>
        <w:fldChar w:fldCharType="separate"/>
      </w:r>
      <w:r w:rsidR="00A647BA" w:rsidRPr="00A647BA">
        <w:rPr>
          <w:rFonts w:eastAsia="EC Square Sans Pro"/>
        </w:rPr>
        <w:t>[4]</w:t>
      </w:r>
      <w:r w:rsidR="00A647BA">
        <w:rPr>
          <w:rFonts w:eastAsia="EC Square Sans Pro" w:cs="EC Square Sans Pro"/>
          <w:color w:val="000000" w:themeColor="text1"/>
        </w:rPr>
        <w:fldChar w:fldCharType="end"/>
      </w:r>
      <w:r w:rsidRPr="001C6F95">
        <w:rPr>
          <w:rFonts w:eastAsia="EC Square Sans Pro" w:cs="EC Square Sans Pro"/>
          <w:color w:val="000000" w:themeColor="text1"/>
        </w:rPr>
        <w:t>. This means that a</w:t>
      </w:r>
      <w:r w:rsidR="007C42ED" w:rsidRPr="001C6F95">
        <w:rPr>
          <w:rFonts w:eastAsia="EC Square Sans Pro" w:cs="EC Square Sans Pro"/>
          <w:color w:val="000000" w:themeColor="text1"/>
        </w:rPr>
        <w:t>n approximated</w:t>
      </w:r>
      <w:r w:rsidRPr="001C6F95">
        <w:rPr>
          <w:rFonts w:eastAsia="EC Square Sans Pro" w:cs="EC Square Sans Pro"/>
          <w:color w:val="000000" w:themeColor="text1"/>
        </w:rPr>
        <w:t xml:space="preserve"> EUR 1</w:t>
      </w:r>
      <w:r w:rsidR="007C42ED" w:rsidRPr="001C6F95">
        <w:rPr>
          <w:rFonts w:eastAsia="EC Square Sans Pro" w:cs="EC Square Sans Pro"/>
          <w:color w:val="000000" w:themeColor="text1"/>
        </w:rPr>
        <w:t>22</w:t>
      </w:r>
      <w:r w:rsidRPr="001C6F95">
        <w:rPr>
          <w:rFonts w:eastAsia="EC Square Sans Pro" w:cs="EC Square Sans Pro"/>
          <w:color w:val="000000" w:themeColor="text1"/>
        </w:rPr>
        <w:t xml:space="preserve"> billion annual investment gap exists, where</w:t>
      </w:r>
      <w:r w:rsidR="007C42ED" w:rsidRPr="001C6F95">
        <w:rPr>
          <w:rFonts w:eastAsia="EC Square Sans Pro" w:cs="EC Square Sans Pro"/>
          <w:color w:val="000000" w:themeColor="text1"/>
        </w:rPr>
        <w:t xml:space="preserve"> biodiversity and ecosystems,</w:t>
      </w:r>
      <w:r w:rsidRPr="001C6F95">
        <w:rPr>
          <w:rFonts w:eastAsia="EC Square Sans Pro" w:cs="EC Square Sans Pro"/>
          <w:color w:val="000000" w:themeColor="text1"/>
        </w:rPr>
        <w:t xml:space="preserve"> pollution prevention and control and circular economy and waste have the biggest </w:t>
      </w:r>
      <w:r w:rsidR="007C42ED" w:rsidRPr="001C6F95">
        <w:rPr>
          <w:rFonts w:eastAsia="EC Square Sans Pro" w:cs="EC Square Sans Pro"/>
          <w:color w:val="000000" w:themeColor="text1"/>
        </w:rPr>
        <w:t>annual investment gaps at EUR 37</w:t>
      </w:r>
      <w:r w:rsidRPr="001C6F95">
        <w:rPr>
          <w:rFonts w:eastAsia="EC Square Sans Pro" w:cs="EC Square Sans Pro"/>
          <w:color w:val="000000" w:themeColor="text1"/>
        </w:rPr>
        <w:t>.</w:t>
      </w:r>
      <w:r w:rsidR="007C42ED" w:rsidRPr="001C6F95">
        <w:rPr>
          <w:rFonts w:eastAsia="EC Square Sans Pro" w:cs="EC Square Sans Pro"/>
          <w:color w:val="000000" w:themeColor="text1"/>
        </w:rPr>
        <w:t>4</w:t>
      </w:r>
      <w:r w:rsidRPr="001C6F95">
        <w:rPr>
          <w:rFonts w:eastAsia="EC Square Sans Pro" w:cs="EC Square Sans Pro"/>
          <w:color w:val="000000" w:themeColor="text1"/>
        </w:rPr>
        <w:t xml:space="preserve"> billion</w:t>
      </w:r>
      <w:r w:rsidR="007C42ED" w:rsidRPr="001C6F95">
        <w:rPr>
          <w:rFonts w:eastAsia="EC Square Sans Pro" w:cs="EC Square Sans Pro"/>
          <w:color w:val="000000" w:themeColor="text1"/>
        </w:rPr>
        <w:t>, EUR 35.6 billion</w:t>
      </w:r>
      <w:r w:rsidRPr="001C6F95">
        <w:rPr>
          <w:rFonts w:eastAsia="EC Square Sans Pro" w:cs="EC Square Sans Pro"/>
          <w:color w:val="000000" w:themeColor="text1"/>
        </w:rPr>
        <w:t xml:space="preserve"> and EUR</w:t>
      </w:r>
      <w:r w:rsidRPr="001C6F95">
        <w:rPr>
          <w:rFonts w:ascii="Calibri" w:eastAsia="EC Square Sans Pro" w:hAnsi="Calibri" w:cs="Calibri"/>
          <w:color w:val="000000" w:themeColor="text1"/>
        </w:rPr>
        <w:t> </w:t>
      </w:r>
      <w:r w:rsidRPr="001C6F95">
        <w:rPr>
          <w:rFonts w:eastAsia="EC Square Sans Pro" w:cs="EC Square Sans Pro"/>
          <w:color w:val="000000" w:themeColor="text1"/>
        </w:rPr>
        <w:t>26.6 billion, respectively</w:t>
      </w:r>
      <w:r w:rsidR="00D93053">
        <w:rPr>
          <w:rFonts w:eastAsia="EC Square Sans Pro" w:cs="EC Square Sans Pro"/>
          <w:color w:val="000000" w:themeColor="text1"/>
        </w:rPr>
        <w:t xml:space="preserve"> </w:t>
      </w:r>
      <w:r w:rsidR="00A647BA">
        <w:rPr>
          <w:rFonts w:eastAsia="EC Square Sans Pro" w:cs="EC Square Sans Pro"/>
          <w:color w:val="000000" w:themeColor="text1"/>
        </w:rPr>
        <w:fldChar w:fldCharType="begin"/>
      </w:r>
      <w:r w:rsidR="00E42CE5">
        <w:rPr>
          <w:rFonts w:eastAsia="EC Square Sans Pro" w:cs="EC Square Sans Pro"/>
          <w:color w:val="000000" w:themeColor="text1"/>
        </w:rPr>
        <w:instrText xml:space="preserve"> ADDIN ZOTERO_ITEM CSL_CITATION {"citationID":"vXL50HD7","properties":{"formattedCitation":"[4]","plainCitation":"[4]","noteIndex":0},"citationItems":[{"id":1483,"uris":["http://zotero.org/groups/5272309/items/5LP3QYZP"],"itemData":{"id":1483,"type":"report","event-place":"[internal doc, not published yet]","publisher-place":"[internal doc, not published yet]","title":"Environmental Implementation Review 2025 – Environmental implementation for prosperity and security","author":[{"literal":"European Commission, Directorate General for Environment."}],"issued":{"date-parts":[["2025"]]}}}],"schema":"https://github.com/citation-style-language/schema/raw/master/csl-citation.json"} </w:instrText>
      </w:r>
      <w:r w:rsidR="00A647BA">
        <w:rPr>
          <w:rFonts w:eastAsia="EC Square Sans Pro" w:cs="EC Square Sans Pro"/>
          <w:color w:val="000000" w:themeColor="text1"/>
        </w:rPr>
        <w:fldChar w:fldCharType="separate"/>
      </w:r>
      <w:r w:rsidR="00A647BA" w:rsidRPr="00A647BA">
        <w:rPr>
          <w:rFonts w:eastAsia="EC Square Sans Pro"/>
        </w:rPr>
        <w:t>[4]</w:t>
      </w:r>
      <w:r w:rsidR="00A647BA">
        <w:rPr>
          <w:rFonts w:eastAsia="EC Square Sans Pro" w:cs="EC Square Sans Pro"/>
          <w:color w:val="000000" w:themeColor="text1"/>
        </w:rPr>
        <w:fldChar w:fldCharType="end"/>
      </w:r>
      <w:r w:rsidR="00A647BA" w:rsidRPr="001C6F95">
        <w:rPr>
          <w:rFonts w:eastAsia="EC Square Sans Pro" w:cs="EC Square Sans Pro"/>
          <w:color w:val="000000" w:themeColor="text1"/>
        </w:rPr>
        <w:t>.</w:t>
      </w:r>
      <w:r w:rsidRPr="001C6F95">
        <w:rPr>
          <w:rFonts w:eastAsia="EC Square Sans Pro" w:cs="EC Square Sans Pro"/>
          <w:color w:val="000000" w:themeColor="text1"/>
        </w:rPr>
        <w:t xml:space="preserve"> </w:t>
      </w:r>
    </w:p>
    <w:p w14:paraId="74615219" w14:textId="77777777" w:rsidR="00ED4CEA" w:rsidRPr="001C6F95" w:rsidRDefault="00ED4CEA" w:rsidP="00ED4CEA">
      <w:pPr>
        <w:rPr>
          <w:b/>
        </w:rPr>
      </w:pPr>
      <w:r w:rsidRPr="001C6F95">
        <w:rPr>
          <w:b/>
        </w:rPr>
        <w:t xml:space="preserve">Despite this, significant amounts of public and private investments still flow towards harmful activities. </w:t>
      </w:r>
    </w:p>
    <w:p w14:paraId="54977CEC" w14:textId="76C0A720" w:rsidR="00ED4CEA" w:rsidRPr="001C6F95" w:rsidRDefault="00ED4CEA" w:rsidP="00ED4CEA">
      <w:r w:rsidRPr="001C6F95">
        <w:t>Between 2015 and 2021, fossil fuel subsidies in the EU remained relatively stable at approximately EUR 56 billion (2022 prices) per year. However, due to the energy crisis in 2022, fossil fuel subsidies increased to EUR 123 billion in 2022, exceeding the amount of subsidies for renewable energy in the same year (EUR 87 billion in 2022)</w:t>
      </w:r>
      <w:r w:rsidR="00A647BA">
        <w:t xml:space="preserve"> </w:t>
      </w:r>
      <w:r w:rsidR="009B2F58" w:rsidRPr="001C6F95">
        <w:fldChar w:fldCharType="begin"/>
      </w:r>
      <w:r w:rsidR="00A647BA">
        <w:instrText xml:space="preserve"> ADDIN ZOTERO_ITEM CSL_CITATION {"citationID":"KCRW9Cx3","properties":{"formattedCitation":"[5], [6]","plainCitation":"[5], [6]","noteIndex":0},"citationItems":[{"id":1142,"uris":["http://zotero.org/groups/5272309/items/KYVMGY79","http://zotero.org/groups/5272309/items/PXXXFU97"],"itemData":{"id":1142,"type":"webpage","abstract":"The 8th Environment Action Programme calls for fossil fuel subsidies to be phased out without delay. Subsidies were stable from 2015-2021, yet more than doubled in 2022 due to high energy prices post-COVID and Russia's invasion of Ukraine, subsequently falling to EUR 111 billion in 2023. While a significant part of fossil fuel subsidies are due to be phased out by 2030, these are largely crisis measures. The EU is likely not on track to make notable progress by 2030, as most Member States lack concrete plans to phase out the significant fossil fuel subsidies that remain.","language":"en","title":"Fossil fuel subsidies in Europe","URL":"https://www.eea.europa.eu/en/analysis/indicators/fossil-fuel-subsidies","accessed":{"date-parts":[["2025",3,20]]},"issued":{"date-parts":[["2025",1,29]]}}},{"id":126,"uris":["http://zotero.org/groups/5272309/items/LV95R98Q"],"itemData":{"id":126,"type":"bill","language":"en","title":"REPORT FROM THE COMMISSION TO THE EUROPEAN PARLIAMENT, THE COUNCIL, THE EUROPEAN ECONOMIC AND SOCIAL COMMITTEE AND THE COMMITTEE OF THE REGIONS State of the Energy Union Report 2023 (pursuant to Regulation (EU) 2018/1999 on the Governance of the Energy Union and Climate Action)","title-short":"COM(2023) 650","URL":"https://eur-lex.europa.eu/legal-content/EN/TXT/?uri=COM%3A2023%3A650%3AFIN&amp;qid=1698237100377","accessed":{"date-parts":[["2024",5,2]]},"issued":{"date-parts":[["2023"]]}}}],"schema":"https://github.com/citation-style-language/schema/raw/master/csl-citation.json"} </w:instrText>
      </w:r>
      <w:r w:rsidR="009B2F58" w:rsidRPr="001C6F95">
        <w:fldChar w:fldCharType="separate"/>
      </w:r>
      <w:r w:rsidR="00A647BA" w:rsidRPr="00A647BA">
        <w:t>[5], [6]</w:t>
      </w:r>
      <w:r w:rsidR="009B2F58" w:rsidRPr="001C6F95">
        <w:fldChar w:fldCharType="end"/>
      </w:r>
      <w:r w:rsidRPr="001C6F95">
        <w:t>. Fossil fuel subsidies represent only a fraction of subsidies that are harmful to the environment (also known, as environmentally harmful subsidies). As part of the 8</w:t>
      </w:r>
      <w:r w:rsidRPr="001C6F95">
        <w:rPr>
          <w:vertAlign w:val="superscript"/>
        </w:rPr>
        <w:t>th</w:t>
      </w:r>
      <w:r w:rsidRPr="001C6F95">
        <w:t xml:space="preserve"> Environmental Action Programme (EAP) and to fulfil international commitments</w:t>
      </w:r>
      <w:r w:rsidR="009B2F58" w:rsidRPr="001C6F95">
        <w:t xml:space="preserve"> </w:t>
      </w:r>
      <w:r w:rsidR="009B2F58" w:rsidRPr="001C6F95">
        <w:fldChar w:fldCharType="begin"/>
      </w:r>
      <w:r w:rsidR="00A647BA">
        <w:instrText xml:space="preserve"> ADDIN ZOTERO_ITEM CSL_CITATION {"citationID":"4dp2JYyr","properties":{"formattedCitation":"[7]","plainCitation":"[7]","noteIndex":0},"citationItems":[{"id":1115,"uris":["http://zotero.org/groups/5272309/items/NGRBXGPR"],"itemData":{"id":1115,"type":"bill","abstract":"The conclusion of the 15th Conference of Parties to the UN Convention on Biological Diversity saw the adoption of the Kunming-Montreal Global Biodiversity Framework (GBF). Amidst a dangerous decline in nature threatening the survival of 1 million species and impacting the lives of billions of people, the GBF aims to halt and reverse nature loss. The framework consists of global targets to be achieved by 2030 and beyond to safeguard and sustainably use biodiversity. The conclusion of the 15th Conference of Parties to the UN Convention on Biological Diversity saw the adoption of the Kunming-Montreal Global Biodiversity Framework (GBF). Amidst a dangerous decline in nature threatening the survival of 1 million species and impacting the lives of billions of people, the GBF aims to halt and reverse nature loss. The framework consists of global targets to be achieved by 2030 and beyond to safeguard and sustainably use biodiversity.","container-title":"CBD/COP/DEC/15/4","language":"en","section":"publications","title":"Kunming-Montreal Global Biodiversity Framework","URL":"https://www.cbd.int/doc/decisions/cop-15/cop-15-dec-04-en.pdf","author":[{"family":"Environment","given":"U. N."}],"accessed":{"date-parts":[["2025",3,18]]},"issued":{"date-parts":[["2022",12,19]]}}}],"schema":"https://github.com/citation-style-language/schema/raw/master/csl-citation.json"} </w:instrText>
      </w:r>
      <w:r w:rsidR="009B2F58" w:rsidRPr="001C6F95">
        <w:fldChar w:fldCharType="separate"/>
      </w:r>
      <w:r w:rsidR="00A647BA" w:rsidRPr="00A647BA">
        <w:t>[7]</w:t>
      </w:r>
      <w:r w:rsidR="009B2F58" w:rsidRPr="001C6F95">
        <w:fldChar w:fldCharType="end"/>
      </w:r>
      <w:r w:rsidRPr="001C6F95">
        <w:t>, the EC is currently developing a methodology to define and identify environmentally harmful subsidies</w:t>
      </w:r>
      <w:r w:rsidR="007D7AA3" w:rsidRPr="001C6F95">
        <w:t xml:space="preserve"> </w:t>
      </w:r>
      <w:r w:rsidR="00642E6D" w:rsidRPr="001C6F95">
        <w:fldChar w:fldCharType="begin"/>
      </w:r>
      <w:r w:rsidR="00A647BA">
        <w:instrText xml:space="preserve"> ADDIN ZOTERO_ITEM CSL_CITATION {"citationID":"pkQceEmY","properties":{"formattedCitation":"[8]","plainCitation":"[8]","noteIndex":0},"citationItems":[{"id":1114,"uris":["http://zotero.org/groups/5272309/items/Q7SLUYU5"],"itemData":{"id":1114,"type":"webpage","abstract":"The EU and its Member States have a long-standing commitment to phasing out environmentally harmful subsidies (EHS). The removal of EHS may contribute to cut expenditure and increase revenues while supporting the achievement of environmental and climate policy goals.","language":"en","title":"Phasing out Environmentally Harmful Subsidies - European Commission","URL":"https://environment.ec.europa.eu/economy-and-finance/phasing-out-environmentally-harmful-subsidies_en","accessed":{"date-parts":[["2025",3,18]]},"issued":{"date-parts":[["2024",6,18]]}}}],"schema":"https://github.com/citation-style-language/schema/raw/master/csl-citation.json"} </w:instrText>
      </w:r>
      <w:r w:rsidR="00642E6D" w:rsidRPr="001C6F95">
        <w:fldChar w:fldCharType="separate"/>
      </w:r>
      <w:r w:rsidR="00A647BA" w:rsidRPr="00A647BA">
        <w:t>[8]</w:t>
      </w:r>
      <w:r w:rsidR="00642E6D" w:rsidRPr="001C6F95">
        <w:fldChar w:fldCharType="end"/>
      </w:r>
      <w:r w:rsidRPr="001C6F95">
        <w:t xml:space="preserve">. Therefore, there is no official estimative of the total amount of public funds in the EU currently harming the environment. </w:t>
      </w:r>
    </w:p>
    <w:p w14:paraId="52A03CAE" w14:textId="77777777" w:rsidR="00ED4CEA" w:rsidRPr="001C6F95" w:rsidRDefault="00ED4CEA" w:rsidP="00ED4CEA">
      <w:r w:rsidRPr="001C6F95">
        <w:t xml:space="preserve">Fossil fuel finance has been steadily reducing in the most recent years from more than EUR 800 billion in 2018 to less than 600 billion in 2023. For the EU, the trajectory of fossil fuel finance exhibits a more cyclical behaviour, but since a peak annual volume of above EUR 110 billion in 2014 has overall retreated to lower amounts, with approximately EUR 60 billion in 2023.  </w:t>
      </w:r>
    </w:p>
    <w:p w14:paraId="6844BBF8" w14:textId="77777777" w:rsidR="00ED4CEA" w:rsidRPr="001C6F95" w:rsidRDefault="00ED4CEA" w:rsidP="00ED4CEA">
      <w:pPr>
        <w:rPr>
          <w:b/>
        </w:rPr>
      </w:pPr>
      <w:r w:rsidRPr="001C6F95">
        <w:rPr>
          <w:b/>
        </w:rPr>
        <w:t>Addressing investment needs will require substantial contributions from private finance;</w:t>
      </w:r>
      <w:r w:rsidRPr="001C6F95" w:rsidDel="00DB6DAF">
        <w:rPr>
          <w:b/>
        </w:rPr>
        <w:t xml:space="preserve"> </w:t>
      </w:r>
      <w:r w:rsidRPr="001C6F95">
        <w:rPr>
          <w:b/>
        </w:rPr>
        <w:t xml:space="preserve">and public funding can play a strategic shaping role. </w:t>
      </w:r>
    </w:p>
    <w:p w14:paraId="2FEC145A" w14:textId="497C98B2" w:rsidR="00ED4CEA" w:rsidRPr="001C6F95" w:rsidRDefault="00ED4CEA" w:rsidP="00275872">
      <w:r w:rsidRPr="001C6F95">
        <w:rPr>
          <w:rStyle w:val="Emphasis"/>
          <w:i w:val="0"/>
        </w:rPr>
        <w:t>Considering the size of the investment gap, private financing will be key to reach the objectives of the EU Green Deal, particularly in the current context of constrained public funding. In fact, the public share of investments is estimated to range from 25%</w:t>
      </w:r>
      <w:r w:rsidR="005755E6">
        <w:rPr>
          <w:rStyle w:val="Emphasis"/>
          <w:i w:val="0"/>
        </w:rPr>
        <w:t xml:space="preserve"> </w:t>
      </w:r>
      <w:r w:rsidRPr="001C6F95">
        <w:rPr>
          <w:rStyle w:val="Emphasis"/>
          <w:i w:val="0"/>
        </w:rPr>
        <w:t>to 50%</w:t>
      </w:r>
      <w:r w:rsidR="005755E6">
        <w:rPr>
          <w:rStyle w:val="Emphasis"/>
          <w:i w:val="0"/>
        </w:rPr>
        <w:t xml:space="preserve"> </w:t>
      </w:r>
      <w:r w:rsidR="005755E6">
        <w:rPr>
          <w:rStyle w:val="Emphasis"/>
          <w:i w:val="0"/>
        </w:rPr>
        <w:fldChar w:fldCharType="begin"/>
      </w:r>
      <w:r w:rsidR="00A647BA">
        <w:rPr>
          <w:rStyle w:val="Emphasis"/>
          <w:i w:val="0"/>
        </w:rPr>
        <w:instrText xml:space="preserve"> ADDIN ZOTERO_ITEM CSL_CITATION {"citationID":"ED6cjOlr","properties":{"formattedCitation":"[9], [10]","plainCitation":"[9], [10]","noteIndex":0},"citationItems":[{"id":1112,"uris":["http://zotero.org/groups/5272309/items/ICHGXBWN"],"itemData":{"id":1112,"type":"article-journal","abstract":"To ensure sufficiently rapid decarbonization to meet the Paris Agreement goals, investments in green infrastructure will have to increase by an estimated 2% of world GDP annually, according to the International Energy Agency. A significant part of that investment will need to be funded with public resources – raising major tensions between consolidation needs after the high deficits during the pandemic and the need to increase investments. We consider this trade-off in the European Union, which has set itself one of the most ambitious climate targets in the world. The additional public investment required to meet the European Union’s climate goals is around 0.6% of GDP annually during this decade, which might increase if the green transition is accelerated due to Russia’s invasion of Ukraine. Budget consolidation can be done at a moderate pace in line with EU fiscal rules if those rules are interpreted flexibly, but past consolidation episodes resulted in major public investment cuts. A ‘green golden rule’ –excluding net green investment from the fiscal indicators used to measure fiscal rule compliance– is proposed as the most promising option to address this tension and would provide a positive incentive to undertake such investments. However, the uncertain growth impact of green public spending and the risks to growth from climate change create difficult trade-offs in fiscally weaker countries. Better regulatory policy and a higher price on emissions should in parallel incentivise private green investment and reduce public costs. These ingredients should be combined to form a ‘Green Fiscal Pact’. Key policy insightsPublic investments tend to be cut in fiscal consolidation episodes by vote-maximising politicians and thus need to be treated differently in fiscal rules. Increasing green public investments will be difficult in the upcoming consolidation period.A ‘green golden rule’ –excluding net green public investment from the fiscal rule indicators– is proposed as the best option to incentivise public climate investment.Policymakers need to underpin such a rule by clearly defining what constitutes emission-reducing climate investments and monitoring compliance.Fossil fuel subsidies should also be eliminated, and private climate investment should be incentivised through appropriate taxation and regulation.Climate change may tighten budget constraints in countries with already high debt levels because of its negative growth effects, so these countries should delay the introduction of the green golden rule. Public investments tend to be cut in fiscal consolidation episodes by vote-maximising politicians and thus need to be treated differently in fiscal rules. Increasing green public investments will be difficult in the upcoming consolidation period. A ‘green golden rule’ –excluding net green public investment from the fiscal rule indicators– is proposed as the best option to incentivise public climate investment. Policymakers need to underpin such a rule by clearly defining what constitutes emission-reducing climate investments and monitoring compliance. Fossil fuel subsidies should also be eliminated, and private climate investment should be incentivised through appropriate taxation and regulation. Climate change may tighten budget constraints in countries with already high debt levels because of its negative growth effects, so these countries should delay the introduction of the green golden rule.","container-title":"Climate Policy","DOI":"10.1080/14693062.2022.2147893","ISSN":"1469-3062","issue":"4","note":"publisher: Taylor &amp; Francis\n_eprint: https://doi.org/10.1080/14693062.2022.2147893","page":"409-417","source":"Taylor and Francis+NEJM","title":"A Green Fiscal Pact for the EU: increasing climate investments while consolidating budgets","title-short":"A Green Fiscal Pact for the EU","volume":"23","author":[{"family":"Darvas","given":"Zsolt"},{"family":"Wolff","given":"Guntram B.","non-dropping-particle":"and"}],"issued":{"date-parts":[["2023",4,21]]}}},{"id":1110,"uris":["http://zotero.org/groups/5272309/items/I62UDB8R"],"itemData":{"id":1110,"type":"book","abstract":"The third installment of the ‘European Public Investment Outlook’ series is an important and timely publication that draws together recent analyses to recommend significant increases in public investment in green ventures. Compelling data from key economists affiliated with international organizations like the International Monetary Fund, European Investment Bank and the European Commission, as well as academic departments and policy institutes are a clarion call for green investment to boost the economy and put the planet on a sustainable path.","ISBN":"978-1-80064-905-7","language":"English","note":"DOI: 10.11647/obp.0328","publisher":"Open Book Publishers","source":"www.openbookpublishers.com","title":"Greening Europe: 2022 European Public Investment Outlook","title-short":"Greening Europe","URL":"https://www.openbookpublishers.com/books/10.11647/obp.0328","author":[{"family":"Cerniglia","given":"Floriana"},{"family":"Saraceno","given":"Francesco"}],"accessed":{"date-parts":[["2025",3,18]]},"issued":{"date-parts":[["2022",12,7]]}}}],"schema":"https://github.com/citation-style-language/schema/raw/master/csl-citation.json"} </w:instrText>
      </w:r>
      <w:r w:rsidR="005755E6">
        <w:rPr>
          <w:rStyle w:val="Emphasis"/>
          <w:i w:val="0"/>
        </w:rPr>
        <w:fldChar w:fldCharType="separate"/>
      </w:r>
      <w:r w:rsidR="00A647BA" w:rsidRPr="00A647BA">
        <w:t>[9], [10]</w:t>
      </w:r>
      <w:r w:rsidR="005755E6">
        <w:rPr>
          <w:rStyle w:val="Emphasis"/>
          <w:i w:val="0"/>
        </w:rPr>
        <w:fldChar w:fldCharType="end"/>
      </w:r>
      <w:r w:rsidR="00AD6810" w:rsidRPr="001C6F95">
        <w:rPr>
          <w:rStyle w:val="Emphasis"/>
          <w:i w:val="0"/>
        </w:rPr>
        <w:t xml:space="preserve">. </w:t>
      </w:r>
      <w:r w:rsidRPr="001C6F95">
        <w:t xml:space="preserve">EU public funding can play a strategic shaping role by focusing on its leveraging and signalling functions. Through long-term regulatory stability, public incentives and effective policy coordination, EU funding can leverage/mobilise private financing. In line with this, the Commission has </w:t>
      </w:r>
      <w:r w:rsidRPr="001C6F95">
        <w:rPr>
          <w:u w:val="single"/>
        </w:rPr>
        <w:t>announced</w:t>
      </w:r>
      <w:r w:rsidRPr="001C6F95">
        <w:t xml:space="preserve"> that it will adopt a strategy on a Savings and Investment Union for private investment for industrial decarbonisation and clean tech, strengthen the Innovation Fund and enhance the effectiveness of State aid</w:t>
      </w:r>
      <w:r w:rsidR="002D0682">
        <w:t xml:space="preserve"> </w:t>
      </w:r>
      <w:r w:rsidR="00147F5F">
        <w:fldChar w:fldCharType="begin"/>
      </w:r>
      <w:r w:rsidR="00A647BA">
        <w:instrText xml:space="preserve"> ADDIN ZOTERO_ITEM CSL_CITATION {"citationID":"EL5trI0s","properties":{"formattedCitation":"[11]","plainCitation":"[11]","noteIndex":0},"citationItems":[{"id":1109,"uris":["http://zotero.org/groups/5272309/items/BVS4M3M2"],"itemData":{"id":1109,"type":"bill","language":"en","title":"COMMUNICATION FROM THE COMMISSION TO THE EUROPEAN PARLIAMENT, THE COUNCIL, THE EUROPEAN ECONOMIC AND SOCIAL COMMITTEE AND THE COMMITTEE OF THE REGIONS The Clean Industrial Deal: A joint roadmap for competitiveness and decarbonisation","title-short":"COMMUNICATION FROM THE COMMISSION TO THE EUROPEAN PARLIAMENT, THE COUNCIL, THE EUROPEAN ECONOMIC AND SOCIAL COMMITTEE AND THE COMMITTEE OF THE REGIONS The Clean Industrial Deal","URL":"https://eur-lex.europa.eu/legal-content/EN/TXT/?uri=celex:52025DC0085","accessed":{"date-parts":[["2025",3,18]]},"issued":{"date-parts":[["2025"]]}}}],"schema":"https://github.com/citation-style-language/schema/raw/master/csl-citation.json"} </w:instrText>
      </w:r>
      <w:r w:rsidR="00147F5F">
        <w:fldChar w:fldCharType="separate"/>
      </w:r>
      <w:r w:rsidR="00A647BA" w:rsidRPr="00A647BA">
        <w:t>[11]</w:t>
      </w:r>
      <w:r w:rsidR="00147F5F">
        <w:fldChar w:fldCharType="end"/>
      </w:r>
      <w:r w:rsidRPr="001C6F95">
        <w:t xml:space="preserve">. </w:t>
      </w:r>
    </w:p>
    <w:p w14:paraId="0ED592D2" w14:textId="77777777" w:rsidR="00ED4CEA" w:rsidRPr="001C6F95" w:rsidRDefault="00ED4CEA" w:rsidP="00ED4CEA">
      <w:r w:rsidRPr="001C6F95">
        <w:t xml:space="preserve">This section tackles two crucial issues in financing the EU green transition, namely mobilising private finance and fostering sustainable investments through the next MFF. The aim is </w:t>
      </w:r>
      <w:r w:rsidRPr="001C6F95" w:rsidDel="009F32EB">
        <w:t xml:space="preserve">not </w:t>
      </w:r>
      <w:r w:rsidRPr="001C6F95">
        <w:t xml:space="preserve">to provide an exhaustive view of potential challenges and opportunities for action, but to highlight critical factors that policymakers can have in consideration when designing and implementing policies related to sustainable investments. </w:t>
      </w:r>
    </w:p>
    <w:p w14:paraId="14DA7229" w14:textId="77777777" w:rsidR="0024296F" w:rsidRPr="001C6F95" w:rsidRDefault="0024296F" w:rsidP="0024296F">
      <w:pPr>
        <w:spacing w:after="0"/>
        <w:rPr>
          <w:rFonts w:eastAsia="Calibri" w:cs="Calibri"/>
          <w:sz w:val="14"/>
        </w:rPr>
      </w:pPr>
    </w:p>
    <w:p w14:paraId="450A1927" w14:textId="3E759EFC" w:rsidR="00D1521C" w:rsidRPr="001C6F95" w:rsidRDefault="00D1521C" w:rsidP="00C327D3">
      <w:pPr>
        <w:pStyle w:val="JRCLevel-2title"/>
        <w:numPr>
          <w:ilvl w:val="1"/>
          <w:numId w:val="22"/>
        </w:numPr>
        <w:jc w:val="left"/>
      </w:pPr>
      <w:bookmarkStart w:id="9" w:name="_Toc174032454"/>
      <w:bookmarkStart w:id="10" w:name="_Toc179798299"/>
      <w:bookmarkStart w:id="11" w:name="_Toc193115013"/>
      <w:r w:rsidRPr="001C6F95" w:rsidDel="000F5644">
        <w:t>Mobilising private finance</w:t>
      </w:r>
      <w:bookmarkEnd w:id="9"/>
      <w:bookmarkEnd w:id="10"/>
      <w:bookmarkEnd w:id="11"/>
    </w:p>
    <w:p w14:paraId="7F255E7E" w14:textId="7E04C8B3" w:rsidR="00D86DF4" w:rsidRPr="001C6F95" w:rsidRDefault="00D86DF4" w:rsidP="00D86DF4">
      <w:pPr>
        <w:rPr>
          <w:rFonts w:cs="Segoe UI"/>
        </w:rPr>
      </w:pPr>
      <w:r>
        <w:t xml:space="preserve">As per the Commission Recommendation </w:t>
      </w:r>
      <w:r w:rsidRPr="124DB24A">
        <w:rPr>
          <w:rFonts w:cs="Segoe UI"/>
        </w:rPr>
        <w:t>(EU) 2023/1425</w:t>
      </w:r>
      <w:r w:rsidR="00275872">
        <w:rPr>
          <w:rFonts w:cs="Segoe UI"/>
        </w:rPr>
        <w:t xml:space="preserve"> </w:t>
      </w:r>
      <w:r w:rsidR="00275872">
        <w:rPr>
          <w:rFonts w:cs="Segoe UI"/>
        </w:rPr>
        <w:fldChar w:fldCharType="begin"/>
      </w:r>
      <w:r w:rsidR="00275872">
        <w:rPr>
          <w:rFonts w:cs="Segoe UI"/>
        </w:rPr>
        <w:instrText xml:space="preserve"> ADDIN ZOTERO_ITEM CSL_CITATION {"citationID":"pYN4iUHL","properties":{"formattedCitation":"[12]","plainCitation":"[12]","noteIndex":0},"citationItems":[{"id":1108,"uris":["http://zotero.org/groups/5272309/items/MDKT5WFV"],"itemData":{"id":1108,"type":"report","language":"en","note":"volume: 174\ncontainer-title: OJ L\nLegislative Body: COM, FISMA","source":"EUR-Lex","title":"Commission Recommendation (EU) 2023/1425 of 27</w:instrText>
      </w:r>
      <w:r w:rsidR="00275872">
        <w:rPr>
          <w:rFonts w:ascii="Calibri" w:hAnsi="Calibri" w:cs="Calibri"/>
        </w:rPr>
        <w:instrText> </w:instrText>
      </w:r>
      <w:r w:rsidR="00275872">
        <w:rPr>
          <w:rFonts w:cs="Segoe UI"/>
        </w:rPr>
        <w:instrText xml:space="preserve">June 2023 on facilitating finance for the transition to a sustainable economy","URL":"http://data.europa.eu/eli/reco/2023/1425/oj/eng","accessed":{"date-parts":[["2025",3,18]]},"issued":{"date-parts":[["2023",6,27]]}}}],"schema":"https://github.com/citation-style-language/schema/raw/master/csl-citation.json"} </w:instrText>
      </w:r>
      <w:r w:rsidR="00275872">
        <w:rPr>
          <w:rFonts w:cs="Segoe UI"/>
        </w:rPr>
        <w:fldChar w:fldCharType="separate"/>
      </w:r>
      <w:r w:rsidR="00275872" w:rsidRPr="00275872">
        <w:t>[12]</w:t>
      </w:r>
      <w:r w:rsidR="00275872">
        <w:rPr>
          <w:rFonts w:cs="Segoe UI"/>
        </w:rPr>
        <w:fldChar w:fldCharType="end"/>
      </w:r>
      <w:r w:rsidRPr="124DB24A">
        <w:rPr>
          <w:rFonts w:cs="Segoe UI"/>
        </w:rPr>
        <w:t xml:space="preserve">, sustainable finance includes what is referred to as ‘green finance’ that is already environmentally-friendly and ‘transition finance’ that is transitioning towards those environmental performance levels over time, </w:t>
      </w:r>
      <w:r w:rsidRPr="124DB24A">
        <w:rPr>
          <w:rFonts w:cs="Segoe UI"/>
          <w:u w:val="single"/>
        </w:rPr>
        <w:t>including</w:t>
      </w:r>
      <w:r w:rsidRPr="124DB24A">
        <w:rPr>
          <w:rFonts w:cs="Segoe UI"/>
        </w:rPr>
        <w:t xml:space="preserve"> when the activity or company being financed is environmentally-harmful </w:t>
      </w:r>
      <w:r w:rsidRPr="124DB24A">
        <w:rPr>
          <w:rFonts w:cs="Segoe UI"/>
          <w:u w:val="single"/>
        </w:rPr>
        <w:t>as</w:t>
      </w:r>
      <w:r w:rsidRPr="124DB24A">
        <w:rPr>
          <w:rFonts w:cs="Segoe UI"/>
        </w:rPr>
        <w:t xml:space="preserve"> of today but presents credible ambition and ability to transition. What falls within these categories will evolve in the short, medium and long term as the levels of stringency evolve during the transition to a sustainable economy.</w:t>
      </w:r>
    </w:p>
    <w:p w14:paraId="10EEECD6" w14:textId="3748D972" w:rsidR="17506B85" w:rsidRDefault="17506B85" w:rsidP="124DB24A">
      <w:pPr>
        <w:pStyle w:val="Caption"/>
        <w:spacing w:line="259" w:lineRule="auto"/>
        <w:jc w:val="both"/>
        <w:rPr>
          <w:rFonts w:ascii="EC Square Sans Pro" w:hAnsi="EC Square Sans Pro"/>
          <w:i/>
        </w:rPr>
      </w:pPr>
      <w:r w:rsidRPr="124DB24A">
        <w:rPr>
          <w:rFonts w:ascii="EC Square Sans Pro" w:hAnsi="EC Square Sans Pro"/>
        </w:rPr>
        <w:t xml:space="preserve">Figure </w:t>
      </w:r>
      <w:r w:rsidRPr="124DB24A">
        <w:rPr>
          <w:rFonts w:ascii="EC Square Sans Pro" w:hAnsi="EC Square Sans Pro"/>
          <w:b/>
          <w:bCs/>
        </w:rPr>
        <w:t>X</w:t>
      </w:r>
      <w:r w:rsidRPr="124DB24A">
        <w:rPr>
          <w:rFonts w:ascii="EC Square Sans Pro" w:hAnsi="EC Square Sans Pro"/>
        </w:rPr>
        <w:t xml:space="preserve"> - Relationship between green and transition finance today and over time</w:t>
      </w:r>
    </w:p>
    <w:p w14:paraId="57A70221" w14:textId="77777777" w:rsidR="00D86DF4" w:rsidRPr="001C6F95" w:rsidRDefault="00D86DF4" w:rsidP="00D86DF4">
      <w:pPr>
        <w:pStyle w:val="ListParagraph"/>
        <w:keepNext/>
        <w:ind w:left="465"/>
        <w:textAlignment w:val="baseline"/>
      </w:pPr>
      <w:r w:rsidRPr="001C6F95">
        <w:rPr>
          <w:noProof/>
          <w:lang w:eastAsia="en-GB"/>
        </w:rPr>
        <w:drawing>
          <wp:inline distT="0" distB="0" distL="0" distR="0" wp14:anchorId="4E721938" wp14:editId="6BF1D12B">
            <wp:extent cx="5214899" cy="283464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53540"/>
                    <a:stretch/>
                  </pic:blipFill>
                  <pic:spPr bwMode="auto">
                    <a:xfrm>
                      <a:off x="0" y="0"/>
                      <a:ext cx="5228338" cy="2841945"/>
                    </a:xfrm>
                    <a:prstGeom prst="rect">
                      <a:avLst/>
                    </a:prstGeom>
                    <a:ln>
                      <a:noFill/>
                    </a:ln>
                    <a:extLst>
                      <a:ext uri="{53640926-AAD7-44D8-BBD7-CCE9431645EC}">
                        <a14:shadowObscured xmlns:a14="http://schemas.microsoft.com/office/drawing/2010/main"/>
                      </a:ext>
                    </a:extLst>
                  </pic:spPr>
                </pic:pic>
              </a:graphicData>
            </a:graphic>
          </wp:inline>
        </w:drawing>
      </w:r>
    </w:p>
    <w:p w14:paraId="3FFBFA25" w14:textId="5CEDB5E1" w:rsidR="47C19A29" w:rsidRPr="00E42CE5" w:rsidRDefault="47C19A29" w:rsidP="00E42CE5">
      <w:pPr>
        <w:pStyle w:val="ListParagraph"/>
        <w:keepNext/>
        <w:ind w:left="0"/>
        <w:rPr>
          <w:sz w:val="18"/>
          <w:szCs w:val="18"/>
        </w:rPr>
      </w:pPr>
      <w:r w:rsidRPr="00E42CE5">
        <w:rPr>
          <w:i/>
          <w:sz w:val="18"/>
          <w:szCs w:val="18"/>
        </w:rPr>
        <w:t>Source</w:t>
      </w:r>
      <w:r w:rsidRPr="00E42CE5">
        <w:rPr>
          <w:sz w:val="18"/>
          <w:szCs w:val="18"/>
        </w:rPr>
        <w:t>:</w:t>
      </w:r>
      <w:r w:rsidR="00E42CE5" w:rsidRPr="00E42CE5">
        <w:rPr>
          <w:sz w:val="18"/>
          <w:szCs w:val="18"/>
        </w:rPr>
        <w:t xml:space="preserve"> Commission Recommendation (EU) 2023/1425 on facilitating finance for the transition to a sustainable economy</w:t>
      </w:r>
      <w:r w:rsidRPr="00E42CE5">
        <w:rPr>
          <w:sz w:val="18"/>
          <w:szCs w:val="18"/>
        </w:rPr>
        <w:t xml:space="preserve"> </w:t>
      </w:r>
      <w:r w:rsidR="00E42CE5" w:rsidRPr="00E42CE5">
        <w:rPr>
          <w:sz w:val="18"/>
          <w:szCs w:val="18"/>
        </w:rPr>
        <w:fldChar w:fldCharType="begin"/>
      </w:r>
      <w:r w:rsidR="00E42CE5" w:rsidRPr="00E42CE5">
        <w:rPr>
          <w:sz w:val="18"/>
          <w:szCs w:val="18"/>
        </w:rPr>
        <w:instrText xml:space="preserve"> ADDIN ZOTERO_ITEM CSL_CITATION {"citationID":"CrRjaMqZ","properties":{"formattedCitation":"[12]","plainCitation":"[12]","noteIndex":0},"citationItems":[{"id":1108,"uris":["http://zotero.org/groups/5272309/items/MDKT5WFV"],"itemData":{"id":1108,"type":"report","language":"en","note":"volume: 174\ncontainer-title: OJ L\nLegislative Body: COM, FISMA","source":"EUR-Lex","title":"Commission Recommendation (EU) 2023/1425 of 27</w:instrText>
      </w:r>
      <w:r w:rsidR="00E42CE5" w:rsidRPr="00E42CE5">
        <w:rPr>
          <w:rFonts w:ascii="Calibri" w:hAnsi="Calibri" w:cs="Calibri"/>
          <w:sz w:val="18"/>
          <w:szCs w:val="18"/>
        </w:rPr>
        <w:instrText> </w:instrText>
      </w:r>
      <w:r w:rsidR="00E42CE5" w:rsidRPr="00E42CE5">
        <w:rPr>
          <w:sz w:val="18"/>
          <w:szCs w:val="18"/>
        </w:rPr>
        <w:instrText xml:space="preserve">June 2023 on facilitating finance for the transition to a sustainable economy","URL":"http://data.europa.eu/eli/reco/2023/1425/oj/eng","accessed":{"date-parts":[["2025",3,18]]},"issued":{"date-parts":[["2023",6,27]]}}}],"schema":"https://github.com/citation-style-language/schema/raw/master/csl-citation.json"} </w:instrText>
      </w:r>
      <w:r w:rsidR="00E42CE5" w:rsidRPr="00E42CE5">
        <w:rPr>
          <w:sz w:val="18"/>
          <w:szCs w:val="18"/>
        </w:rPr>
        <w:fldChar w:fldCharType="separate"/>
      </w:r>
      <w:r w:rsidR="00E42CE5" w:rsidRPr="00E42CE5">
        <w:rPr>
          <w:sz w:val="18"/>
          <w:szCs w:val="18"/>
        </w:rPr>
        <w:t>[12]</w:t>
      </w:r>
      <w:r w:rsidR="00E42CE5" w:rsidRPr="00E42CE5">
        <w:rPr>
          <w:sz w:val="18"/>
          <w:szCs w:val="18"/>
        </w:rPr>
        <w:fldChar w:fldCharType="end"/>
      </w:r>
      <w:r w:rsidR="00E42CE5">
        <w:rPr>
          <w:sz w:val="18"/>
          <w:szCs w:val="18"/>
        </w:rPr>
        <w:t>.</w:t>
      </w:r>
    </w:p>
    <w:p w14:paraId="06E64C20" w14:textId="7CF8C15B" w:rsidR="124DB24A" w:rsidRDefault="124DB24A" w:rsidP="124DB24A">
      <w:pPr>
        <w:pStyle w:val="ListParagraph"/>
        <w:keepNext/>
        <w:ind w:left="465"/>
      </w:pPr>
    </w:p>
    <w:p w14:paraId="34F1FE90" w14:textId="77777777" w:rsidR="00D86DF4" w:rsidRPr="001C6F95" w:rsidRDefault="00D86DF4" w:rsidP="00D86DF4">
      <w:pPr>
        <w:rPr>
          <w:rFonts w:cs="Segoe UI"/>
        </w:rPr>
      </w:pPr>
      <w:r w:rsidRPr="001C6F95">
        <w:rPr>
          <w:rFonts w:cs="Segoe UI"/>
        </w:rPr>
        <w:t xml:space="preserve">The EU Sustainable Finance Framework aims to provide a basis for the development of green and transition finance. Certain bottlenecks to accessing green and transition finance can be overcome via financial instruments such as green bonds, sustainability-linked bonds, and venture capital. The opportunities created by existing and possible future EU regulations relating to these financial instruments are explored in the Section 1.1 </w:t>
      </w:r>
    </w:p>
    <w:p w14:paraId="42BFAD8F" w14:textId="573D0A27" w:rsidR="00D86DF4" w:rsidRPr="001C6F95" w:rsidRDefault="00D86DF4" w:rsidP="00D86DF4">
      <w:r w:rsidRPr="001C6F95">
        <w:rPr>
          <w:rFonts w:cs="Segoe UI"/>
        </w:rPr>
        <w:t>Developing the EU Sustainable Finance Framework and supporting green and transition finance instruments depends on the availability and quality of sustainability disclosures. The Commission’s proposed ‘Omnibus’ package</w:t>
      </w:r>
      <w:r w:rsidR="0061587A">
        <w:rPr>
          <w:rFonts w:cs="Segoe UI"/>
        </w:rPr>
        <w:t xml:space="preserve"> </w:t>
      </w:r>
      <w:r w:rsidR="00805D52">
        <w:rPr>
          <w:rFonts w:cs="Segoe UI"/>
        </w:rPr>
        <w:fldChar w:fldCharType="begin"/>
      </w:r>
      <w:r w:rsidR="00E42CE5">
        <w:rPr>
          <w:rFonts w:cs="Segoe UI"/>
        </w:rPr>
        <w:instrText xml:space="preserve"> ADDIN ZOTERO_ITEM CSL_CITATION {"citationID":"ddiKdwdr","properties":{"formattedCitation":"[13], [14], [15]","plainCitation":"[13], [14], [15]","noteIndex":0},"citationItems":[{"id":1107,"uris":["http://zotero.org/groups/5272309/items/C5PSS2KG"],"itemData":{"id":1107,"type":"bill","language":"en","title":"Proposal for a DIRECTIVE OF THE EUROPEAN PARLIAMENT AND OF THE COUNCIL amending Directives (EU) 2022/2464 and (EU) 2024/1760 as regards the dates from which Member States are to apply certain corporate sustainability reporting and due diligence requirements","URL":"https://eur-lex.europa.eu/legal-content/EN/TXT/?uri=celex%3A52025PC0080","accessed":{"date-parts":[["2025",3,18]]},"issued":{"date-parts":[["2025"]]}}},{"id":1106,"uris":["http://zotero.org/groups/5272309/items/CBNGQSJ6"],"itemData":{"id":1106,"type":"bill","language":"en","title":"Proposal for a DIRECTIVE OF THE EUROPEAN PARLIAMENT AND OF THE COUNCIL amending Directives 2006/43/EC, 2013/34/EU, (EU) 2022/2464 and (EU) 2024/1760 as regards certain corporate sustainability reporting and due diligence requirements","URL":"https://eur-lex.europa.eu/legal-content/EN/TXT/?uri=celex%3A52025PC0081","accessed":{"date-parts":[["2025",3,18]]},"issued":{"date-parts":[["2025"]]}}},{"id":1105,"uris":["http://zotero.org/groups/5272309/items/M6L3REK3"],"itemData":{"id":1105,"type":"bill","language":"en","title":"Proposal for a REGULATION OF THE EUROPEAN PARLIAMENT AND OF THE COUNCIL amending Regulation (EU) 2023/956 as regards simplifying and strengthening the carbon border adjustment mechanism","URL":"https://eur-lex.europa.eu/legal-content/EN/TXT/?uri=celex%3A52025PC0087","accessed":{"date-parts":[["2025",3,18]]},"issued":{"date-parts":[["2025"]]}},"label":"page"}],"schema":"https://github.com/citation-style-language/schema/raw/master/csl-citation.json"} </w:instrText>
      </w:r>
      <w:r w:rsidR="00805D52">
        <w:rPr>
          <w:rFonts w:cs="Segoe UI"/>
        </w:rPr>
        <w:fldChar w:fldCharType="separate"/>
      </w:r>
      <w:r w:rsidR="00E42CE5" w:rsidRPr="00E42CE5">
        <w:t>[13], [14], [15]</w:t>
      </w:r>
      <w:r w:rsidR="00805D52">
        <w:rPr>
          <w:rFonts w:cs="Segoe UI"/>
        </w:rPr>
        <w:fldChar w:fldCharType="end"/>
      </w:r>
      <w:r w:rsidRPr="001C6F95">
        <w:rPr>
          <w:rFonts w:cs="Segoe UI"/>
        </w:rPr>
        <w:t xml:space="preserve"> aims to simplify sustainable finance reporting while encouraging quality disclosures that can help to unlock investments. These disclosures create an opportunity to monitor the flows of green and transition finance, to harmonise impact reporting and to enhance the verification of sustainability claims that are explored in section 1.2. A</w:t>
      </w:r>
      <w:r w:rsidRPr="001C6F95">
        <w:rPr>
          <w:rFonts w:ascii="Calibri" w:hAnsi="Calibri" w:cs="Calibri"/>
        </w:rPr>
        <w:t> </w:t>
      </w:r>
      <w:r w:rsidRPr="001C6F95">
        <w:rPr>
          <w:rFonts w:cs="Segoe UI"/>
        </w:rPr>
        <w:t xml:space="preserve">new and strategically important source of disclosures for transition finance are transition plans. Therefore, section 1.2 deep-dives the opportunities that the European Commission has to support transition plan preparers, user and supervisors as well as regulators. It also explores how transition plans create opportunities for increasing access to finance via financial instruments and via informing public policy planning. </w:t>
      </w:r>
    </w:p>
    <w:p w14:paraId="4DD68603" w14:textId="77777777" w:rsidR="00F33AB7" w:rsidRPr="001C6F95" w:rsidRDefault="00F33AB7" w:rsidP="00F33AB7">
      <w:pPr>
        <w:pStyle w:val="Heading2"/>
      </w:pPr>
      <w:bookmarkStart w:id="12" w:name="_Toc179798301"/>
      <w:bookmarkStart w:id="13" w:name="_Toc160445012"/>
      <w:r w:rsidRPr="001C6F95">
        <w:t xml:space="preserve">1.1 Financing instruments </w:t>
      </w:r>
    </w:p>
    <w:p w14:paraId="230087E2" w14:textId="77777777" w:rsidR="000C0D8F" w:rsidRPr="001C6F95" w:rsidRDefault="000C0D8F" w:rsidP="000C0D8F">
      <w:pPr>
        <w:spacing w:before="60" w:after="60"/>
        <w:rPr>
          <w:b/>
          <w:bCs/>
        </w:rPr>
      </w:pPr>
      <w:r w:rsidRPr="001C6F95">
        <w:rPr>
          <w:b/>
          <w:bCs/>
        </w:rPr>
        <w:t xml:space="preserve">Key message </w:t>
      </w:r>
      <w:r w:rsidRPr="001C6F95">
        <w:rPr>
          <w:b/>
          <w:bCs/>
          <w:iCs/>
        </w:rPr>
        <w:t>#</w:t>
      </w:r>
      <w:r w:rsidRPr="001C6F95">
        <w:rPr>
          <w:b/>
          <w:bCs/>
        </w:rPr>
        <w:t xml:space="preserve">1: Bottlenecks in the access to finance to be addressed by leveraging on standardised green instruments and venture capital </w:t>
      </w:r>
    </w:p>
    <w:p w14:paraId="6669A8CA" w14:textId="2BD5D6E5" w:rsidR="000C0D8F" w:rsidRPr="001C6F95" w:rsidRDefault="000C0D8F" w:rsidP="000C0D8F">
      <w:pPr>
        <w:spacing w:after="0"/>
      </w:pPr>
      <w:r w:rsidRPr="001C6F95">
        <w:t>According to the IPCC (2023) report</w:t>
      </w:r>
      <w:r w:rsidR="00BF1E47">
        <w:t xml:space="preserve"> </w:t>
      </w:r>
      <w:r w:rsidR="00DF3985">
        <w:fldChar w:fldCharType="begin"/>
      </w:r>
      <w:r w:rsidR="00E42CE5">
        <w:instrText xml:space="preserve"> ADDIN ZOTERO_ITEM CSL_CITATION {"citationID":"7shWl4E7","properties":{"formattedCitation":"[16]","plainCitation":"[16]","noteIndex":0},"citationItems":[{"id":1104,"uris":["http://zotero.org/groups/5272309/items/SEWM5RUA"],"itemData":{"id":1104,"type":"report","abstract":"The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report.","note":"edition: First\nDOI: 10.59327/IPCC/AR6-9789291691647","publisher":"Intergovernmental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2025",3,18]]},"issued":{"date-parts":[["2023",7,25]]}}}],"schema":"https://github.com/citation-style-language/schema/raw/master/csl-citation.json"} </w:instrText>
      </w:r>
      <w:r w:rsidR="00DF3985">
        <w:fldChar w:fldCharType="separate"/>
      </w:r>
      <w:r w:rsidR="00E42CE5" w:rsidRPr="00E42CE5">
        <w:t>[16]</w:t>
      </w:r>
      <w:r w:rsidR="00DF3985">
        <w:fldChar w:fldCharType="end"/>
      </w:r>
      <w:r w:rsidRPr="001C6F95">
        <w:t>, “</w:t>
      </w:r>
      <w:r w:rsidRPr="001C6F95">
        <w:rPr>
          <w:i/>
          <w:iCs/>
        </w:rPr>
        <w:t>there is sufficient global capital to close the global investment gaps but there are barriers to redirect capital to climate action</w:t>
      </w:r>
      <w:r w:rsidRPr="001C6F95">
        <w:t>”. Bottlenecks to access finance are reported as one of main drivers of the lack of private green investment. According to the 2021 EIBS survey</w:t>
      </w:r>
      <w:r w:rsidR="00F315D6">
        <w:t xml:space="preserve"> </w:t>
      </w:r>
      <w:r w:rsidR="008640EF">
        <w:fldChar w:fldCharType="begin"/>
      </w:r>
      <w:r w:rsidR="00E42CE5">
        <w:instrText xml:space="preserve"> ADDIN ZOTERO_ITEM CSL_CITATION {"citationID":"RdV1OXQA","properties":{"formattedCitation":"[17, Ch. 6]","plainCitation":"[17, Ch. 6]","noteIndex":0},"citationItems":[{"id":1143,"uris":["http://zotero.org/groups/5272309/items/87T2AWGW"],"itemData":{"id":1143,"type":"book","event-place":"LU","language":"eng","publisher":"Publications Office","publisher-place":"LU","source":"DOI.org (CSL JSON)","title":"EIB investment survey 2021: European Union overview.","title-short":"EIB investment survey 2021","URL":"https://data.europa.eu/doi/10.2867/282464","author":[{"literal":"European Investment Bank."},{"literal":"Ipsos Public Affairs."}],"accessed":{"date-parts":[["2025",3,20]]},"issued":{"date-parts":[["2021"]]}},"locator":"6","label":"chapter"}],"schema":"https://github.com/citation-style-language/schema/raw/master/csl-citation.json"} </w:instrText>
      </w:r>
      <w:r w:rsidR="008640EF">
        <w:fldChar w:fldCharType="separate"/>
      </w:r>
      <w:r w:rsidR="00E42CE5" w:rsidRPr="00E42CE5">
        <w:t>[17, Ch. 6]</w:t>
      </w:r>
      <w:r w:rsidR="008640EF">
        <w:fldChar w:fldCharType="end"/>
      </w:r>
      <w:r w:rsidRPr="001C6F95">
        <w:t>, 59% of European firms point to the availability of finance as an obstacle to climate investments. This share varies across regions, with Southern Europe hosting the highest fraction of firms reporting unavailability of finance as a major obstacle to green investments (45% of surveyed enterprises). European firms need to attract green-minded investors and diversify their sources of funding reducing their reliance on bank credit amid the fragmented and undersupplied capital markets. To do so, several financial instruments still under-used could be leveraged.</w:t>
      </w:r>
    </w:p>
    <w:p w14:paraId="249B2D42" w14:textId="77777777" w:rsidR="000C0D8F" w:rsidRPr="001C6F95" w:rsidRDefault="000C0D8F" w:rsidP="000C0D8F">
      <w:pPr>
        <w:spacing w:after="0"/>
        <w:rPr>
          <w:rFonts w:eastAsia="EC Square Sans Pro" w:cs="EC Square Sans Pro"/>
          <w:b/>
          <w:bCs/>
        </w:rPr>
      </w:pPr>
      <w:r w:rsidRPr="001C6F95" w:rsidDel="7D539862">
        <w:rPr>
          <w:rFonts w:eastAsia="EC Square Sans Pro" w:cs="EC Square Sans Pro"/>
          <w:b/>
          <w:bCs/>
        </w:rPr>
        <w:t>Opportunity 1.</w:t>
      </w:r>
      <w:r w:rsidRPr="001C6F95">
        <w:rPr>
          <w:b/>
          <w:bCs/>
        </w:rPr>
        <w:t xml:space="preserve">1: Leverage EU Green Bond Standard </w:t>
      </w:r>
      <w:r w:rsidRPr="001C6F95">
        <w:rPr>
          <w:rFonts w:eastAsia="EC Square Sans Pro" w:cs="EC Square Sans Pro"/>
          <w:b/>
          <w:bCs/>
        </w:rPr>
        <w:t>to develop market finance for green investments</w:t>
      </w:r>
    </w:p>
    <w:p w14:paraId="7023FB8A" w14:textId="02D5BC8D" w:rsidR="000C0D8F" w:rsidRPr="001C6F95" w:rsidRDefault="000C0D8F" w:rsidP="000C0D8F">
      <w:pPr>
        <w:rPr>
          <w:rFonts w:eastAsia="EC Square Sans Pro" w:cs="EC Square Sans Pro"/>
        </w:rPr>
      </w:pPr>
      <w:r w:rsidRPr="001C6F95">
        <w:rPr>
          <w:rFonts w:eastAsia="EC Square Sans Pro" w:cs="EC Square Sans Pro"/>
        </w:rPr>
        <w:t>Debt capital markets are playing an increasingly important role in scaling up private funding for green investments, also thanks to the development of specific financial instruments. Green bonds are debt securities issued to finance investment projects with environmental and climate benefits. To date, green bond proceeds are predominantly used to finance projects for energy efficiency, clean transportation, and green buildings</w:t>
      </w:r>
      <w:r w:rsidR="003F08B6">
        <w:rPr>
          <w:rFonts w:eastAsia="EC Square Sans Pro" w:cs="EC Square Sans Pro"/>
        </w:rPr>
        <w:t xml:space="preserve"> </w:t>
      </w:r>
      <w:r w:rsidR="00C4135E">
        <w:rPr>
          <w:rFonts w:eastAsia="EC Square Sans Pro" w:cs="EC Square Sans Pro"/>
        </w:rPr>
        <w:fldChar w:fldCharType="begin"/>
      </w:r>
      <w:r w:rsidR="00E42CE5">
        <w:rPr>
          <w:rFonts w:eastAsia="EC Square Sans Pro" w:cs="EC Square Sans Pro"/>
        </w:rPr>
        <w:instrText xml:space="preserve"> ADDIN ZOTERO_ITEM CSL_CITATION {"citationID":"yLfe8S9P","properties":{"formattedCitation":"[18], [19]","plainCitation":"[18], [19]","noteIndex":0},"citationItems":[{"id":1144,"uris":["http://zotero.org/groups/5272309/items/QWXIE6EC"],"itemData":{"id":1144,"type":"report","publisher":"Sustainable Finance ESG Ratings Global","title":"ESG Ratings Insights: Use of Proceeds in Instrument RatingsShortfalls in Alignment to Sustainability Impact, Transparency and Climate Adaptation","URL":"https://www.sustainablefitch.com/corporate-finance/esg-ratings-insights-bond-use-of-proceeds-07-08-2023?sFWebAccessReportValidation=true&amp;mkt_tok=NzMyLUNLSC03NjcAAAGZUuf6d9opeRWvjpjn2Oj1WkF6-GVnwoVwkFi0UBsAO45g83_swd9tXfzgn7tK6UNJ2mWQrcN4EjCfeTsbyAE1oSO_pT9UHOoCSDYIsUSO_3AmdTD_B6QE","author":[{"literal":"Aurelia Britsch"},{"literal":"Nneka Chike-Obi"},{"literal":"Jonathon Smith"}],"accessed":{"date-parts":[["2025",3,20]]},"issued":{"date-parts":[["2023",7,8]]}},"label":"page"},{"id":1145,"uris":["http://zotero.org/groups/5272309/items/KJBUCY5Z"],"itemData":{"id":1145,"type":"article-journal","abstract":"Abstract\n            Although green bonds are becoming increasingly popular in the corporate finance practice, little is known about their implications and effectiveness in terms of issuers' environmental engagement. With the use of matched bond</w:instrText>
      </w:r>
      <w:r w:rsidR="00E42CE5">
        <w:rPr>
          <w:rFonts w:ascii="Cambria Math" w:eastAsia="EC Square Sans Pro" w:hAnsi="Cambria Math" w:cs="Cambria Math"/>
        </w:rPr>
        <w:instrText>‐</w:instrText>
      </w:r>
      <w:r w:rsidR="00E42CE5">
        <w:rPr>
          <w:rFonts w:eastAsia="EC Square Sans Pro" w:cs="EC Square Sans Pro"/>
        </w:rPr>
        <w:instrText>issuer data, we test whether green bond issues are associated to a reduction in total and direct (Scope 1) emissions of nonfinancial companies. We find that, compared with conventional bond issuers with similar financial characteristics and environmental ratings, green issuers display a decrease in the carbon intensity of their assets after borrowing on the green segment. The decrease in emissions is more pronounced, significant and long</w:instrText>
      </w:r>
      <w:r w:rsidR="00E42CE5">
        <w:rPr>
          <w:rFonts w:ascii="Cambria Math" w:eastAsia="EC Square Sans Pro" w:hAnsi="Cambria Math" w:cs="Cambria Math"/>
        </w:rPr>
        <w:instrText>‐</w:instrText>
      </w:r>
      <w:r w:rsidR="00E42CE5">
        <w:rPr>
          <w:rFonts w:eastAsia="EC Square Sans Pro" w:cs="EC Square Sans Pro"/>
        </w:rPr>
        <w:instrText>lasting when we exclude green bonds with refinancing purposes, which is consistent with an increase in the volume of climate</w:instrText>
      </w:r>
      <w:r w:rsidR="00E42CE5">
        <w:rPr>
          <w:rFonts w:ascii="Cambria Math" w:eastAsia="EC Square Sans Pro" w:hAnsi="Cambria Math" w:cs="Cambria Math"/>
        </w:rPr>
        <w:instrText>‐</w:instrText>
      </w:r>
      <w:r w:rsidR="00E42CE5">
        <w:rPr>
          <w:rFonts w:eastAsia="EC Square Sans Pro" w:cs="EC Square Sans Pro"/>
        </w:rPr>
        <w:instrText xml:space="preserve">friendly activities due to new projects. We also find a larger reduction in emissions in case of green bonds that have external review, as well as those issued after the Paris Agreement.","container-title":"Business Strategy and the Environment","DOI":"10.1002/bse.2771","ISSN":"0964-4733, 1099-0836","issue":"5","journalAbbreviation":"Bus Strat Env","language":"en","page":"2688-2701","source":"DOI.org (Crossref)","title":"Green bonds as a tool against climate change?","volume":"30","author":[{"family":"Fatica","given":"Serena"},{"family":"Panzica","given":"Roberto"}],"issued":{"date-parts":[["2021",7]]}},"label":"page"}],"schema":"https://github.com/citation-style-language/schema/raw/master/csl-citation.json"} </w:instrText>
      </w:r>
      <w:r w:rsidR="00C4135E">
        <w:rPr>
          <w:rFonts w:eastAsia="EC Square Sans Pro" w:cs="EC Square Sans Pro"/>
        </w:rPr>
        <w:fldChar w:fldCharType="separate"/>
      </w:r>
      <w:r w:rsidR="00E42CE5" w:rsidRPr="00E42CE5">
        <w:rPr>
          <w:rFonts w:eastAsia="EC Square Sans Pro"/>
        </w:rPr>
        <w:t>[18], [19]</w:t>
      </w:r>
      <w:r w:rsidR="00C4135E">
        <w:rPr>
          <w:rFonts w:eastAsia="EC Square Sans Pro" w:cs="EC Square Sans Pro"/>
        </w:rPr>
        <w:fldChar w:fldCharType="end"/>
      </w:r>
      <w:r w:rsidR="00635DF3">
        <w:rPr>
          <w:rFonts w:eastAsia="EC Square Sans Pro" w:cs="EC Square Sans Pro"/>
        </w:rPr>
        <w:t>.</w:t>
      </w:r>
      <w:r w:rsidRPr="001C6F95">
        <w:rPr>
          <w:rFonts w:eastAsia="EC Square Sans Pro" w:cs="EC Square Sans Pro"/>
        </w:rPr>
        <w:t xml:space="preserve"> Since its inception in 2007, the green bond market has grown steadfastly. Figure 1 plots total annual bond issuances in the EU, broken down by issuer type, and as a percentage of the total bond market. The share of green bonds in the EU27 was below 1% in 2013, but has significantly increased since then, and even more markedly from 2016, on the back of strong market demand leading to favourable pricing conditions</w:t>
      </w:r>
      <w:r w:rsidR="00C4135E">
        <w:rPr>
          <w:rFonts w:eastAsia="EC Square Sans Pro" w:cs="EC Square Sans Pro"/>
        </w:rPr>
        <w:t xml:space="preserve"> </w:t>
      </w:r>
      <w:r w:rsidR="00405971">
        <w:rPr>
          <w:rFonts w:eastAsia="EC Square Sans Pro" w:cs="EC Square Sans Pro"/>
        </w:rPr>
        <w:fldChar w:fldCharType="begin"/>
      </w:r>
      <w:r w:rsidR="00E42CE5">
        <w:rPr>
          <w:rFonts w:eastAsia="EC Square Sans Pro" w:cs="EC Square Sans Pro"/>
        </w:rPr>
        <w:instrText xml:space="preserve"> ADDIN ZOTERO_ITEM CSL_CITATION {"citationID":"BfiPhDKl","properties":{"formattedCitation":"[20]","plainCitation":"[20]","noteIndex":0},"citationItems":[{"id":1146,"uris":["http://zotero.org/groups/5272309/items/RQ6DQTNA"],"itemData":{"id":1146,"type":"article-journal","container-title":"Journal of Financial Stability","DOI":"10.1016/j.jfs.2021.100873","ISSN":"15723089","journalAbbreviation":"Journal of Financial Stability","language":"en","page":"100873","source":"DOI.org (Crossref)","title":"The pricing of green bonds: Are financial institutions special?","title-short":"The pricing of green bonds","volume":"54","author":[{"family":"Fatica","given":"Serena"},{"family":"Panzica","given":"Roberto"},{"family":"Rancan","given":"Michela"}],"issued":{"date-parts":[["2021",6]]}}}],"schema":"https://github.com/citation-style-language/schema/raw/master/csl-citation.json"} </w:instrText>
      </w:r>
      <w:r w:rsidR="00405971">
        <w:rPr>
          <w:rFonts w:eastAsia="EC Square Sans Pro" w:cs="EC Square Sans Pro"/>
        </w:rPr>
        <w:fldChar w:fldCharType="separate"/>
      </w:r>
      <w:r w:rsidR="00E42CE5" w:rsidRPr="00E42CE5">
        <w:rPr>
          <w:rFonts w:eastAsia="EC Square Sans Pro"/>
        </w:rPr>
        <w:t>[20]</w:t>
      </w:r>
      <w:r w:rsidR="00405971">
        <w:rPr>
          <w:rFonts w:eastAsia="EC Square Sans Pro" w:cs="EC Square Sans Pro"/>
        </w:rPr>
        <w:fldChar w:fldCharType="end"/>
      </w:r>
      <w:r w:rsidRPr="001C6F95">
        <w:rPr>
          <w:rFonts w:eastAsia="EC Square Sans Pro" w:cs="EC Square Sans Pro"/>
        </w:rPr>
        <w:t>. In 2022, green securities accounted for 16% of newly issued bonds in the EU27, and only 2% of overall issuance by non-EU entities.</w:t>
      </w:r>
    </w:p>
    <w:p w14:paraId="2F75D0AC" w14:textId="2C348B94" w:rsidR="000C0D8F" w:rsidRPr="001C6F95" w:rsidRDefault="000C0D8F" w:rsidP="000C0D8F">
      <w:pPr>
        <w:spacing w:after="0"/>
        <w:rPr>
          <w:rFonts w:eastAsia="EC Square Sans Pro" w:cs="EC Square Sans Pro"/>
        </w:rPr>
      </w:pPr>
      <w:r w:rsidRPr="001C6F95">
        <w:rPr>
          <w:rFonts w:eastAsia="EC Square Sans Pro" w:cs="EC Square Sans Pro"/>
        </w:rPr>
        <w:t>The European Green Bond Standard (EuGBS) provides the first regulatory standard for “European Green Bonds” applying from 21 December 2024. Building on market best practice, the EuGBS relies on the criteria of the EU Taxonomy to define green economic activities and issuers must explain how the proceeds contribute to funding their transition plan as per the Corporate Sustainability Reporting Directive (CSRD) if they are subject to the CSRD or have voluntarily published a transition plan. The standard has clear reporting requirements and foresees a system of supervision of companies carrying out pre- and post-issuance reviews at European level. The EuGBS will significantly increase transparency and certainty, thus further promoting the development of the EU green bond market. Moreover, green bond issuance by sovereign entities and governments can in fact stimulate corporate issuances, by providing benchmarks for market practice and disclosure</w:t>
      </w:r>
      <w:r w:rsidR="000A5D39">
        <w:rPr>
          <w:rFonts w:eastAsia="EC Square Sans Pro" w:cs="EC Square Sans Pro"/>
        </w:rPr>
        <w:t xml:space="preserve"> </w:t>
      </w:r>
      <w:r w:rsidR="000A5D39">
        <w:rPr>
          <w:rFonts w:eastAsia="EC Square Sans Pro" w:cs="EC Square Sans Pro"/>
        </w:rPr>
        <w:fldChar w:fldCharType="begin"/>
      </w:r>
      <w:r w:rsidR="00E42CE5">
        <w:rPr>
          <w:rFonts w:eastAsia="EC Square Sans Pro" w:cs="EC Square Sans Pro"/>
        </w:rPr>
        <w:instrText xml:space="preserve"> ADDIN ZOTERO_ITEM CSL_CITATION {"citationID":"tFvzygec","properties":{"formattedCitation":"[21]","plainCitation":"[21]","noteIndex":0},"citationItems":[{"id":1147,"uris":["http://zotero.org/groups/5272309/items/SGG47D7K"],"itemData":{"id":1147,"type":"book","abstract":"In traditional bond markets, sovereign bonds provide benchmarks and serve as catalysts for the corporate bond market development. Contrary to the usual sequence of bond market development, sovereign issuers are latecomers to sustainable bond markets. Yet, our empirical study finds that sovereign green bond issuance can have quantitative and qualitative benefits for the development of private sustainable bond markets. Our results suggest that both the number and the size of corporate green bond issuance increase more in a jurisdiction after the sovereign debut. The results are more pronounced in countries with stronger climate policies. Sovereign green bond issuance also improves the quality of green verification standards in the corporate bond market more generally, consistent with the aim of fostering third-party reviews and promoting best practice in green reporting and verification. Finally, our work provides evidence that the sovereign debut increases liquidity and diminishes yield spreads of corporate green bonds in the same jurisdiction","collection-title":"IMF Working Papers","event-place":"Washington, D.C","ISBN":"979-8-4002-7703-0","language":"eng","note":"DOI: 10.5089/9798400277030.001","number-of-pages":"1","publisher":"International Monetary Fund","publisher-place":"Washington, D.C","source":"K10plus ISBN","title":"Sovereign Green Bonds: A Catalyst for Sustainable Debt Market Development?","title-short":"Sovereign Green Bonds","author":[{"family":"Cheng","given":"Gong"},{"family":"Ehlers","given":"Torsten"},{"family":"Packer","given":"Frank"},{"family":"Xiao","given":"Yanzhe"}],"issued":{"date-parts":[["2024"]]}}}],"schema":"https://github.com/citation-style-language/schema/raw/master/csl-citation.json"} </w:instrText>
      </w:r>
      <w:r w:rsidR="000A5D39">
        <w:rPr>
          <w:rFonts w:eastAsia="EC Square Sans Pro" w:cs="EC Square Sans Pro"/>
        </w:rPr>
        <w:fldChar w:fldCharType="separate"/>
      </w:r>
      <w:r w:rsidR="00E42CE5" w:rsidRPr="00E42CE5">
        <w:rPr>
          <w:rFonts w:eastAsia="EC Square Sans Pro"/>
        </w:rPr>
        <w:t>[21]</w:t>
      </w:r>
      <w:r w:rsidR="000A5D39">
        <w:rPr>
          <w:rFonts w:eastAsia="EC Square Sans Pro" w:cs="EC Square Sans Pro"/>
        </w:rPr>
        <w:fldChar w:fldCharType="end"/>
      </w:r>
      <w:r w:rsidRPr="001C6F95">
        <w:rPr>
          <w:rFonts w:eastAsia="EC Square Sans Pro" w:cs="EC Square Sans Pro"/>
        </w:rPr>
        <w:t>. With ad hoc provisions on securitisation, the EuGBS could be leveraged also to revive the securitisation market in Europe, as advocated in the Draghi report</w:t>
      </w:r>
      <w:r w:rsidR="0000548D">
        <w:rPr>
          <w:rFonts w:eastAsia="EC Square Sans Pro" w:cs="EC Square Sans Pro"/>
        </w:rPr>
        <w:t xml:space="preserve"> </w:t>
      </w:r>
      <w:r w:rsidR="00E821FA">
        <w:rPr>
          <w:rFonts w:eastAsia="EC Square Sans Pro" w:cs="EC Square Sans Pro"/>
        </w:rPr>
        <w:fldChar w:fldCharType="begin"/>
      </w:r>
      <w:r w:rsidR="00E42CE5">
        <w:rPr>
          <w:rFonts w:eastAsia="EC Square Sans Pro" w:cs="EC Square Sans Pro"/>
        </w:rPr>
        <w:instrText xml:space="preserve"> ADDIN ZOTERO_ITEM CSL_CITATION {"citationID":"xRMTpCPx","properties":{"formattedCitation":"[22]","plainCitation":"[22]","noteIndex":0},"citationItems":[{"id":1156,"uris":["http://zotero.org/groups/5272309/items/QIJV2MAX"],"itemData":{"id":1156,"type":"webpage","abstract":"Read Mario Draghi's report on the future of European competitiveness, which lays out clear recommendations on how Europe can boost its economic growth.","language":"en","title":"The future of European competitiveness - A competitiveness strategy for Europe (Part A)","URL":"https://commission.europa.eu/topics/eu-competitiveness/draghi-report_en","author":[{"literal":"Mario Draghi"}],"accessed":{"date-parts":[["2025",3,20]]},"issued":{"date-parts":[["2024",9,9]]}}}],"schema":"https://github.com/citation-style-language/schema/raw/master/csl-citation.json"} </w:instrText>
      </w:r>
      <w:r w:rsidR="00E821FA">
        <w:rPr>
          <w:rFonts w:eastAsia="EC Square Sans Pro" w:cs="EC Square Sans Pro"/>
        </w:rPr>
        <w:fldChar w:fldCharType="separate"/>
      </w:r>
      <w:r w:rsidR="00E42CE5" w:rsidRPr="00E42CE5">
        <w:rPr>
          <w:rFonts w:eastAsia="EC Square Sans Pro"/>
        </w:rPr>
        <w:t>[22]</w:t>
      </w:r>
      <w:r w:rsidR="00E821FA">
        <w:rPr>
          <w:rFonts w:eastAsia="EC Square Sans Pro" w:cs="EC Square Sans Pro"/>
        </w:rPr>
        <w:fldChar w:fldCharType="end"/>
      </w:r>
      <w:r w:rsidR="00E821FA">
        <w:rPr>
          <w:rFonts w:eastAsia="EC Square Sans Pro" w:cs="EC Square Sans Pro"/>
        </w:rPr>
        <w:t xml:space="preserve"> </w:t>
      </w:r>
      <w:r w:rsidRPr="001C6F95">
        <w:rPr>
          <w:rFonts w:eastAsia="EC Square Sans Pro" w:cs="EC Square Sans Pro"/>
        </w:rPr>
        <w:t>by offering a transparent and standardized tool for investors.. Overall, in line with what the Letta report advocates</w:t>
      </w:r>
      <w:r w:rsidR="00B05164">
        <w:rPr>
          <w:rFonts w:eastAsia="EC Square Sans Pro" w:cs="EC Square Sans Pro"/>
        </w:rPr>
        <w:t xml:space="preserve"> </w:t>
      </w:r>
      <w:r w:rsidR="00B05164">
        <w:rPr>
          <w:rFonts w:eastAsia="EC Square Sans Pro" w:cs="EC Square Sans Pro"/>
        </w:rPr>
        <w:fldChar w:fldCharType="begin"/>
      </w:r>
      <w:r w:rsidR="00E42CE5">
        <w:rPr>
          <w:rFonts w:eastAsia="EC Square Sans Pro" w:cs="EC Square Sans Pro"/>
        </w:rPr>
        <w:instrText xml:space="preserve"> ADDIN ZOTERO_ITEM CSL_CITATION {"citationID":"RB5jcGHW","properties":{"formattedCitation":"[23]","plainCitation":"[23]","noteIndex":0},"citationItems":[{"id":1158,"uris":["http://zotero.org/groups/5272309/items/5EBMMZJ6"],"itemData":{"id":1158,"type":"report","abstract":"European Circular Economy Stakeholder Platform - A joint initiative by the European Commission and the European Economic and Social Committee","language":"en","publisher":"Jacques Delors Institute","title":"Much more than a market – Speed, Security, Solidarity","URL":"https://circulareconomy.europa.eu/platform/en/knowledge/much-more-market-speed-security-solidarity","author":[{"literal":"Enrico Letta"}],"accessed":{"date-parts":[["2025",3,20]]},"issued":{"date-parts":[["2024",4,30]]}}}],"schema":"https://github.com/citation-style-language/schema/raw/master/csl-citation.json"} </w:instrText>
      </w:r>
      <w:r w:rsidR="00B05164">
        <w:rPr>
          <w:rFonts w:eastAsia="EC Square Sans Pro" w:cs="EC Square Sans Pro"/>
        </w:rPr>
        <w:fldChar w:fldCharType="separate"/>
      </w:r>
      <w:r w:rsidR="00E42CE5" w:rsidRPr="00E42CE5">
        <w:rPr>
          <w:rFonts w:eastAsia="EC Square Sans Pro"/>
        </w:rPr>
        <w:t>[23]</w:t>
      </w:r>
      <w:r w:rsidR="00B05164">
        <w:rPr>
          <w:rFonts w:eastAsia="EC Square Sans Pro" w:cs="EC Square Sans Pro"/>
        </w:rPr>
        <w:fldChar w:fldCharType="end"/>
      </w:r>
      <w:r w:rsidRPr="001C6F95">
        <w:rPr>
          <w:rFonts w:eastAsia="EC Square Sans Pro" w:cs="EC Square Sans Pro"/>
        </w:rPr>
        <w:t xml:space="preserve">, the market for green and sustainable debt has the potential to act as a catalyst for the development of the whole EU financial market.  </w:t>
      </w:r>
    </w:p>
    <w:p w14:paraId="58B5F67C" w14:textId="55ABC029" w:rsidR="124DB24A" w:rsidRDefault="124DB24A" w:rsidP="124DB24A">
      <w:pPr>
        <w:spacing w:after="0"/>
        <w:rPr>
          <w:rFonts w:eastAsia="EC Square Sans Pro" w:cs="EC Square Sans Pro"/>
        </w:rPr>
      </w:pPr>
    </w:p>
    <w:p w14:paraId="6DC5B97B" w14:textId="2FFD8617" w:rsidR="6F909C6B" w:rsidRDefault="6F909C6B" w:rsidP="124DB24A">
      <w:pPr>
        <w:pStyle w:val="Caption"/>
        <w:spacing w:line="259" w:lineRule="auto"/>
        <w:rPr>
          <w:rFonts w:ascii="EC Square Sans Pro" w:hAnsi="EC Square Sans Pro"/>
          <w:i/>
        </w:rPr>
      </w:pPr>
      <w:r w:rsidRPr="124DB24A">
        <w:rPr>
          <w:rFonts w:ascii="EC Square Sans Pro" w:hAnsi="EC Square Sans Pro"/>
        </w:rPr>
        <w:t xml:space="preserve">Figure </w:t>
      </w:r>
      <w:r w:rsidRPr="124DB24A">
        <w:rPr>
          <w:rFonts w:ascii="EC Square Sans Pro" w:hAnsi="EC Square Sans Pro"/>
          <w:b/>
          <w:bCs/>
        </w:rPr>
        <w:t>X</w:t>
      </w:r>
      <w:r w:rsidRPr="124DB24A">
        <w:rPr>
          <w:rFonts w:ascii="EC Square Sans Pro" w:hAnsi="EC Square Sans Pro"/>
        </w:rPr>
        <w:t xml:space="preserve"> -Green bond issuance in the EU, by year and issuer type</w:t>
      </w:r>
    </w:p>
    <w:p w14:paraId="227BAB9E" w14:textId="77777777" w:rsidR="000C0D8F" w:rsidRPr="001C6F95" w:rsidRDefault="000C0D8F" w:rsidP="000C0D8F">
      <w:pPr>
        <w:jc w:val="center"/>
      </w:pPr>
      <w:r>
        <w:rPr>
          <w:noProof/>
        </w:rPr>
        <w:drawing>
          <wp:inline distT="0" distB="0" distL="0" distR="0" wp14:anchorId="7AB9B15E" wp14:editId="1B4A0E38">
            <wp:extent cx="4365577" cy="3124200"/>
            <wp:effectExtent l="0" t="0" r="0" b="0"/>
            <wp:docPr id="917770909" name="Picture 91777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770909"/>
                    <pic:cNvPicPr/>
                  </pic:nvPicPr>
                  <pic:blipFill rotWithShape="1">
                    <a:blip r:embed="rId14">
                      <a:extLst>
                        <a:ext uri="{28A0092B-C50C-407E-A947-70E740481C1C}">
                          <a14:useLocalDpi xmlns:a14="http://schemas.microsoft.com/office/drawing/2010/main" val="0"/>
                        </a:ext>
                      </a:extLst>
                    </a:blip>
                    <a:srcRect b="6694"/>
                    <a:stretch/>
                  </pic:blipFill>
                  <pic:spPr bwMode="auto">
                    <a:xfrm>
                      <a:off x="0" y="0"/>
                      <a:ext cx="4366315" cy="3124728"/>
                    </a:xfrm>
                    <a:prstGeom prst="rect">
                      <a:avLst/>
                    </a:prstGeom>
                    <a:ln>
                      <a:noFill/>
                    </a:ln>
                    <a:extLst>
                      <a:ext uri="{53640926-AAD7-44D8-BBD7-CCE9431645EC}">
                        <a14:shadowObscured xmlns:a14="http://schemas.microsoft.com/office/drawing/2010/main"/>
                      </a:ext>
                    </a:extLst>
                  </pic:spPr>
                </pic:pic>
              </a:graphicData>
            </a:graphic>
          </wp:inline>
        </w:drawing>
      </w:r>
    </w:p>
    <w:p w14:paraId="440C79C8" w14:textId="57A2EF89" w:rsidR="00E42CE5" w:rsidRPr="00E42CE5" w:rsidRDefault="55D0885E" w:rsidP="00E42CE5">
      <w:pPr>
        <w:spacing w:after="0"/>
        <w:jc w:val="center"/>
        <w:rPr>
          <w:rFonts w:eastAsiaTheme="minorEastAsia"/>
          <w:sz w:val="18"/>
          <w:szCs w:val="18"/>
        </w:rPr>
      </w:pPr>
      <w:r>
        <w:t xml:space="preserve">Source: </w:t>
      </w:r>
      <w:r w:rsidR="00E42CE5" w:rsidRPr="00E42CE5">
        <w:rPr>
          <w:rFonts w:eastAsiaTheme="minorEastAsia"/>
          <w:i/>
          <w:sz w:val="18"/>
          <w:szCs w:val="18"/>
        </w:rPr>
        <w:t>Source</w:t>
      </w:r>
      <w:r w:rsidR="00E42CE5" w:rsidRPr="00E42CE5">
        <w:rPr>
          <w:rFonts w:eastAsiaTheme="minorEastAsia"/>
          <w:sz w:val="18"/>
          <w:szCs w:val="18"/>
        </w:rPr>
        <w:t xml:space="preserve">: </w:t>
      </w:r>
      <w:r w:rsidR="00E42CE5" w:rsidRPr="00E42CE5">
        <w:rPr>
          <w:sz w:val="18"/>
          <w:szCs w:val="18"/>
        </w:rPr>
        <w:t xml:space="preserve">JRC elaboration based on </w:t>
      </w:r>
      <w:hyperlink r:id="rId15" w:history="1">
        <w:r w:rsidR="00E42CE5" w:rsidRPr="00E42CE5">
          <w:rPr>
            <w:rStyle w:val="Hyperlink"/>
            <w:sz w:val="18"/>
            <w:szCs w:val="18"/>
          </w:rPr>
          <w:t>Dealogic</w:t>
        </w:r>
      </w:hyperlink>
      <w:r w:rsidR="00E42CE5">
        <w:rPr>
          <w:sz w:val="18"/>
          <w:szCs w:val="18"/>
        </w:rPr>
        <w:t xml:space="preserve"> </w:t>
      </w:r>
      <w:r w:rsidR="00E42CE5" w:rsidRPr="00E42CE5">
        <w:rPr>
          <w:sz w:val="18"/>
          <w:szCs w:val="18"/>
        </w:rPr>
        <w:t>data.</w:t>
      </w:r>
      <w:r w:rsidR="00E42CE5" w:rsidRPr="00E42CE5">
        <w:rPr>
          <w:rFonts w:eastAsiaTheme="minorEastAsia"/>
          <w:sz w:val="18"/>
          <w:szCs w:val="18"/>
        </w:rPr>
        <w:t xml:space="preserve"> </w:t>
      </w:r>
    </w:p>
    <w:p w14:paraId="57C60EF4" w14:textId="2B169F4B" w:rsidR="000C0D8F" w:rsidRPr="001C6F95" w:rsidRDefault="00E42CE5" w:rsidP="00275872">
      <w:pPr>
        <w:jc w:val="center"/>
        <w:rPr>
          <w:b/>
          <w:bCs/>
          <w:color w:val="538135" w:themeColor="accent6" w:themeShade="BF"/>
        </w:rPr>
      </w:pPr>
      <w:r w:rsidRPr="124DB24A">
        <w:rPr>
          <w:highlight w:val="yellow"/>
        </w:rPr>
        <w:t xml:space="preserve"> </w:t>
      </w:r>
    </w:p>
    <w:p w14:paraId="6438892B" w14:textId="77777777" w:rsidR="000C0D8F" w:rsidRPr="001C6F95" w:rsidRDefault="000C0D8F" w:rsidP="000C0D8F">
      <w:pPr>
        <w:spacing w:after="0"/>
        <w:rPr>
          <w:b/>
        </w:rPr>
      </w:pPr>
      <w:r w:rsidRPr="001C6F95">
        <w:rPr>
          <w:b/>
        </w:rPr>
        <w:t xml:space="preserve">Opportunity </w:t>
      </w:r>
      <w:r w:rsidRPr="001C6F95">
        <w:rPr>
          <w:b/>
          <w:bCs/>
        </w:rPr>
        <w:t>1.</w:t>
      </w:r>
      <w:r w:rsidRPr="001C6F95">
        <w:rPr>
          <w:b/>
        </w:rPr>
        <w:t>2: Reinforcing the credibility of sustainability-linked bonds as transition and green finance instruments</w:t>
      </w:r>
    </w:p>
    <w:p w14:paraId="77B937C3" w14:textId="2C7E5DEE" w:rsidR="000C0D8F" w:rsidRPr="001C6F95" w:rsidRDefault="000C0D8F" w:rsidP="124DB24A">
      <w:pPr>
        <w:spacing w:after="0"/>
        <w:rPr>
          <w:rFonts w:eastAsiaTheme="minorEastAsia"/>
        </w:rPr>
      </w:pPr>
      <w:r w:rsidRPr="124DB24A">
        <w:rPr>
          <w:rFonts w:eastAsiaTheme="minorEastAsia"/>
        </w:rPr>
        <w:t>Unlike green bonds, whose proceeds are tied to specific ‘green’ projects, sustainability-linked bonds (SLBs) raise finance for the pursuit of entity-level sustainability-related targets. In practice, the financial conditions of the SLBs are explicitly linked to the overall sustainability performance of the issuer. While there are open questions on the incentives embedded in the specific security design, SLBs are a recent innovation that has gained much attention for their use as a transition finance instrument. At EUR 54.5 billion, the volumes of SLBs issuance peaked in 2021 (Figure 3), declining afterwards potentially because of the increased attention and scrutiny from investors on the design of this instrument. Concerns are mainly on the structure of incentives embedded in a system that, by increasing due payments, financially penalises the issuer failing to reach the declared sustainability targets. This would reduce ambition in the declared targets to avoid the increase in the cost of debt</w:t>
      </w:r>
      <w:r w:rsidR="007F3A43" w:rsidRPr="124DB24A">
        <w:rPr>
          <w:rFonts w:eastAsiaTheme="minorEastAsia"/>
        </w:rPr>
        <w:t xml:space="preserve"> </w:t>
      </w:r>
      <w:r w:rsidR="007F3A43" w:rsidRPr="124DB24A">
        <w:rPr>
          <w:rFonts w:eastAsiaTheme="minorEastAsia"/>
        </w:rPr>
        <w:fldChar w:fldCharType="begin"/>
      </w:r>
      <w:r w:rsidR="00E42CE5">
        <w:rPr>
          <w:rFonts w:eastAsiaTheme="minorEastAsia"/>
        </w:rPr>
        <w:instrText xml:space="preserve"> ADDIN ZOTERO_ITEM CSL_CITATION {"citationID":"5hSqEhUB","properties":{"formattedCitation":"[24]","plainCitation":"[24]","noteIndex":0},"citationItems":[{"id":1148,"uris":["http://zotero.org/groups/5272309/items/JYIPLGS2"],"itemData":{"id":1148,"type":"article-journal","container-title":"Journal of Financial Economics","DOI":"10.1016/j.jfineco.2024.103944","ISSN":"0304405X","journalAbbreviation":"Journal of Financial Economics","language":"en","page":"103944","source":"DOI.org (Crossref)","title":"Pricing of sustainability-linked bonds","volume":"162","author":[{"family":"Feldhütter","given":"Peter"},{"family":"Halskov","given":"Kristoffer"},{"family":"Krebbers","given":"Arthur"}],"issued":{"date-parts":[["2024",12]]}}}],"schema":"https://github.com/citation-style-language/schema/raw/master/csl-citation.json"} </w:instrText>
      </w:r>
      <w:r w:rsidR="007F3A43" w:rsidRPr="124DB24A">
        <w:rPr>
          <w:rFonts w:eastAsiaTheme="minorEastAsia"/>
        </w:rPr>
        <w:fldChar w:fldCharType="separate"/>
      </w:r>
      <w:r w:rsidR="00E42CE5" w:rsidRPr="00E42CE5">
        <w:rPr>
          <w:rFonts w:eastAsiaTheme="minorEastAsia"/>
        </w:rPr>
        <w:t>[24]</w:t>
      </w:r>
      <w:r w:rsidR="007F3A43" w:rsidRPr="124DB24A">
        <w:rPr>
          <w:rFonts w:eastAsiaTheme="minorEastAsia"/>
        </w:rPr>
        <w:fldChar w:fldCharType="end"/>
      </w:r>
      <w:r w:rsidRPr="124DB24A">
        <w:rPr>
          <w:rFonts w:eastAsiaTheme="minorEastAsia"/>
        </w:rPr>
        <w:t>. To prevent this from happening and further develop trust in this market, there is potential for additional guidelines and standards to grant the necessary conditions – including the alignment of incentives for issuers and investors alike and balancing financial and environmental needs. An example in this direction is the 2024 update of ICMA’s Sustainability-Linked Bond Principles (SLBP), which heads to lining up the choice of the KPIs to track with the issuer’s sustainability strategy.</w:t>
      </w:r>
    </w:p>
    <w:p w14:paraId="59068FAA" w14:textId="6EE42BF5" w:rsidR="124DB24A" w:rsidRDefault="124DB24A" w:rsidP="124DB24A">
      <w:pPr>
        <w:spacing w:after="0"/>
        <w:rPr>
          <w:rFonts w:eastAsiaTheme="minorEastAsia"/>
        </w:rPr>
      </w:pPr>
    </w:p>
    <w:p w14:paraId="136F9E4B" w14:textId="1F4BA8C9" w:rsidR="220E8E24" w:rsidRDefault="220E8E24" w:rsidP="003F08B6">
      <w:pPr>
        <w:keepNext/>
        <w:spacing w:after="0"/>
        <w:rPr>
          <w:rFonts w:eastAsiaTheme="minorEastAsia"/>
        </w:rPr>
      </w:pPr>
      <w:r w:rsidRPr="124DB24A">
        <w:rPr>
          <w:rFonts w:eastAsiaTheme="minorEastAsia"/>
        </w:rPr>
        <w:t xml:space="preserve">Figure </w:t>
      </w:r>
      <w:r w:rsidRPr="124DB24A">
        <w:rPr>
          <w:rFonts w:eastAsiaTheme="minorEastAsia"/>
          <w:b/>
          <w:bCs/>
        </w:rPr>
        <w:t>X</w:t>
      </w:r>
      <w:r w:rsidRPr="124DB24A">
        <w:rPr>
          <w:rFonts w:eastAsiaTheme="minorEastAsia"/>
        </w:rPr>
        <w:t xml:space="preserve"> - Sustainability-linked bond issuance in the EU</w:t>
      </w:r>
    </w:p>
    <w:p w14:paraId="61B32043" w14:textId="56365C6A" w:rsidR="000C0D8F" w:rsidRPr="001C6F95" w:rsidRDefault="000C0D8F" w:rsidP="000C0D8F">
      <w:pPr>
        <w:spacing w:after="0"/>
        <w:jc w:val="center"/>
      </w:pPr>
      <w:r>
        <w:rPr>
          <w:noProof/>
        </w:rPr>
        <w:drawing>
          <wp:inline distT="0" distB="0" distL="0" distR="0" wp14:anchorId="7A1BD78B" wp14:editId="72871149">
            <wp:extent cx="4391660" cy="2724150"/>
            <wp:effectExtent l="0" t="0" r="8890" b="0"/>
            <wp:docPr id="1699391827" name="Picture 169939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391827"/>
                    <pic:cNvPicPr/>
                  </pic:nvPicPr>
                  <pic:blipFill rotWithShape="1">
                    <a:blip r:embed="rId16">
                      <a:extLst>
                        <a:ext uri="{28A0092B-C50C-407E-A947-70E740481C1C}">
                          <a14:useLocalDpi xmlns:a14="http://schemas.microsoft.com/office/drawing/2010/main" val="0"/>
                        </a:ext>
                      </a:extLst>
                    </a:blip>
                    <a:srcRect b="9775"/>
                    <a:stretch/>
                  </pic:blipFill>
                  <pic:spPr bwMode="auto">
                    <a:xfrm>
                      <a:off x="0" y="0"/>
                      <a:ext cx="4391891" cy="2724293"/>
                    </a:xfrm>
                    <a:prstGeom prst="rect">
                      <a:avLst/>
                    </a:prstGeom>
                    <a:ln>
                      <a:noFill/>
                    </a:ln>
                    <a:extLst>
                      <a:ext uri="{53640926-AAD7-44D8-BBD7-CCE9431645EC}">
                        <a14:shadowObscured xmlns:a14="http://schemas.microsoft.com/office/drawing/2010/main"/>
                      </a:ext>
                    </a:extLst>
                  </pic:spPr>
                </pic:pic>
              </a:graphicData>
            </a:graphic>
          </wp:inline>
        </w:drawing>
      </w:r>
    </w:p>
    <w:p w14:paraId="03E846EC" w14:textId="6E3FDA99" w:rsidR="000C0D8F" w:rsidRPr="00E42CE5" w:rsidRDefault="7C597972" w:rsidP="124DB24A">
      <w:pPr>
        <w:spacing w:after="0"/>
        <w:jc w:val="center"/>
        <w:rPr>
          <w:rFonts w:eastAsiaTheme="minorEastAsia"/>
          <w:sz w:val="18"/>
          <w:szCs w:val="18"/>
        </w:rPr>
      </w:pPr>
      <w:r w:rsidRPr="00E42CE5">
        <w:rPr>
          <w:rFonts w:eastAsiaTheme="minorEastAsia"/>
          <w:i/>
          <w:sz w:val="18"/>
          <w:szCs w:val="18"/>
        </w:rPr>
        <w:t>Source</w:t>
      </w:r>
      <w:r w:rsidRPr="00E42CE5">
        <w:rPr>
          <w:rFonts w:eastAsiaTheme="minorEastAsia"/>
          <w:sz w:val="18"/>
          <w:szCs w:val="18"/>
        </w:rPr>
        <w:t xml:space="preserve">: </w:t>
      </w:r>
      <w:r w:rsidR="00E42CE5" w:rsidRPr="00E42CE5">
        <w:rPr>
          <w:sz w:val="18"/>
          <w:szCs w:val="18"/>
        </w:rPr>
        <w:t xml:space="preserve">JRC elaboration based on </w:t>
      </w:r>
      <w:hyperlink r:id="rId17" w:history="1">
        <w:r w:rsidR="00E42CE5" w:rsidRPr="00275872">
          <w:rPr>
            <w:rStyle w:val="Hyperlink"/>
            <w:sz w:val="18"/>
            <w:szCs w:val="18"/>
          </w:rPr>
          <w:t>Refinitiv</w:t>
        </w:r>
      </w:hyperlink>
      <w:r w:rsidR="00E42CE5" w:rsidRPr="00E42CE5">
        <w:rPr>
          <w:sz w:val="18"/>
          <w:szCs w:val="18"/>
        </w:rPr>
        <w:t xml:space="preserve"> data.</w:t>
      </w:r>
      <w:r w:rsidR="000C0D8F" w:rsidRPr="00E42CE5">
        <w:rPr>
          <w:rFonts w:eastAsiaTheme="minorEastAsia"/>
          <w:sz w:val="18"/>
          <w:szCs w:val="18"/>
        </w:rPr>
        <w:t xml:space="preserve"> </w:t>
      </w:r>
    </w:p>
    <w:p w14:paraId="6709962C" w14:textId="77777777" w:rsidR="000C0D8F" w:rsidRPr="001C6F95" w:rsidRDefault="000C0D8F" w:rsidP="000C0D8F">
      <w:pPr>
        <w:spacing w:after="0"/>
        <w:rPr>
          <w:color w:val="538135" w:themeColor="accent6" w:themeShade="BF"/>
        </w:rPr>
      </w:pPr>
    </w:p>
    <w:p w14:paraId="3BD685CB" w14:textId="77777777" w:rsidR="000C0D8F" w:rsidRPr="001C6F95" w:rsidRDefault="000C0D8F" w:rsidP="000C0D8F">
      <w:pPr>
        <w:spacing w:after="0"/>
        <w:rPr>
          <w:rFonts w:eastAsia="EC Square Sans Pro" w:cs="EC Square Sans Pro"/>
          <w:b/>
          <w:bCs/>
        </w:rPr>
      </w:pPr>
      <w:r w:rsidRPr="001C6F95">
        <w:rPr>
          <w:rFonts w:eastAsia="EC Square Sans Pro" w:cs="EC Square Sans Pro"/>
          <w:b/>
          <w:bCs/>
        </w:rPr>
        <w:t xml:space="preserve">Opportunity 1.3: Exploit the untapped potential of venture capital to finance green innovation  </w:t>
      </w:r>
    </w:p>
    <w:p w14:paraId="2FD78C19" w14:textId="7773B008" w:rsidR="000C0D8F" w:rsidRPr="001C6F95" w:rsidRDefault="000C0D8F" w:rsidP="000C0D8F">
      <w:pPr>
        <w:spacing w:after="0"/>
        <w:rPr>
          <w:rFonts w:eastAsia="EC Square Sans Pro" w:cs="EC Square Sans Pro"/>
        </w:rPr>
      </w:pPr>
      <w:r w:rsidRPr="001C6F95">
        <w:rPr>
          <w:rFonts w:eastAsia="EC Square Sans Pro" w:cs="EC Square Sans Pro"/>
        </w:rPr>
        <w:t>Private equity financiers and venture capitalists are particularly well-equipped to finance</w:t>
      </w:r>
      <w:r w:rsidRPr="001C6F95">
        <w:rPr>
          <w:rFonts w:ascii="Times New Roman" w:hAnsi="Times New Roman"/>
        </w:rPr>
        <w:t xml:space="preserve"> </w:t>
      </w:r>
      <w:r w:rsidRPr="001C6F95">
        <w:rPr>
          <w:rFonts w:eastAsia="EC Square Sans Pro" w:cs="EC Square Sans Pro"/>
        </w:rPr>
        <w:t>innovative companies, and they may play an important role in the funding of low-carbon technologies</w:t>
      </w:r>
      <w:r w:rsidR="00652E77">
        <w:rPr>
          <w:rFonts w:eastAsia="EC Square Sans Pro" w:cs="EC Square Sans Pro"/>
        </w:rPr>
        <w:t xml:space="preserve"> </w:t>
      </w:r>
      <w:r w:rsidR="00652E77">
        <w:rPr>
          <w:rFonts w:eastAsia="EC Square Sans Pro" w:cs="EC Square Sans Pro"/>
        </w:rPr>
        <w:fldChar w:fldCharType="begin"/>
      </w:r>
      <w:r w:rsidR="00E42CE5">
        <w:rPr>
          <w:rFonts w:eastAsia="EC Square Sans Pro" w:cs="EC Square Sans Pro"/>
        </w:rPr>
        <w:instrText xml:space="preserve"> ADDIN ZOTERO_ITEM CSL_CITATION {"citationID":"pCui8RRr","properties":{"formattedCitation":"[25]","plainCitation":"[25]","noteIndex":0},"citationItems":[{"id":1149,"uris":["http://zotero.org/groups/5272309/items/3GRVVSZJ"],"itemData":{"id":1149,"type":"article-journal","container-title":"Energy Policy","DOI":"10.1016/j.enpol.2020.111863","ISSN":"03014215","journalAbbreviation":"Energy Policy","language":"en","page":"111863","source":"DOI.org (Crossref)","title":"How to finance the transition to low-carbon energy in Europe?","volume":"147","author":[{"family":"Polzin","given":"Friedemann"},{"family":"Sanders","given":"Mark"}],"issued":{"date-parts":[["2020",12]]}}}],"schema":"https://github.com/citation-style-language/schema/raw/master/csl-citation.json"} </w:instrText>
      </w:r>
      <w:r w:rsidR="00652E77">
        <w:rPr>
          <w:rFonts w:eastAsia="EC Square Sans Pro" w:cs="EC Square Sans Pro"/>
        </w:rPr>
        <w:fldChar w:fldCharType="separate"/>
      </w:r>
      <w:r w:rsidR="00E42CE5" w:rsidRPr="00E42CE5">
        <w:rPr>
          <w:rFonts w:eastAsia="EC Square Sans Pro"/>
        </w:rPr>
        <w:t>[25]</w:t>
      </w:r>
      <w:r w:rsidR="00652E77">
        <w:rPr>
          <w:rFonts w:eastAsia="EC Square Sans Pro" w:cs="EC Square Sans Pro"/>
        </w:rPr>
        <w:fldChar w:fldCharType="end"/>
      </w:r>
      <w:r w:rsidRPr="001C6F95">
        <w:rPr>
          <w:rFonts w:eastAsia="EC Square Sans Pro" w:cs="EC Square Sans Pro"/>
        </w:rPr>
        <w:t>. At EUR 4 billion in 2023, investment in clean tech industries accounted for roughly 5.7% of the total private equity market in the EU. The growth in 2023 was driven by an increase in buyout capital, meaning investments in already established companies, while in the first half of 2024 venture capital, i.e. investment in new companies, represented the highest share of the total, at EUR 800 million. In the first half of 2024, growth and venture capital have already reached the 2023 end-of-year level, forecasting a strong development on those markets in 2024. Nonetheless, overall, the level of the private equity investment in clean tech industries remains low, suggesting an untapped potential of venture capital to fund green innovation</w:t>
      </w:r>
      <w:r w:rsidR="00872B10">
        <w:rPr>
          <w:rFonts w:eastAsia="EC Square Sans Pro" w:cs="EC Square Sans Pro"/>
        </w:rPr>
        <w:t xml:space="preserve"> </w:t>
      </w:r>
      <w:r w:rsidR="007B0CA0">
        <w:rPr>
          <w:rFonts w:eastAsia="EC Square Sans Pro" w:cs="EC Square Sans Pro"/>
        </w:rPr>
        <w:fldChar w:fldCharType="begin"/>
      </w:r>
      <w:r w:rsidR="00E42CE5">
        <w:rPr>
          <w:rFonts w:eastAsia="EC Square Sans Pro" w:cs="EC Square Sans Pro"/>
        </w:rPr>
        <w:instrText xml:space="preserve"> ADDIN ZOTERO_ITEM CSL_CITATION {"citationID":"kctjcDYi","properties":{"formattedCitation":"[26], [27]","plainCitation":"[26], [27]","noteIndex":0},"citationItems":[{"id":1150,"uris":["http://zotero.org/groups/5272309/items/UWNCYWVF"],"itemData":{"id":1150,"type":"book","abstract":"Relative to the US, productivity growth and investment in R&amp;D in lagging in the EU, where it is more difficult to finance and scale up promising, innovative startups. Many of the most successful EU startups move elsewhere for financing, causing the EU to lose out on both the direct growth benefits and positive spillovers from these innovative firms. The EU could nurture innovative startups by accelerating the development of its venture capital (VC) ecosystem. Reducing regulatory frictions, especially ones that deter pensions funds and insurers from investing in VC, combined with well-designed tax incentives for R&amp;D investments could help accelerate the development of the VC sector. These and other key CMU initiatives, such as the consolidation of stock markets and reforming and harmonizing insolvency regimes, will take time. Given the urgency to boost innovation, giving public financial institutions like the European Investment Fund a more active and expanded role in kickstarting VC markets where needed and in familiarizing investors with the VC asset class can be a helpful interim step","collection-title":"IMF Working Papers","event-place":"Washington, D.C","ISBN":"979-8-4002-8077-1","language":"eng","note":"DOI: 10.5089/9798400280771.001","number-of-pages":"1","publisher":"International Monetary Fund","publisher-place":"Washington, D.C","source":"K10plus ISBN","title":"Stepping Up Venture Capital to Finance Innovation in Europe","author":[{"family":"Arnold","given":"Nathaniel"},{"family":"Claveres","given":"Guillaume"},{"family":"Frie","given":"Jan"}],"issued":{"date-parts":[["2024"]]}}},{"id":1151,"uris":["http://zotero.org/groups/5272309/items/CL3WKJEP"],"itemData":{"id":1151,"type":"article-journal","container-title":"Industry and Innovation","DOI":"10.1080/13662716.2023.2228717","ISSN":"1366-2716, 1469-8390","issue":"7","journalAbbreviation":"Industry and Innovation","language":"en","page":"947-983","source":"DOI.org (Crossref)","title":"Venture Capital Financing and Green Patenting","volume":"30","author":[{"family":"Bellucci","given":"Andrea"},{"family":"Fatica","given":"Serena"},{"family":"Georgakaki","given":"Aliki"},{"family":"Gucciardi","given":"Gianluca"},{"family":"Letout","given":"Simon"},{"family":"Pasimeni","given":"Francesco"}],"issued":{"date-parts":[["2023",8,9]]}}}],"schema":"https://github.com/citation-style-language/schema/raw/master/csl-citation.json"} </w:instrText>
      </w:r>
      <w:r w:rsidR="007B0CA0">
        <w:rPr>
          <w:rFonts w:eastAsia="EC Square Sans Pro" w:cs="EC Square Sans Pro"/>
        </w:rPr>
        <w:fldChar w:fldCharType="separate"/>
      </w:r>
      <w:r w:rsidR="00E42CE5" w:rsidRPr="00E42CE5">
        <w:rPr>
          <w:rFonts w:eastAsia="EC Square Sans Pro"/>
        </w:rPr>
        <w:t>[26], [27]</w:t>
      </w:r>
      <w:r w:rsidR="007B0CA0">
        <w:rPr>
          <w:rFonts w:eastAsia="EC Square Sans Pro" w:cs="EC Square Sans Pro"/>
        </w:rPr>
        <w:fldChar w:fldCharType="end"/>
      </w:r>
      <w:r w:rsidR="00A143F3">
        <w:rPr>
          <w:rFonts w:eastAsia="EC Square Sans Pro" w:cs="EC Square Sans Pro"/>
        </w:rPr>
        <w:t>.</w:t>
      </w:r>
      <w:r w:rsidRPr="001C6F95">
        <w:rPr>
          <w:rFonts w:ascii="Calibri" w:eastAsia="Calibri" w:hAnsi="Calibri" w:cs="Calibri"/>
        </w:rPr>
        <w:t xml:space="preserve"> </w:t>
      </w:r>
      <w:r w:rsidRPr="001C6F95">
        <w:rPr>
          <w:rFonts w:eastAsia="EC Square Sans Pro" w:cs="EC Square Sans Pro"/>
        </w:rPr>
        <w:t xml:space="preserve">Fostering market integration and reducing barriers to cross-border asset allocation can help mobilise private savings, and redirect them towards equity investments in innovative firms. Moreover, liquid and less fragmented capital markets are also essential to favour the growth of innovative start-ups. </w:t>
      </w:r>
    </w:p>
    <w:p w14:paraId="7B265C44" w14:textId="77777777" w:rsidR="000C0D8F" w:rsidRPr="00A143F3" w:rsidRDefault="000C0D8F" w:rsidP="000C0D8F">
      <w:pPr>
        <w:spacing w:after="0"/>
        <w:rPr>
          <w:rFonts w:eastAsia="EC Square Sans Pro" w:cs="EC Square Sans Pro"/>
          <w:b/>
          <w:bCs/>
          <w:u w:val="single"/>
        </w:rPr>
      </w:pPr>
    </w:p>
    <w:p w14:paraId="7D866EA5" w14:textId="32564CAF" w:rsidR="1B737636" w:rsidRDefault="1B737636" w:rsidP="3A04EB17">
      <w:pPr>
        <w:pStyle w:val="JRCFigurecaption"/>
        <w:jc w:val="both"/>
        <w:rPr>
          <w:rFonts w:cstheme="minorBidi"/>
          <w:sz w:val="20"/>
          <w:szCs w:val="20"/>
        </w:rPr>
      </w:pPr>
      <w:r w:rsidRPr="3A04EB17">
        <w:rPr>
          <w:rFonts w:cstheme="minorBidi"/>
          <w:b/>
          <w:bCs/>
          <w:sz w:val="22"/>
          <w:szCs w:val="22"/>
        </w:rPr>
        <w:t xml:space="preserve">Figure </w:t>
      </w:r>
      <w:r w:rsidRPr="3A04EB17">
        <w:rPr>
          <w:rFonts w:cstheme="minorBidi"/>
          <w:b/>
          <w:bCs/>
          <w:color w:val="2B579A"/>
          <w:sz w:val="22"/>
          <w:szCs w:val="22"/>
        </w:rPr>
        <w:t>X</w:t>
      </w:r>
      <w:r w:rsidRPr="3A04EB17">
        <w:rPr>
          <w:rFonts w:cstheme="minorBidi"/>
          <w:b/>
          <w:bCs/>
          <w:sz w:val="22"/>
          <w:szCs w:val="22"/>
        </w:rPr>
        <w:t xml:space="preserve"> </w:t>
      </w:r>
      <w:r w:rsidRPr="3A04EB17">
        <w:rPr>
          <w:rFonts w:cstheme="minorBidi"/>
          <w:sz w:val="20"/>
          <w:szCs w:val="20"/>
        </w:rPr>
        <w:t>Private</w:t>
      </w:r>
      <w:r w:rsidRPr="3A04EB17">
        <w:rPr>
          <w:rFonts w:cstheme="minorBidi"/>
          <w:b/>
          <w:bCs/>
          <w:sz w:val="22"/>
          <w:szCs w:val="22"/>
        </w:rPr>
        <w:t xml:space="preserve"> </w:t>
      </w:r>
      <w:r w:rsidRPr="3A04EB17">
        <w:rPr>
          <w:rFonts w:cstheme="minorBidi"/>
          <w:sz w:val="20"/>
          <w:szCs w:val="20"/>
        </w:rPr>
        <w:t>equity in Clean</w:t>
      </w:r>
      <w:r w:rsidR="00872B10">
        <w:rPr>
          <w:rFonts w:cstheme="minorBidi"/>
          <w:sz w:val="20"/>
          <w:szCs w:val="20"/>
        </w:rPr>
        <w:t xml:space="preserve"> </w:t>
      </w:r>
      <w:r w:rsidRPr="3A04EB17">
        <w:rPr>
          <w:rFonts w:cstheme="minorBidi"/>
          <w:sz w:val="20"/>
          <w:szCs w:val="20"/>
        </w:rPr>
        <w:t>Tech</w:t>
      </w:r>
      <w:r w:rsidR="00872B10">
        <w:rPr>
          <w:rFonts w:cstheme="minorBidi"/>
          <w:sz w:val="20"/>
          <w:szCs w:val="20"/>
        </w:rPr>
        <w:t>ologies</w:t>
      </w:r>
      <w:r w:rsidRPr="3A04EB17">
        <w:rPr>
          <w:rFonts w:cstheme="minorBidi"/>
          <w:sz w:val="20"/>
          <w:szCs w:val="20"/>
        </w:rPr>
        <w:t xml:space="preserve"> industries</w:t>
      </w:r>
    </w:p>
    <w:p w14:paraId="09AE9DF5" w14:textId="07352A51" w:rsidR="000C0D8F" w:rsidRPr="001C6F95" w:rsidRDefault="000C0D8F" w:rsidP="000C0D8F">
      <w:pPr>
        <w:jc w:val="center"/>
      </w:pPr>
      <w:r>
        <w:rPr>
          <w:noProof/>
        </w:rPr>
        <w:drawing>
          <wp:inline distT="0" distB="0" distL="0" distR="0" wp14:anchorId="53B40A03" wp14:editId="5712D235">
            <wp:extent cx="4494034" cy="3684554"/>
            <wp:effectExtent l="0" t="0" r="1905" b="0"/>
            <wp:docPr id="71700253" name="Picture 7170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00253"/>
                    <pic:cNvPicPr/>
                  </pic:nvPicPr>
                  <pic:blipFill rotWithShape="1">
                    <a:blip r:embed="rId18">
                      <a:extLst>
                        <a:ext uri="{28A0092B-C50C-407E-A947-70E740481C1C}">
                          <a14:useLocalDpi xmlns:a14="http://schemas.microsoft.com/office/drawing/2010/main" val="0"/>
                        </a:ext>
                      </a:extLst>
                    </a:blip>
                    <a:srcRect l="928" t="5956" r="1077" b="5120"/>
                    <a:stretch/>
                  </pic:blipFill>
                  <pic:spPr bwMode="auto">
                    <a:xfrm>
                      <a:off x="0" y="0"/>
                      <a:ext cx="4519579" cy="3705498"/>
                    </a:xfrm>
                    <a:prstGeom prst="rect">
                      <a:avLst/>
                    </a:prstGeom>
                    <a:ln>
                      <a:noFill/>
                    </a:ln>
                    <a:extLst>
                      <a:ext uri="{53640926-AAD7-44D8-BBD7-CCE9431645EC}">
                        <a14:shadowObscured xmlns:a14="http://schemas.microsoft.com/office/drawing/2010/main"/>
                      </a:ext>
                    </a:extLst>
                  </pic:spPr>
                </pic:pic>
              </a:graphicData>
            </a:graphic>
          </wp:inline>
        </w:drawing>
      </w:r>
    </w:p>
    <w:p w14:paraId="115117DF" w14:textId="44453636" w:rsidR="6A1AC895" w:rsidRPr="00275872" w:rsidRDefault="6A1AC895" w:rsidP="3A04EB17">
      <w:pPr>
        <w:jc w:val="center"/>
        <w:rPr>
          <w:sz w:val="18"/>
          <w:szCs w:val="18"/>
        </w:rPr>
      </w:pPr>
      <w:r w:rsidRPr="00275872">
        <w:rPr>
          <w:i/>
          <w:sz w:val="18"/>
          <w:szCs w:val="18"/>
        </w:rPr>
        <w:t>Source</w:t>
      </w:r>
      <w:r w:rsidRPr="00275872">
        <w:rPr>
          <w:sz w:val="18"/>
          <w:szCs w:val="18"/>
        </w:rPr>
        <w:t>:</w:t>
      </w:r>
      <w:r w:rsidR="00872B10" w:rsidRPr="00275872">
        <w:rPr>
          <w:sz w:val="18"/>
          <w:szCs w:val="18"/>
        </w:rPr>
        <w:t xml:space="preserve"> JRC elaboration based on </w:t>
      </w:r>
      <w:hyperlink r:id="rId19" w:history="1">
        <w:r w:rsidR="00872B10" w:rsidRPr="00275872">
          <w:rPr>
            <w:rStyle w:val="Hyperlink"/>
            <w:sz w:val="18"/>
            <w:szCs w:val="18"/>
          </w:rPr>
          <w:t>Invest Europe</w:t>
        </w:r>
      </w:hyperlink>
      <w:r w:rsidR="00872B10" w:rsidRPr="00275872">
        <w:rPr>
          <w:sz w:val="18"/>
          <w:szCs w:val="18"/>
        </w:rPr>
        <w:t xml:space="preserve"> data. Data ends in H1 2024.</w:t>
      </w:r>
    </w:p>
    <w:p w14:paraId="6CE26E41" w14:textId="4DF58941" w:rsidR="3A04EB17" w:rsidRDefault="3A04EB17" w:rsidP="3A04EB17">
      <w:pPr>
        <w:jc w:val="center"/>
      </w:pPr>
    </w:p>
    <w:p w14:paraId="4C1CEC3C" w14:textId="77777777" w:rsidR="00F33AB7" w:rsidRPr="001C6F95" w:rsidRDefault="00F33AB7" w:rsidP="00F33AB7">
      <w:pPr>
        <w:pStyle w:val="Heading2"/>
      </w:pPr>
      <w:bookmarkStart w:id="14" w:name="_Toc1630948552"/>
      <w:bookmarkEnd w:id="14"/>
      <w:r w:rsidRPr="001C6F95">
        <w:t>1.2 Private sector’s sustainability disclosures</w:t>
      </w:r>
    </w:p>
    <w:p w14:paraId="7F014DA1" w14:textId="77777777" w:rsidR="000C0D8F" w:rsidRPr="001C6F95" w:rsidRDefault="000C0D8F" w:rsidP="000C0D8F">
      <w:pPr>
        <w:spacing w:after="0"/>
        <w:rPr>
          <w:b/>
          <w:bCs/>
        </w:rPr>
      </w:pPr>
      <w:r w:rsidRPr="001C6F95">
        <w:rPr>
          <w:b/>
          <w:bCs/>
        </w:rPr>
        <w:t xml:space="preserve">Key Message </w:t>
      </w:r>
      <w:r w:rsidRPr="001C6F95">
        <w:rPr>
          <w:b/>
          <w:bCs/>
          <w:iCs/>
        </w:rPr>
        <w:t>#</w:t>
      </w:r>
      <w:r w:rsidRPr="001C6F95">
        <w:rPr>
          <w:b/>
          <w:bCs/>
        </w:rPr>
        <w:t xml:space="preserve">2: Making the most of the EU sustainable finance regulatory framework </w:t>
      </w:r>
    </w:p>
    <w:p w14:paraId="700C259A" w14:textId="0C5FA4E4" w:rsidR="000C0D8F" w:rsidRPr="00D32F9B" w:rsidRDefault="000C0D8F" w:rsidP="000C0D8F">
      <w:pPr>
        <w:spacing w:after="0"/>
        <w:rPr>
          <w:rFonts w:eastAsia="EC Square Sans Pro" w:cs="EC Square Sans Pro"/>
          <w:u w:val="single"/>
        </w:rPr>
      </w:pPr>
      <w:r w:rsidRPr="001C6F95">
        <w:rPr>
          <w:rFonts w:eastAsia="EC Square Sans Pro" w:cs="EC Square Sans Pro"/>
        </w:rPr>
        <w:t>The EU regulatory framework on sustainable finance aims to steer the reallocation of capital and enable private investments towards green and transition technologies and business models. As the ultimate goal is greening the real economy, assessing the extent to which financing is redirected towards sustainable and transition investments is of paramount importance from a policy perspective. In this area, however, substantial data gaps remain, which hinder a comprehensive tracking of investment in the real economy and the underlying sources of finance</w:t>
      </w:r>
      <w:r w:rsidR="00D32F9B">
        <w:rPr>
          <w:rFonts w:eastAsia="EC Square Sans Pro" w:cs="EC Square Sans Pro"/>
        </w:rPr>
        <w:t xml:space="preserve"> </w:t>
      </w:r>
      <w:r w:rsidR="008317CE">
        <w:rPr>
          <w:rFonts w:eastAsia="EC Square Sans Pro" w:cs="EC Square Sans Pro"/>
        </w:rPr>
        <w:fldChar w:fldCharType="begin"/>
      </w:r>
      <w:r w:rsidR="00E42CE5">
        <w:rPr>
          <w:rFonts w:eastAsia="EC Square Sans Pro" w:cs="EC Square Sans Pro"/>
        </w:rPr>
        <w:instrText xml:space="preserve"> ADDIN ZOTERO_ITEM CSL_CITATION {"citationID":"I8b4eRHU","properties":{"formattedCitation":"[28]","plainCitation":"[28]","noteIndex":0},"citationItems":[{"id":1103,"uris":["http://zotero.org/groups/5272309/items/V2W37EZG"],"itemData":{"id":1103,"type":"report","genre":"OECD Environment Working Papers","language":"en","note":"collection-title: OECD Environment Working Papers\nvolume: 146\nDOI: 10.1787/82cc3a4c-en","number":"146","source":"DOI.org (Crossref)","title":"Tracking finance flows towards assessing their consistency with climate objectives","URL":"https://www.oecd.org/en/publications/tracking-finance-flows-towards-assessing-their-consistency-with-climate-objectives_82cc3a4c-en.html","accessed":{"date-parts":[["2025",3,18]]},"issued":{"date-parts":[["2019",3,19]]}}}],"schema":"https://github.com/citation-style-language/schema/raw/master/csl-citation.json"} </w:instrText>
      </w:r>
      <w:r w:rsidR="008317CE">
        <w:rPr>
          <w:rFonts w:eastAsia="EC Square Sans Pro" w:cs="EC Square Sans Pro"/>
        </w:rPr>
        <w:fldChar w:fldCharType="separate"/>
      </w:r>
      <w:r w:rsidR="00E42CE5" w:rsidRPr="00E42CE5">
        <w:rPr>
          <w:rFonts w:eastAsia="EC Square Sans Pro"/>
        </w:rPr>
        <w:t>[28]</w:t>
      </w:r>
      <w:r w:rsidR="008317CE">
        <w:rPr>
          <w:rFonts w:eastAsia="EC Square Sans Pro" w:cs="EC Square Sans Pro"/>
        </w:rPr>
        <w:fldChar w:fldCharType="end"/>
      </w:r>
      <w:r w:rsidR="00D32F9B">
        <w:rPr>
          <w:rFonts w:eastAsia="EC Square Sans Pro" w:cs="EC Square Sans Pro"/>
        </w:rPr>
        <w:t>.</w:t>
      </w:r>
    </w:p>
    <w:p w14:paraId="5C1CEA47" w14:textId="064483B3" w:rsidR="000C0D8F" w:rsidRPr="001C6F95" w:rsidRDefault="000C0D8F" w:rsidP="000C0D8F">
      <w:pPr>
        <w:spacing w:after="0"/>
        <w:rPr>
          <w:rFonts w:eastAsia="EC Square Sans Pro" w:cs="EC Square Sans Pro"/>
          <w:color w:val="0078D4"/>
        </w:rPr>
      </w:pPr>
      <w:r w:rsidRPr="001C6F95">
        <w:rPr>
          <w:rFonts w:eastAsia="EC Square Sans Pro" w:cs="EC Square Sans Pro"/>
        </w:rPr>
        <w:t>Furthermore, although the EU has established several regulatory frameworks to support data availability for sustainable finance, there are some inconsistencies between them. These can create confusion and increase reporting burdens. For example, the SFDR does not directly use the criteria of the EU Taxonomy, creating potential gaps in sustainability assessment. Current disclosure requirements vary across instruments: green bonds follow strict project-based reporting, while sustainability-related instruments have more flexible criteria. For instance, the recent evolution of the SLB market might point to a possible need to include them in the EU sustainability structure. Indeed, the Commission is due to publish a report on potential steps forward for sustainability-linked bonds in the context of the EuGBS regulation. This fragmentation makes it difficult for investors to compare sustainable investments and increases the risk of greenwashing. The 2024 Final Report on Environmental Claims in the EU found that more than 50 percent of environmental claims are vague or misleading, highlighting the urgent need for standardisation</w:t>
      </w:r>
      <w:r w:rsidR="00AF5FB0">
        <w:rPr>
          <w:rFonts w:eastAsia="EC Square Sans Pro" w:cs="EC Square Sans Pro"/>
        </w:rPr>
        <w:t xml:space="preserve"> </w:t>
      </w:r>
      <w:r w:rsidR="00AF5FB0">
        <w:rPr>
          <w:rFonts w:eastAsia="EC Square Sans Pro" w:cs="EC Square Sans Pro"/>
        </w:rPr>
        <w:fldChar w:fldCharType="begin"/>
      </w:r>
      <w:r w:rsidR="00E42CE5">
        <w:rPr>
          <w:rFonts w:eastAsia="EC Square Sans Pro" w:cs="EC Square Sans Pro"/>
        </w:rPr>
        <w:instrText xml:space="preserve"> ADDIN ZOTERO_ITEM CSL_CITATION {"citationID":"fdNfwhFh","properties":{"formattedCitation":"[29]","plainCitation":"[29]","noteIndex":0},"citationItems":[{"id":1102,"uris":["http://zotero.org/groups/5272309/items/YZBBVN5W"],"itemData":{"id":1102,"type":"report","abstract":"In the growing market for ‘green’ products and services, the clarity and accuracy of producers’ and traders’ claims referring to environmentally friendly characteristics of products and services becomes increasingly important. Consumers require accurate and clear information to make informed decisions about their purchases and to develop trust in the claims associated with products and services on the market. EU level guidance on the application of Directive 2005/29/EC on unfair commercial practices (the UCPD) to environmental claims does not provide specific criteria or a methodology to substantiate environmental claims, making the enforcement of the Directive more difficult. Ongoing EU initiatives are exploring options for action to support and require producers to better substantiate environmental claims, which would in turn empower consumers to play a more active role in transitioning to more sustainable consumption patterns. To support these ambitions, this study sets out to develop and strengthen the evidence base for the size and nature of the problem of misleading environmental claims. The study first presents the inventory of environmental claims in the EU, which aims to identify the extent to which environmental claims are present on a wide range of products and services across the EU, looking at product packaging as well as advertisements. It then summarises the results of an in-depth analysis of 150 selected environmental claims carried out by legal experts, looking at the extent to which the claims can be considered misleading according to the criteria in the UCPD guidance.","call-number":"KH-05-24-267-EN-N","language":"eng","publisher":"Publications Office of the European Union","source":"Publications Office of the European Union","title":"Environmental claims in the EU: inventory and reliability assessment : final report","title-short":"Environmental claims in the EU","URL":"https://data.europa.eu/doi/10.2779/83089","author":[{"literal":"Directorate-General for Environment\n                \n                        (European Commission)"},{"literal":"IPSOS"},{"literal":"Milieu"},{"family":"McGuinn","given":"Jennifer"},{"family":"McNeill","given":"Alicia"},{"family":"Markowska","given":"Agnieszka"},{"family":"Martinez-Bris","given":"Ivan"},{"family":"O’Brien","given":"Sarah"},{"family":"De Cuyper","given":"Kim"},{"family":"Esser","given":"Anne"},{"family":"Meeusen","given":"Tim"}],"accessed":{"date-parts":[["2025",3,18]]},"issued":{"date-parts":[["2024"]]}}}],"schema":"https://github.com/citation-style-language/schema/raw/master/csl-citation.json"} </w:instrText>
      </w:r>
      <w:r w:rsidR="00AF5FB0">
        <w:rPr>
          <w:rFonts w:eastAsia="EC Square Sans Pro" w:cs="EC Square Sans Pro"/>
        </w:rPr>
        <w:fldChar w:fldCharType="separate"/>
      </w:r>
      <w:r w:rsidR="00E42CE5" w:rsidRPr="00E42CE5">
        <w:rPr>
          <w:rFonts w:eastAsia="EC Square Sans Pro"/>
        </w:rPr>
        <w:t>[29]</w:t>
      </w:r>
      <w:r w:rsidR="00AF5FB0">
        <w:rPr>
          <w:rFonts w:eastAsia="EC Square Sans Pro" w:cs="EC Square Sans Pro"/>
        </w:rPr>
        <w:fldChar w:fldCharType="end"/>
      </w:r>
      <w:r w:rsidRPr="001C6F95">
        <w:rPr>
          <w:rFonts w:eastAsia="EC Square Sans Pro" w:cs="EC Square Sans Pro"/>
        </w:rPr>
        <w:t>.</w:t>
      </w:r>
    </w:p>
    <w:p w14:paraId="5C5487F3" w14:textId="77777777" w:rsidR="000C0D8F" w:rsidRPr="001C6F95" w:rsidRDefault="000C0D8F" w:rsidP="000C0D8F">
      <w:pPr>
        <w:spacing w:after="0"/>
        <w:rPr>
          <w:b/>
          <w:bCs/>
        </w:rPr>
      </w:pPr>
    </w:p>
    <w:p w14:paraId="31F04D2B" w14:textId="77777777" w:rsidR="000C0D8F" w:rsidRPr="001C6F95" w:rsidRDefault="000C0D8F" w:rsidP="00872B10">
      <w:pPr>
        <w:keepNext/>
        <w:spacing w:after="0"/>
        <w:rPr>
          <w:b/>
          <w:bCs/>
        </w:rPr>
      </w:pPr>
      <w:r w:rsidRPr="001C6F95">
        <w:rPr>
          <w:b/>
          <w:bCs/>
        </w:rPr>
        <w:t>Opportunity 2.1: Mapping financial and investment flows</w:t>
      </w:r>
    </w:p>
    <w:p w14:paraId="6ACD46EE" w14:textId="382E8F84" w:rsidR="000C0D8F" w:rsidRPr="001C6F95" w:rsidRDefault="000C0D8F" w:rsidP="000C0D8F">
      <w:pPr>
        <w:spacing w:after="0"/>
        <w:rPr>
          <w:rFonts w:eastAsia="EC Square Sans Pro" w:cs="EC Square Sans Pro"/>
        </w:rPr>
      </w:pPr>
      <w:r w:rsidRPr="001C6F95">
        <w:rPr>
          <w:rFonts w:eastAsia="EC Square Sans Pro" w:cs="EC Square Sans Pro"/>
        </w:rPr>
        <w:t>The full implementation of disclosure requirements for financial and non-financial actors envisaged in the EU sustainable finance legislation are expected to increase transparency and availability of sustainability-related information for firms remaining in scope of the regulation. A</w:t>
      </w:r>
      <w:r w:rsidRPr="001C6F95" w:rsidDel="00A059BA">
        <w:rPr>
          <w:rFonts w:eastAsia="EC Square Sans Pro" w:cs="EC Square Sans Pro"/>
        </w:rPr>
        <w:t xml:space="preserve"> </w:t>
      </w:r>
      <w:r w:rsidRPr="001C6F95">
        <w:rPr>
          <w:rFonts w:eastAsia="EC Square Sans Pro" w:cs="EC Square Sans Pro"/>
        </w:rPr>
        <w:t>regular monitoring and mapping of financing and investment trends for different instruments and sectors following the key principles as sketched by the JRC and the EU Platform on Sustainable Finance</w:t>
      </w:r>
      <w:r w:rsidR="0037039F">
        <w:rPr>
          <w:rFonts w:eastAsia="EC Square Sans Pro" w:cs="EC Square Sans Pro"/>
        </w:rPr>
        <w:t xml:space="preserve"> </w:t>
      </w:r>
      <w:r w:rsidR="00F749BF">
        <w:rPr>
          <w:rFonts w:eastAsia="EC Square Sans Pro" w:cs="EC Square Sans Pro"/>
        </w:rPr>
        <w:fldChar w:fldCharType="begin"/>
      </w:r>
      <w:r w:rsidR="00E42CE5">
        <w:rPr>
          <w:rFonts w:eastAsia="EC Square Sans Pro" w:cs="EC Square Sans Pro"/>
        </w:rPr>
        <w:instrText xml:space="preserve"> ADDIN ZOTERO_ITEM CSL_CITATION {"citationID":"Povqg2QG","properties":{"formattedCitation":"[30]","plainCitation":"[30]","noteIndex":0},"citationItems":[{"id":1101,"uris":["http://zotero.org/groups/5272309/items/3KSMEZZB"],"itemData":{"id":1101,"type":"report","title":"Financing a Clean and Competitive Transition Monitoring Capital Flows to Sustainable Investments","URL":"https://finance.ec.europa.eu/document/download/87c48ab4-34d2-4cd7-997e-efc1310e62c5_en?filename=250311-sustainable-finance-platform-report-capital-flows_en.pdf","author":[{"literal":"Platform on Sustainable Finance"}],"accessed":{"date-parts":[["2025",3,18]]},"issued":{"date-parts":[["2025",3]]}}}],"schema":"https://github.com/citation-style-language/schema/raw/master/csl-citation.json"} </w:instrText>
      </w:r>
      <w:r w:rsidR="00F749BF">
        <w:rPr>
          <w:rFonts w:eastAsia="EC Square Sans Pro" w:cs="EC Square Sans Pro"/>
        </w:rPr>
        <w:fldChar w:fldCharType="separate"/>
      </w:r>
      <w:r w:rsidR="00E42CE5" w:rsidRPr="00E42CE5">
        <w:rPr>
          <w:rFonts w:eastAsia="EC Square Sans Pro"/>
        </w:rPr>
        <w:t>[30]</w:t>
      </w:r>
      <w:r w:rsidR="00F749BF">
        <w:rPr>
          <w:rFonts w:eastAsia="EC Square Sans Pro" w:cs="EC Square Sans Pro"/>
        </w:rPr>
        <w:fldChar w:fldCharType="end"/>
      </w:r>
      <w:r w:rsidRPr="001C6F95">
        <w:rPr>
          <w:rFonts w:eastAsia="EC Square Sans Pro" w:cs="EC Square Sans Pro"/>
        </w:rPr>
        <w:t xml:space="preserve"> should allow to track progress across time, in both green and brown sectors, and design targeted policies for specific market segments and for those sectors staying behind.</w:t>
      </w:r>
    </w:p>
    <w:p w14:paraId="60271045" w14:textId="77777777" w:rsidR="000C0D8F" w:rsidRPr="001C6F95" w:rsidRDefault="000C0D8F" w:rsidP="000C0D8F">
      <w:pPr>
        <w:spacing w:after="0"/>
        <w:rPr>
          <w:rFonts w:eastAsia="EC Square Sans Pro" w:cs="EC Square Sans Pro"/>
        </w:rPr>
      </w:pPr>
    </w:p>
    <w:p w14:paraId="55A811FD" w14:textId="77777777" w:rsidR="000C0D8F" w:rsidRPr="001C6F95" w:rsidRDefault="000C0D8F" w:rsidP="000C0D8F">
      <w:pPr>
        <w:rPr>
          <w:rFonts w:eastAsia="EC Square Sans Pro" w:cs="EC Square Sans Pro"/>
          <w:b/>
          <w:bCs/>
        </w:rPr>
      </w:pPr>
      <w:r w:rsidRPr="001C6F95">
        <w:rPr>
          <w:rFonts w:eastAsia="EC Square Sans Pro" w:cs="EC Square Sans Pro"/>
          <w:b/>
          <w:bCs/>
        </w:rPr>
        <w:t>Opportunity 2.2: Harmonise impact reporting standards for sustainable finance instruments</w:t>
      </w:r>
    </w:p>
    <w:p w14:paraId="2BC6F878" w14:textId="77777777" w:rsidR="000C0D8F" w:rsidRPr="001C6F95" w:rsidRDefault="000C0D8F" w:rsidP="000C0D8F">
      <w:pPr>
        <w:rPr>
          <w:rFonts w:eastAsia="EC Square Sans Pro" w:cs="EC Square Sans Pro"/>
        </w:rPr>
      </w:pPr>
      <w:r w:rsidRPr="001C6F95">
        <w:rPr>
          <w:rFonts w:eastAsia="EC Square Sans Pro" w:cs="EC Square Sans Pro"/>
        </w:rPr>
        <w:t>Harmonising impact reporting standards would create a single, consistent framework that applies uniform criteria to all sustainable finance instruments. This alignment would simplify compliance, particularly for SMEs, while ensuring that sustainability claims are judged against consistent standards. Standardising reporting formats and frequencies would improve transparency and facilitate more effective market oversight. The future standard for the voluntary reporting of sustainability disclosures by entities which do not fall in the scope of mandatory reporting under the CSRD (“VSME”), may play a role in this regard, particularly if supplemented by a Taxonomy-related module.</w:t>
      </w:r>
    </w:p>
    <w:p w14:paraId="0B36DA1B" w14:textId="77777777" w:rsidR="000C0D8F" w:rsidRPr="001C6F95" w:rsidRDefault="000C0D8F" w:rsidP="000C0D8F">
      <w:pPr>
        <w:rPr>
          <w:rFonts w:eastAsia="EC Square Sans Pro" w:cs="EC Square Sans Pro"/>
          <w:b/>
          <w:bCs/>
        </w:rPr>
      </w:pPr>
      <w:r w:rsidRPr="001C6F95">
        <w:rPr>
          <w:rFonts w:eastAsia="EC Square Sans Pro" w:cs="EC Square Sans Pro"/>
          <w:b/>
          <w:bCs/>
        </w:rPr>
        <w:t>Opportunity 2.3: Enhance verification of sustainability claims of sustainable finance instruments through standardised sector-specific impact metrics.</w:t>
      </w:r>
    </w:p>
    <w:p w14:paraId="5259EE5D" w14:textId="242E134B" w:rsidR="000C0D8F" w:rsidRPr="001C6F95" w:rsidRDefault="000C0D8F" w:rsidP="000C0D8F">
      <w:pPr>
        <w:rPr>
          <w:rFonts w:eastAsia="EC Square Sans Pro" w:cs="EC Square Sans Pro"/>
        </w:rPr>
      </w:pPr>
      <w:r w:rsidRPr="001C6F95">
        <w:rPr>
          <w:rFonts w:eastAsia="EC Square Sans Pro" w:cs="EC Square Sans Pro"/>
        </w:rPr>
        <w:t>Effective verification of sustainability claims need not increase administrative burden. By establishing clear sector-specific metrics based on the ICMA Handbook approach, the EU can actually simplify reporting requirements while enhancing credibility</w:t>
      </w:r>
      <w:r w:rsidR="00A143F3">
        <w:rPr>
          <w:rFonts w:eastAsia="EC Square Sans Pro" w:cs="EC Square Sans Pro"/>
        </w:rPr>
        <w:t xml:space="preserve"> </w:t>
      </w:r>
      <w:r w:rsidR="000656F5">
        <w:rPr>
          <w:rFonts w:eastAsia="EC Square Sans Pro" w:cs="EC Square Sans Pro"/>
        </w:rPr>
        <w:fldChar w:fldCharType="begin"/>
      </w:r>
      <w:r w:rsidR="00E42CE5">
        <w:rPr>
          <w:rFonts w:eastAsia="EC Square Sans Pro" w:cs="EC Square Sans Pro"/>
        </w:rPr>
        <w:instrText xml:space="preserve"> ADDIN ZOTERO_ITEM CSL_CITATION {"citationID":"6Twl9eLi","properties":{"formattedCitation":"[31]","plainCitation":"[31]","noteIndex":0},"citationItems":[{"id":1152,"uris":["http://zotero.org/groups/5272309/items/566BGAE5"],"itemData":{"id":1152,"type":"book","title":"Handbook: Harmonised Framework for Impact Reporting","URL":"https://www.greenfinanceplatform.org/guidance/handbook-harmonised-framework-impact-reporting","author":[{"literal":"ICMA"}],"accessed":{"date-parts":[["2025",3,20]]},"issued":{"date-parts":[["2022",6]]}}}],"schema":"https://github.com/citation-style-language/schema/raw/master/csl-citation.json"} </w:instrText>
      </w:r>
      <w:r w:rsidR="000656F5">
        <w:rPr>
          <w:rFonts w:eastAsia="EC Square Sans Pro" w:cs="EC Square Sans Pro"/>
        </w:rPr>
        <w:fldChar w:fldCharType="separate"/>
      </w:r>
      <w:r w:rsidR="00E42CE5" w:rsidRPr="00E42CE5">
        <w:rPr>
          <w:rFonts w:eastAsia="EC Square Sans Pro"/>
        </w:rPr>
        <w:t>[31]</w:t>
      </w:r>
      <w:r w:rsidR="000656F5">
        <w:rPr>
          <w:rFonts w:eastAsia="EC Square Sans Pro" w:cs="EC Square Sans Pro"/>
        </w:rPr>
        <w:fldChar w:fldCharType="end"/>
      </w:r>
      <w:r w:rsidR="00A143F3">
        <w:rPr>
          <w:rFonts w:eastAsia="EC Square Sans Pro" w:cs="EC Square Sans Pro"/>
        </w:rPr>
        <w:t xml:space="preserve">. </w:t>
      </w:r>
      <w:r w:rsidRPr="001C6F95">
        <w:rPr>
          <w:rFonts w:eastAsia="EC Square Sans Pro" w:cs="EC Square Sans Pro"/>
        </w:rPr>
        <w:t>This standardisation would replace the current fragmented reporting requirements with a single, streamlined framework. Following the principle of ex-post reporting of the EuGBS, a harmonised verification system would focus on material impacts rather than extensive documentation, making compliance easier and less costly. For sustainability-related instruments, standardised performance indicators would eliminate the need for customised frameworks, reducing complexity especially for SMEs. This approach moves away from bureaucratic box-ticking towards meaningful impact assessment, reducing duplicate reporting requirements across different regulations. Key to this simplification is the "report once, use many" principle, where standardised data serves multiple regulatory purposes. By extending the EU Taxonomy's coverage,</w:t>
      </w:r>
      <w:r w:rsidRPr="001C6F95" w:rsidDel="00305D81">
        <w:rPr>
          <w:rFonts w:eastAsia="EC Square Sans Pro" w:cs="EC Square Sans Pro"/>
        </w:rPr>
        <w:t xml:space="preserve"> </w:t>
      </w:r>
      <w:r w:rsidRPr="001C6F95">
        <w:rPr>
          <w:rFonts w:eastAsia="EC Square Sans Pro" w:cs="EC Square Sans Pro"/>
        </w:rPr>
        <w:t xml:space="preserve">with clear and practical criteria, companies would benefit from greater certainty and reduced compliance costs, while ensuring robust environmental integrity. </w:t>
      </w:r>
    </w:p>
    <w:p w14:paraId="5F1A343C" w14:textId="77777777" w:rsidR="000C0D8F" w:rsidRPr="001C6F95" w:rsidRDefault="000C0D8F" w:rsidP="000C0D8F">
      <w:pPr>
        <w:rPr>
          <w:rFonts w:eastAsia="EC Square Sans Pro" w:cs="EC Square Sans Pro"/>
        </w:rPr>
      </w:pPr>
    </w:p>
    <w:p w14:paraId="0B52C275" w14:textId="77777777" w:rsidR="000C0D8F" w:rsidRPr="001C6F95" w:rsidRDefault="000C0D8F" w:rsidP="000C0D8F">
      <w:pPr>
        <w:pStyle w:val="ListParagraph"/>
        <w:pBdr>
          <w:top w:val="single" w:sz="4" w:space="1" w:color="auto"/>
          <w:left w:val="single" w:sz="4" w:space="4" w:color="auto"/>
          <w:bottom w:val="single" w:sz="4" w:space="1" w:color="auto"/>
          <w:right w:val="single" w:sz="4" w:space="4" w:color="auto"/>
        </w:pBdr>
        <w:spacing w:after="0"/>
        <w:ind w:left="0"/>
        <w:contextualSpacing w:val="0"/>
        <w:rPr>
          <w:b/>
          <w:i/>
        </w:rPr>
      </w:pPr>
      <w:r w:rsidRPr="001C6F95">
        <w:rPr>
          <w:b/>
          <w:i/>
        </w:rPr>
        <w:t xml:space="preserve">Box xxx: </w:t>
      </w:r>
      <w:r w:rsidRPr="001C6F95">
        <w:rPr>
          <w:b/>
          <w:bCs/>
          <w:i/>
          <w:iCs/>
        </w:rPr>
        <w:t>Enhancing</w:t>
      </w:r>
      <w:r w:rsidRPr="001C6F95">
        <w:rPr>
          <w:b/>
          <w:i/>
        </w:rPr>
        <w:t xml:space="preserve"> the implementation of the EU Taxonomy</w:t>
      </w:r>
    </w:p>
    <w:p w14:paraId="00FAC21F" w14:textId="49DE6B87" w:rsidR="000C0D8F" w:rsidRPr="001C6F95" w:rsidRDefault="000C0D8F" w:rsidP="000C0D8F">
      <w:pPr>
        <w:pStyle w:val="ListParagraph"/>
        <w:pBdr>
          <w:top w:val="single" w:sz="4" w:space="1" w:color="auto"/>
          <w:left w:val="single" w:sz="4" w:space="4" w:color="auto"/>
          <w:bottom w:val="single" w:sz="4" w:space="1" w:color="auto"/>
          <w:right w:val="single" w:sz="4" w:space="4" w:color="auto"/>
        </w:pBdr>
        <w:spacing w:after="0"/>
        <w:ind w:left="0"/>
        <w:contextualSpacing w:val="0"/>
      </w:pPr>
      <w:r w:rsidRPr="001C6F95">
        <w:rPr>
          <w:rFonts w:eastAsia="EC Square Sans Pro" w:cs="EC Square Sans Pro"/>
        </w:rPr>
        <w:t>The European Commission is undertaking extensive effort to simplify, improve the usability, and facilitate the implementation of the EU Taxonomy</w:t>
      </w:r>
      <w:r w:rsidR="00C06F4E" w:rsidRPr="001C6F95">
        <w:rPr>
          <w:rFonts w:eastAsia="EC Square Sans Pro" w:cs="EC Square Sans Pro"/>
        </w:rPr>
        <w:t>,</w:t>
      </w:r>
      <w:r w:rsidRPr="001C6F95">
        <w:rPr>
          <w:rFonts w:eastAsia="EC Square Sans Pro" w:cs="EC Square Sans Pro"/>
        </w:rPr>
        <w:t xml:space="preserve"> </w:t>
      </w:r>
      <w:r w:rsidRPr="001C6F95" w:rsidDel="00DF6DA4">
        <w:rPr>
          <w:rFonts w:eastAsia="EC Square Sans Pro" w:cs="EC Square Sans Pro"/>
        </w:rPr>
        <w:t>so as to</w:t>
      </w:r>
      <w:r w:rsidRPr="001C6F95">
        <w:rPr>
          <w:rFonts w:eastAsia="EC Square Sans Pro" w:cs="EC Square Sans Pro"/>
        </w:rPr>
        <w:t xml:space="preserve"> unlock its full potential in directing capital to finance the green transition. This includes the development of supporting tools, such as the Taxonomy Compass and the publication of </w:t>
      </w:r>
      <w:r w:rsidRPr="001C6F95" w:rsidDel="00496400">
        <w:rPr>
          <w:rFonts w:eastAsia="EC Square Sans Pro" w:cs="EC Square Sans Pro"/>
        </w:rPr>
        <w:t xml:space="preserve">multiple </w:t>
      </w:r>
      <w:r w:rsidRPr="001C6F95">
        <w:rPr>
          <w:rFonts w:eastAsia="EC Square Sans Pro" w:cs="EC Square Sans Pro"/>
        </w:rPr>
        <w:t>comprehensive FAQs. In addition, the Commission is expected to propose future revisions of existing delegated acts, targeting criteria that have proven particularly burdensome to implement in light of the first two years of reporting. During the analysis and prioritisation exercise for criteria revision, it might appear that providing economic operators with additional, tailored tools to assess and disclose their eligibility and alignment information can be a quick and effective solution. Offering targeted guidance can be an easy</w:t>
      </w:r>
      <w:r w:rsidR="00C06F4E" w:rsidRPr="001C6F95">
        <w:rPr>
          <w:rFonts w:eastAsia="EC Square Sans Pro" w:cs="EC Square Sans Pro"/>
        </w:rPr>
        <w:t xml:space="preserve"> way</w:t>
      </w:r>
      <w:r w:rsidRPr="001C6F95">
        <w:rPr>
          <w:rFonts w:eastAsia="EC Square Sans Pro" w:cs="EC Square Sans Pro"/>
        </w:rPr>
        <w:t xml:space="preserve"> to enhance implementation and contribute to </w:t>
      </w:r>
      <w:r w:rsidRPr="001C6F95">
        <w:t>reduce</w:t>
      </w:r>
      <w:r w:rsidRPr="001C6F95">
        <w:rPr>
          <w:rFonts w:eastAsia="EC Square Sans Pro" w:cs="EC Square Sans Pro"/>
        </w:rPr>
        <w:t xml:space="preserve"> administrative burden, without requiring </w:t>
      </w:r>
      <w:r w:rsidR="005C1A6F" w:rsidRPr="001C6F95">
        <w:rPr>
          <w:rFonts w:eastAsia="EC Square Sans Pro" w:cs="EC Square Sans Pro"/>
        </w:rPr>
        <w:t>a longer</w:t>
      </w:r>
      <w:r w:rsidRPr="001C6F95">
        <w:rPr>
          <w:rFonts w:eastAsia="EC Square Sans Pro" w:cs="EC Square Sans Pro"/>
        </w:rPr>
        <w:t xml:space="preserve"> formal Delegated Act </w:t>
      </w:r>
      <w:r w:rsidR="005C1A6F" w:rsidRPr="001C6F95">
        <w:rPr>
          <w:rFonts w:eastAsia="EC Square Sans Pro" w:cs="EC Square Sans Pro"/>
        </w:rPr>
        <w:t>amendment</w:t>
      </w:r>
      <w:r w:rsidRPr="001C6F95">
        <w:rPr>
          <w:rFonts w:eastAsia="EC Square Sans Pro" w:cs="EC Square Sans Pro"/>
        </w:rPr>
        <w:t xml:space="preserve"> process. These customised tools could include for instance:</w:t>
      </w:r>
    </w:p>
    <w:p w14:paraId="2EF5DAE8" w14:textId="044824CE" w:rsidR="000C0D8F" w:rsidRPr="001C6F95" w:rsidRDefault="000C0D8F" w:rsidP="000C0D8F">
      <w:pPr>
        <w:pStyle w:val="ListParagraph"/>
        <w:numPr>
          <w:ilvl w:val="0"/>
          <w:numId w:val="18"/>
        </w:numPr>
        <w:pBdr>
          <w:top w:val="single" w:sz="4" w:space="1" w:color="auto"/>
          <w:left w:val="single" w:sz="4" w:space="4" w:color="auto"/>
          <w:bottom w:val="single" w:sz="4" w:space="1" w:color="auto"/>
          <w:right w:val="single" w:sz="4" w:space="4" w:color="auto"/>
        </w:pBdr>
        <w:spacing w:before="0" w:after="0"/>
      </w:pPr>
      <w:r w:rsidRPr="001C6F95">
        <w:t xml:space="preserve">Crafting </w:t>
      </w:r>
      <w:r w:rsidRPr="001C6F95">
        <w:rPr>
          <w:u w:val="single"/>
        </w:rPr>
        <w:t>comprehensive guidance tools</w:t>
      </w:r>
      <w:r w:rsidRPr="001C6F95">
        <w:t>, which provides for instance explicit information on the required documentary evidence to prove compliance with each technical screening criteria, particularly for the most challenging Do No Significant Harm (DNSH) criteria. This work could also help identify which criteria are priority from a revision perspective due to the impossibility to solve existing issues through only additional guidance.</w:t>
      </w:r>
    </w:p>
    <w:p w14:paraId="28DBC03D" w14:textId="77777777" w:rsidR="000C0D8F" w:rsidRPr="001C6F95" w:rsidRDefault="000C0D8F" w:rsidP="000C0D8F">
      <w:pPr>
        <w:pStyle w:val="ListParagraph"/>
        <w:numPr>
          <w:ilvl w:val="0"/>
          <w:numId w:val="18"/>
        </w:numPr>
        <w:pBdr>
          <w:top w:val="single" w:sz="4" w:space="1" w:color="auto"/>
          <w:left w:val="single" w:sz="4" w:space="4" w:color="auto"/>
          <w:bottom w:val="single" w:sz="4" w:space="1" w:color="auto"/>
          <w:right w:val="single" w:sz="4" w:space="4" w:color="auto"/>
        </w:pBdr>
        <w:spacing w:before="0" w:after="0"/>
      </w:pPr>
      <w:r w:rsidRPr="001C6F95">
        <w:t>Creation</w:t>
      </w:r>
      <w:r w:rsidRPr="001C6F95" w:rsidDel="6CC0A281">
        <w:t xml:space="preserve"> of </w:t>
      </w:r>
      <w:r w:rsidRPr="001C6F95">
        <w:rPr>
          <w:u w:val="single"/>
        </w:rPr>
        <w:t>dedicated web portals for sustainability data reporting</w:t>
      </w:r>
      <w:r w:rsidRPr="001C6F95">
        <w:t xml:space="preserve">. These portals would streamline reporting, </w:t>
      </w:r>
      <w:r w:rsidRPr="001C6F95" w:rsidDel="503E1661">
        <w:t xml:space="preserve">reduce reliance on private providers and thus reduce costs, enhance data security and confidentiality, </w:t>
      </w:r>
      <w:r w:rsidRPr="001C6F95">
        <w:t xml:space="preserve">improve data quality and consistency, and foster transparency and accountability among companies. </w:t>
      </w:r>
    </w:p>
    <w:p w14:paraId="116AADDB" w14:textId="06097813" w:rsidR="000C0D8F" w:rsidRPr="001C6F95" w:rsidRDefault="000C0D8F" w:rsidP="000C0D8F">
      <w:pPr>
        <w:pStyle w:val="ListParagraph"/>
        <w:numPr>
          <w:ilvl w:val="0"/>
          <w:numId w:val="18"/>
        </w:numPr>
        <w:pBdr>
          <w:top w:val="single" w:sz="4" w:space="1" w:color="auto"/>
          <w:left w:val="single" w:sz="4" w:space="4" w:color="auto"/>
          <w:bottom w:val="single" w:sz="4" w:space="1" w:color="auto"/>
          <w:right w:val="single" w:sz="4" w:space="4" w:color="auto"/>
        </w:pBdr>
        <w:spacing w:before="0" w:after="0"/>
      </w:pPr>
      <w:r w:rsidRPr="001C6F95">
        <w:t xml:space="preserve">Providing </w:t>
      </w:r>
      <w:r w:rsidRPr="001C6F95">
        <w:rPr>
          <w:u w:val="single"/>
        </w:rPr>
        <w:t>upfront clarification on when compliance with EU laws ensures compliance with requirements contained in the DNSH technical screening criteria in the existing delegated acts</w:t>
      </w:r>
      <w:r w:rsidRPr="001C6F95">
        <w:t xml:space="preserve">. This would facilitate the verification of compliance for economic activities implemented in the EU, potentially lowering reporting costs and reducing administrative hurdles for companies operating in the EU. </w:t>
      </w:r>
    </w:p>
    <w:p w14:paraId="3EA39770" w14:textId="35FAE326" w:rsidR="000C0D8F" w:rsidRPr="001C6F95" w:rsidRDefault="000C0D8F" w:rsidP="000C0D8F">
      <w:pPr>
        <w:spacing w:after="0"/>
      </w:pPr>
    </w:p>
    <w:p w14:paraId="24F56DDE" w14:textId="77777777" w:rsidR="000C0D8F" w:rsidRPr="001C6F95" w:rsidRDefault="000C0D8F" w:rsidP="000C0D8F">
      <w:pPr>
        <w:spacing w:after="0"/>
      </w:pPr>
    </w:p>
    <w:p w14:paraId="7684B0BE" w14:textId="77777777" w:rsidR="000C0D8F" w:rsidRPr="001C6F95" w:rsidRDefault="000C0D8F" w:rsidP="000C0D8F">
      <w:pPr>
        <w:rPr>
          <w:b/>
        </w:rPr>
      </w:pPr>
      <w:r w:rsidRPr="001C6F95">
        <w:rPr>
          <w:b/>
        </w:rPr>
        <w:t xml:space="preserve">Key message </w:t>
      </w:r>
      <w:r w:rsidRPr="001C6F95">
        <w:rPr>
          <w:b/>
          <w:bCs/>
          <w:iCs/>
        </w:rPr>
        <w:t>#</w:t>
      </w:r>
      <w:r w:rsidRPr="001C6F95">
        <w:rPr>
          <w:b/>
        </w:rPr>
        <w:t>3: Transition Plans, the keystone to target transition finance</w:t>
      </w:r>
    </w:p>
    <w:p w14:paraId="5B7D53B8" w14:textId="27CF1267" w:rsidR="000C0D8F" w:rsidRPr="001C6F95" w:rsidRDefault="000C0D8F" w:rsidP="000C0D8F">
      <w:r w:rsidRPr="001C6F95">
        <w:t xml:space="preserve">A targeted use of transition finance is required to </w:t>
      </w:r>
      <w:r w:rsidRPr="001C6F95">
        <w:rPr>
          <w:rStyle w:val="Emphasis"/>
        </w:rPr>
        <w:t xml:space="preserve">align all sectors with the ambitions of the EU Green Deal and ensure a competitive EU economy, avoiding lock-in to high-impact stranded assets. This is particularly important for those sectors that have a high environmental and climate impact. </w:t>
      </w:r>
      <w:r w:rsidRPr="001C6F95">
        <w:t>Transition plans that set out precise transition strategies are garnering increasing attention across jurisdictions</w:t>
      </w:r>
      <w:r w:rsidRPr="001C6F95">
        <w:rPr>
          <w:rStyle w:val="FootnoteReference"/>
        </w:rPr>
        <w:footnoteReference w:id="2"/>
      </w:r>
      <w:r w:rsidRPr="001C6F95">
        <w:t xml:space="preserve"> and have the potential to act as the central connection point informing targeted transition financing decisions.</w:t>
      </w:r>
      <w:r w:rsidRPr="001C6F95">
        <w:rPr>
          <w:rFonts w:eastAsia="EC Square Sans Pro" w:cs="EC Square Sans Pro"/>
        </w:rPr>
        <w:t xml:space="preserve"> These plans define performance and impact indicators which can then be used to issue green and sustainability loans and bonds for green and transition purposes (e.g.</w:t>
      </w:r>
      <w:r w:rsidRPr="001C6F95">
        <w:t xml:space="preserve"> use-of-proceeds or general-purpose instruments such as green and sustainability bonds or sustainability-linked bonds). In 2024, 37% of polled investors in a Robeco study</w:t>
      </w:r>
      <w:r w:rsidR="00DA68DB">
        <w:t xml:space="preserve"> </w:t>
      </w:r>
      <w:r w:rsidR="00872B10">
        <w:fldChar w:fldCharType="begin"/>
      </w:r>
      <w:r w:rsidR="007D0404">
        <w:instrText xml:space="preserve"> ADDIN ZOTERO_ITEM CSL_CITATION {"citationID":"jTaPGmxf","properties":{"formattedCitation":"[32]","plainCitation":"[32]","noteIndex":0},"citationItems":[{"id":1484,"uris":["http://zotero.org/groups/5272309/items/JHXT6SM3"],"itemData":{"id":1484,"type":"report","title":"2024 Global Climate Investing Survey. Realism on the transition journey: Insights from investors","author":[{"literal":"ROBECO"}],"issued":{"date-parts":[["2024",5]]}}}],"schema":"https://github.com/citation-style-language/schema/raw/master/csl-citation.json"} </w:instrText>
      </w:r>
      <w:r w:rsidR="00872B10">
        <w:fldChar w:fldCharType="separate"/>
      </w:r>
      <w:r w:rsidR="00872B10" w:rsidRPr="00872B10">
        <w:t>[32]</w:t>
      </w:r>
      <w:r w:rsidR="00872B10">
        <w:fldChar w:fldCharType="end"/>
      </w:r>
      <w:r w:rsidRPr="001C6F95">
        <w:t xml:space="preserve"> said they already invest in companies with high emissions if they have credible transition plans, and an extra 26% are planning to do so in next 1-2 years. </w:t>
      </w:r>
    </w:p>
    <w:p w14:paraId="7201ACDB" w14:textId="3FBB68C9" w:rsidR="000C0D8F" w:rsidRPr="001C6F95" w:rsidRDefault="000C0D8F" w:rsidP="000C0D8F">
      <w:r w:rsidRPr="001C6F95">
        <w:t>The Corporate Sustainability Reporting Directive’s (CSRD) European Sustainability Reporting Standards (ESRS)</w:t>
      </w:r>
      <w:r w:rsidRPr="001C6F95">
        <w:rPr>
          <w:rStyle w:val="FootnoteReference"/>
        </w:rPr>
        <w:footnoteReference w:id="3"/>
      </w:r>
      <w:r w:rsidRPr="001C6F95">
        <w:t xml:space="preserve"> contain detailed disclosure requirements for companies that develop a transition plan for climate change mitigation (ESRS E1-1). The Corporate Sustainability Due Diligence Directive (CSDDD) is aligned with this. When material for the entity, transition plans may also be connected to actions and resources for other environmental objectives (ESRS E2 to E5) as well as a just transition aspects, for the entity’s own workers, but also for workers in the supply chain, affected communities and consumers (ESRS S1 to S4). Thanks to the definition of transition plans in the CSRD investors have a common reference for what to look for in a company’s transition plan, therefore facilitating transition financing.</w:t>
      </w:r>
    </w:p>
    <w:p w14:paraId="455146CB" w14:textId="4AB2D4FC" w:rsidR="000C0D8F" w:rsidRPr="001C6F95" w:rsidRDefault="000C0D8F" w:rsidP="000C0D8F">
      <w:r w:rsidRPr="001C6F95">
        <w:t>To serve investors with valuable information to address climate-related and environmental risks and to inform their progress towards their own sustainability targets</w:t>
      </w:r>
      <w:r w:rsidR="007D0404">
        <w:t xml:space="preserve"> </w:t>
      </w:r>
      <w:r w:rsidR="007D0404">
        <w:fldChar w:fldCharType="begin"/>
      </w:r>
      <w:r w:rsidR="007D0404">
        <w:instrText xml:space="preserve"> ADDIN ZOTERO_ITEM CSL_CITATION {"citationID":"ZiF0tk6n","properties":{"formattedCitation":"[34]","plainCitation":"[34]","noteIndex":0},"citationItems":[{"id":1485,"uris":["http://zotero.org/groups/5272309/items/PE736GZG"],"itemData":{"id":1485,"type":"report","title":"Network for Greening the Financial System: Transition Plan Package","author":[{"literal":"Network for Greening the Financial System"}],"issued":{"date-parts":[["2024",4]]}}}],"schema":"https://github.com/citation-style-language/schema/raw/master/csl-citation.json"} </w:instrText>
      </w:r>
      <w:r w:rsidR="007D0404">
        <w:fldChar w:fldCharType="separate"/>
      </w:r>
      <w:r w:rsidR="007D0404" w:rsidRPr="007D0404">
        <w:t>[34]</w:t>
      </w:r>
      <w:r w:rsidR="007D0404">
        <w:fldChar w:fldCharType="end"/>
      </w:r>
      <w:r w:rsidRPr="001C6F95">
        <w:t>, transition plans need to be credible. Credible corporate transition plans can also inform investors’ identification of investment opportunities and serve as a basis for engagement with their investees. This is reflected in the ECB’s 2022 ‘Good practices for climate-related and environmental risk management’</w:t>
      </w:r>
      <w:r w:rsidR="00FE2117">
        <w:t xml:space="preserve"> </w:t>
      </w:r>
      <w:r w:rsidR="00FE2117">
        <w:fldChar w:fldCharType="begin"/>
      </w:r>
      <w:r w:rsidR="007D0404">
        <w:instrText xml:space="preserve"> ADDIN ZOTERO_ITEM CSL_CITATION {"citationID":"5kC5NtcC","properties":{"formattedCitation":"[35]","plainCitation":"[35]","noteIndex":0},"citationItems":[{"id":1122,"uris":["http://zotero.org/groups/5272309/items/4EYCUGM4"],"itemData":{"id":1122,"type":"report","abstract":"This report is a key supervisory publication which shares observations and good practices illustrating the different ways that significant institutions can align their practices with the supervisory expectations set out in the Guide. It serves as a compendium to the ECB report on the results of the 2022 thematic review on climate-related and environmental risks. With this compendium, the ECB also aims to respond to the wish from industry for insights on good practices. The compendium should also be read in conjunction with the ECB’s report on good practices observed in the climate-related stress test to be published later this year. While the report on climate-related stress testing will focus primarily on stress testing and risk modelling, this report covers observed practices related to strategy-setting, governance and risk appetite, as well as risk management.","call-number":"QB-03-22-081-EN-N","language":"eng","publisher":"Publications Office of the European Union","source":"Publications Office of the European Union","title":"Good practices on climate-related and environmental risk management: observations from the 2022 thematic review","title-short":"Good practices on climate-related and environmental risk management","URL":"https://data.europa.eu/doi/10.2866/417808","author":[{"literal":"European Central Bank"}],"accessed":{"date-parts":[["2025",3,19]]},"issued":{"date-parts":[["2022"]]}}}],"schema":"https://github.com/citation-style-language/schema/raw/master/csl-citation.json"} </w:instrText>
      </w:r>
      <w:r w:rsidR="00FE2117">
        <w:fldChar w:fldCharType="separate"/>
      </w:r>
      <w:r w:rsidR="007D0404" w:rsidRPr="007D0404">
        <w:t>[35]</w:t>
      </w:r>
      <w:r w:rsidR="00FE2117">
        <w:fldChar w:fldCharType="end"/>
      </w:r>
      <w:r w:rsidRPr="001C6F95">
        <w:t>. Companies’ transition plans are therefore essential to inform investors’ own prudential transition plans</w:t>
      </w:r>
      <w:r w:rsidR="00FE2117">
        <w:t xml:space="preserve"> </w:t>
      </w:r>
      <w:r w:rsidR="008C761E">
        <w:fldChar w:fldCharType="begin"/>
      </w:r>
      <w:r w:rsidR="007D0404">
        <w:instrText xml:space="preserve"> ADDIN ZOTERO_ITEM CSL_CITATION {"citationID":"BK9M8Gr0","properties":{"formattedCitation":"[36]","plainCitation":"[36]","noteIndex":0},"citationItems":[{"id":1154,"uris":["http://zotero.org/groups/5272309/items/B6ZWEA7D"],"itemData":{"id":1154,"type":"article-journal","abstract":"Net zero transition plans are a promising additional instrument for prudential supervisors to assess, address and bring distant financial risks into the present. To date, transition plans have primarily emerged as non-financial disclosure requirement and as such, their prudential application has been limited. In this article, we discuss the role that transition plans can play as a new regulatory tool in banking supervision. The article outlines steps towards incorporating transition plans into prudential policy, thereby enabling supervisors to effectively use transition plans as a forward-looking instrument to better manage and overcome some of the challenges associated with climate transition risks.","container-title":"Journal of Banking Regulation","DOI":"10.1057/s41261-024-00247-w","ISSN":"1750-2071","issue":"1","journalAbbreviation":"J Bank Regul","language":"en","page":"85-99","source":"Springer Link","title":"Prudential net zero transition plans: the potential of a new regulatory instrument","title-short":"Prudential net zero transition plans","volume":"26","author":[{"family":"Dikau","given":"Simon"},{"family":"Robins","given":"Nick"},{"family":"Smoleńska","given":"Agnieszka"},{"family":"Klooster","given":"Jens","non-dropping-particle":"van’t"},{"family":"Volz","given":"Ulrich"}],"issued":{"date-parts":[["2025",3,1]]}}}],"schema":"https://github.com/citation-style-language/schema/raw/master/csl-citation.json"} </w:instrText>
      </w:r>
      <w:r w:rsidR="008C761E">
        <w:fldChar w:fldCharType="separate"/>
      </w:r>
      <w:r w:rsidR="007D0404" w:rsidRPr="007D0404">
        <w:t>[36]</w:t>
      </w:r>
      <w:r w:rsidR="008C761E">
        <w:fldChar w:fldCharType="end"/>
      </w:r>
      <w:r w:rsidRPr="001C6F95">
        <w:t>. Prudential transition plans are included as a requirement for credit institutions in the Capital Requirements Directive (CRD VI) and are detailed in the EBA ‘Guidelines on the management of ESG risks’</w:t>
      </w:r>
      <w:r w:rsidRPr="001C6F95">
        <w:rPr>
          <w:rStyle w:val="FootnoteReference"/>
        </w:rPr>
        <w:footnoteReference w:id="4"/>
      </w:r>
      <w:r w:rsidRPr="001C6F95">
        <w:t>. Similarly, insurers must develop and monitor the implementation of plans to address risks arising from sustainability factors as per the Solvency II Directive and EOIPA’s report on ‘Prudential treatment of sustainability risks’</w:t>
      </w:r>
      <w:r w:rsidR="00E678CC">
        <w:t xml:space="preserve"> </w:t>
      </w:r>
      <w:r w:rsidR="00E678CC">
        <w:fldChar w:fldCharType="begin"/>
      </w:r>
      <w:r w:rsidR="007D0404">
        <w:instrText xml:space="preserve"> ADDIN ZOTERO_ITEM CSL_CITATION {"citationID":"n4K7lIjM","properties":{"formattedCitation":"[38]","plainCitation":"[38]","noteIndex":0},"citationItems":[{"id":1124,"uris":["http://zotero.org/groups/5272309/items/6PNGNMGX"],"itemData":{"id":1124,"type":"report","abstract":"Final Report on the Prudential Treatment of Sustainability Risks for Insurers","language":"en","number":"EIOPA-BoS-24/372","title":"Final Report on the Prudential Treatment of Sustainability Risks for Insurers","URL":"https://www.eiopa.europa.eu/publications/final-report-prudential-treatment-sustainability-risks-insurers_en","author":[{"literal":"EIOPA"}],"accessed":{"date-parts":[["2025",3,19]]},"issued":{"date-parts":[["2024",7,11]]}}}],"schema":"https://github.com/citation-style-language/schema/raw/master/csl-citation.json"} </w:instrText>
      </w:r>
      <w:r w:rsidR="00E678CC">
        <w:fldChar w:fldCharType="separate"/>
      </w:r>
      <w:r w:rsidR="007D0404" w:rsidRPr="007D0404">
        <w:t>[38]</w:t>
      </w:r>
      <w:r w:rsidR="00E678CC">
        <w:fldChar w:fldCharType="end"/>
      </w:r>
      <w:r w:rsidRPr="001C6F95">
        <w:t>.</w:t>
      </w:r>
    </w:p>
    <w:p w14:paraId="5A15AFB0" w14:textId="77777777" w:rsidR="000C0D8F" w:rsidRPr="001C6F95" w:rsidRDefault="000C0D8F" w:rsidP="000C0D8F">
      <w:pPr>
        <w:textAlignment w:val="baseline"/>
      </w:pPr>
      <w:r w:rsidRPr="001C6F95">
        <w:rPr>
          <w:b/>
          <w:bCs/>
        </w:rPr>
        <w:t>Transition plan preparers</w:t>
      </w:r>
      <w:r w:rsidRPr="001C6F95">
        <w:t xml:space="preserve"> face a challenge to develop a holistic strategy, potentially affecting the core business model of the company and including with implications for different departments. ESRS</w:t>
      </w:r>
      <w:r w:rsidRPr="001C6F95">
        <w:rPr>
          <w:rFonts w:ascii="Calibri" w:hAnsi="Calibri" w:cs="Calibri"/>
        </w:rPr>
        <w:t> </w:t>
      </w:r>
      <w:r w:rsidRPr="001C6F95">
        <w:t xml:space="preserve">E1-1 provides a regulatory basis for companies to develop their transition plan, and to provide transition plans’ users with the key disclosures at an appropriate level of granularity. Additional considerations may be required when developing prudential transition plans. </w:t>
      </w:r>
    </w:p>
    <w:p w14:paraId="0D01D9E4" w14:textId="77777777" w:rsidR="000C0D8F" w:rsidRPr="001C6F95" w:rsidRDefault="000C0D8F" w:rsidP="000C0D8F">
      <w:pPr>
        <w:textAlignment w:val="baseline"/>
        <w:rPr>
          <w:b/>
          <w:bCs/>
        </w:rPr>
      </w:pPr>
      <w:r w:rsidRPr="001C6F95">
        <w:rPr>
          <w:b/>
          <w:bCs/>
        </w:rPr>
        <w:t>Opportunity 3.1:</w:t>
      </w:r>
      <w:r w:rsidRPr="001C6F95">
        <w:t xml:space="preserve"> </w:t>
      </w:r>
      <w:r w:rsidRPr="001C6F95">
        <w:rPr>
          <w:b/>
          <w:bCs/>
        </w:rPr>
        <w:t xml:space="preserve">Providing guidance, capacity building and tools to support the </w:t>
      </w:r>
      <w:r w:rsidRPr="000550C8">
        <w:rPr>
          <w:b/>
          <w:bCs/>
          <w:u w:val="single"/>
        </w:rPr>
        <w:t>development</w:t>
      </w:r>
      <w:r w:rsidRPr="001C6F95">
        <w:rPr>
          <w:b/>
          <w:bCs/>
        </w:rPr>
        <w:t xml:space="preserve"> of transition plans that deliver actionable insights.</w:t>
      </w:r>
    </w:p>
    <w:p w14:paraId="1B10C956" w14:textId="4578A06D" w:rsidR="000C0D8F" w:rsidRPr="001C6F95" w:rsidDel="00592F4F" w:rsidRDefault="000C0D8F" w:rsidP="000C0D8F">
      <w:pPr>
        <w:textAlignment w:val="baseline"/>
      </w:pPr>
      <w:r w:rsidRPr="001C6F95">
        <w:t>The European Commission has an opportunity to aid companies along this journey by providing guidance on ESRS E1-1 and other related transition plan requirements, building on EFRAG’s early draft on implementation guidance for climate mitigation</w:t>
      </w:r>
      <w:r w:rsidR="00F749BF">
        <w:t xml:space="preserve"> </w:t>
      </w:r>
      <w:r w:rsidR="00E72D11">
        <w:rPr>
          <w:vertAlign w:val="superscript"/>
        </w:rPr>
        <w:fldChar w:fldCharType="begin"/>
      </w:r>
      <w:r w:rsidR="007D0404">
        <w:rPr>
          <w:vertAlign w:val="superscript"/>
        </w:rPr>
        <w:instrText xml:space="preserve"> ADDIN ZOTERO_ITEM CSL_CITATION {"citationID":"EwiKFkcy","properties":{"formattedCitation":"[39]","plainCitation":"[39]","noteIndex":0},"citationItems":[{"id":1125,"uris":["http://zotero.org/groups/5272309/items/3IZ48QHP"],"itemData":{"id":1125,"type":"report","title":"Implementation Guidance [draft] Transition Plan for Climate Change Mitigation","URL":"https://www.efrag.org/system/files/sites/webpublishing/Meeting%20Documents/2410151235139050/04-02%20-%20Transition%20Plan%20IG%20V1.7.5.pdf","author":[{"literal":"EFRAG"}],"accessed":{"date-parts":[["2025",3,19]]},"issued":{"date-parts":[["2024",11]]}}}],"schema":"https://github.com/citation-style-language/schema/raw/master/csl-citation.json"} </w:instrText>
      </w:r>
      <w:r w:rsidR="00E72D11">
        <w:rPr>
          <w:vertAlign w:val="superscript"/>
        </w:rPr>
        <w:fldChar w:fldCharType="separate"/>
      </w:r>
      <w:r w:rsidR="007D0404" w:rsidRPr="007D0404">
        <w:t>[39]</w:t>
      </w:r>
      <w:r w:rsidR="00E72D11">
        <w:rPr>
          <w:vertAlign w:val="superscript"/>
        </w:rPr>
        <w:fldChar w:fldCharType="end"/>
      </w:r>
      <w:r w:rsidR="00F749BF">
        <w:t>.</w:t>
      </w:r>
      <w:r w:rsidRPr="001C6F95">
        <w:t>Subsequent capacity building programmes and toolkit development will be needed, including reference points on European Climate Law aligned paths at sectoral level. This would respond to a growing market demand for EU sectoral pathways from transition plan preparers</w:t>
      </w:r>
      <w:r w:rsidR="00B67A8F">
        <w:t xml:space="preserve"> </w:t>
      </w:r>
      <w:r w:rsidRPr="001C6F95">
        <w:rPr>
          <w:rStyle w:val="FootnoteReference"/>
        </w:rPr>
        <w:footnoteReference w:id="5"/>
      </w:r>
      <w:r w:rsidRPr="001C6F95">
        <w:t>, allowing them to plan their transition, a necessary condition for the EU to achieve its own policy targets. Good reporting practices in line with guidance on ESRS E1-1 could also provide a reference of transition plans for identifying transition finance needs as well as transition finance flows.</w:t>
      </w:r>
    </w:p>
    <w:p w14:paraId="6E08A2FC" w14:textId="11EE85F8" w:rsidR="000C0D8F" w:rsidRPr="001C6F95" w:rsidRDefault="000C0D8F" w:rsidP="000C0D8F">
      <w:pPr>
        <w:pStyle w:val="ListParagraph"/>
        <w:pBdr>
          <w:top w:val="single" w:sz="4" w:space="1" w:color="auto"/>
          <w:left w:val="single" w:sz="4" w:space="4" w:color="auto"/>
          <w:bottom w:val="single" w:sz="4" w:space="1" w:color="auto"/>
          <w:right w:val="single" w:sz="4" w:space="4" w:color="auto"/>
        </w:pBdr>
        <w:spacing w:after="0"/>
        <w:ind w:left="0"/>
        <w:contextualSpacing w:val="0"/>
        <w:rPr>
          <w:b/>
          <w:i/>
        </w:rPr>
      </w:pPr>
      <w:r w:rsidRPr="001C6F95">
        <w:rPr>
          <w:b/>
          <w:i/>
        </w:rPr>
        <w:t xml:space="preserve">Box ** - Towards a transition finance data </w:t>
      </w:r>
      <w:r w:rsidR="005C1A6F" w:rsidRPr="001C6F95">
        <w:rPr>
          <w:b/>
          <w:i/>
        </w:rPr>
        <w:t>hub?</w:t>
      </w:r>
    </w:p>
    <w:p w14:paraId="2483C7D0" w14:textId="77777777" w:rsidR="000C0D8F" w:rsidRPr="001C6F95" w:rsidRDefault="000C0D8F" w:rsidP="000C0D8F">
      <w:pPr>
        <w:pStyle w:val="ListParagraph"/>
        <w:pBdr>
          <w:top w:val="single" w:sz="4" w:space="1" w:color="auto"/>
          <w:left w:val="single" w:sz="4" w:space="4" w:color="auto"/>
          <w:bottom w:val="single" w:sz="4" w:space="1" w:color="auto"/>
          <w:right w:val="single" w:sz="4" w:space="4" w:color="auto"/>
        </w:pBdr>
        <w:spacing w:after="0"/>
        <w:ind w:left="0"/>
        <w:contextualSpacing w:val="0"/>
      </w:pPr>
      <w:r w:rsidRPr="001C6F95">
        <w:t xml:space="preserve">Companies are facing difficulties in finding appropriate and reliable databases and calculations tools to produce their CSRD reports. However substantial set of materials already exist at EU or MS level. A data hub might be created to enhance visibility of these material and therefore support the implementation of the CSRD. This free of charge centralised access point might include, for example: </w:t>
      </w:r>
    </w:p>
    <w:p w14:paraId="6E9549BB" w14:textId="305289D2" w:rsidR="000C0D8F" w:rsidRPr="001C6F95" w:rsidRDefault="000C0D8F" w:rsidP="000C0D8F">
      <w:pPr>
        <w:pStyle w:val="ListParagraph"/>
        <w:numPr>
          <w:ilvl w:val="0"/>
          <w:numId w:val="18"/>
        </w:numPr>
        <w:pBdr>
          <w:top w:val="single" w:sz="4" w:space="1" w:color="auto"/>
          <w:left w:val="single" w:sz="4" w:space="4" w:color="auto"/>
          <w:bottom w:val="single" w:sz="4" w:space="1" w:color="auto"/>
          <w:right w:val="single" w:sz="4" w:space="4" w:color="auto"/>
        </w:pBdr>
        <w:spacing w:before="0" w:after="0"/>
      </w:pPr>
      <w:r w:rsidRPr="001C6F95">
        <w:t>References of emission factors databases to support the calculation of companies’ GHG emissions - scope 1, 2 and 3 - (see example in France</w:t>
      </w:r>
      <w:r w:rsidR="00613B23">
        <w:t xml:space="preserve"> </w:t>
      </w:r>
      <w:r w:rsidRPr="001C6F95">
        <w:rPr>
          <w:rStyle w:val="FootnoteReference"/>
        </w:rPr>
        <w:footnoteReference w:id="6"/>
      </w:r>
      <w:r w:rsidRPr="001C6F95">
        <w:t>, the Netherlands</w:t>
      </w:r>
      <w:r w:rsidR="00613B23">
        <w:t xml:space="preserve"> </w:t>
      </w:r>
      <w:r w:rsidRPr="001C6F95">
        <w:rPr>
          <w:rStyle w:val="FootnoteReference"/>
        </w:rPr>
        <w:footnoteReference w:id="7"/>
      </w:r>
      <w:r w:rsidRPr="001C6F95">
        <w:t>, among others).</w:t>
      </w:r>
    </w:p>
    <w:p w14:paraId="703A7C99" w14:textId="5F876AB4" w:rsidR="000C0D8F" w:rsidRPr="001C6F95" w:rsidRDefault="000C0D8F" w:rsidP="000C0D8F">
      <w:pPr>
        <w:pStyle w:val="ListParagraph"/>
        <w:numPr>
          <w:ilvl w:val="0"/>
          <w:numId w:val="18"/>
        </w:numPr>
        <w:pBdr>
          <w:top w:val="single" w:sz="4" w:space="1" w:color="auto"/>
          <w:left w:val="single" w:sz="4" w:space="4" w:color="auto"/>
          <w:bottom w:val="single" w:sz="4" w:space="1" w:color="auto"/>
          <w:right w:val="single" w:sz="4" w:space="4" w:color="auto"/>
        </w:pBdr>
        <w:spacing w:before="0" w:after="0"/>
      </w:pPr>
      <w:r w:rsidRPr="001C6F95">
        <w:t>An online simplified GHG emission calculator tool specifically designed for SMEs (see example from the US Environmental Protection Agency</w:t>
      </w:r>
      <w:r w:rsidR="00AF53B4">
        <w:t xml:space="preserve"> </w:t>
      </w:r>
      <w:r w:rsidRPr="001C6F95">
        <w:rPr>
          <w:rStyle w:val="FootnoteReference"/>
        </w:rPr>
        <w:footnoteReference w:id="8"/>
      </w:r>
      <w:r w:rsidRPr="001C6F95">
        <w:t>).</w:t>
      </w:r>
    </w:p>
    <w:p w14:paraId="0ECAE88E" w14:textId="541546C9" w:rsidR="000C0D8F" w:rsidRPr="001C6F95" w:rsidRDefault="000C0D8F" w:rsidP="000C0D8F">
      <w:pPr>
        <w:pStyle w:val="ListParagraph"/>
        <w:numPr>
          <w:ilvl w:val="0"/>
          <w:numId w:val="18"/>
        </w:numPr>
        <w:pBdr>
          <w:top w:val="single" w:sz="4" w:space="1" w:color="auto"/>
          <w:left w:val="single" w:sz="4" w:space="4" w:color="auto"/>
          <w:bottom w:val="single" w:sz="4" w:space="1" w:color="auto"/>
          <w:right w:val="single" w:sz="4" w:space="4" w:color="auto"/>
        </w:pBdr>
        <w:spacing w:before="0" w:after="0"/>
      </w:pPr>
      <w:r w:rsidRPr="001C6F95">
        <w:t>Sectoral transition pathways, as mentioned in the Clean Industrial Deal</w:t>
      </w:r>
      <w:r w:rsidR="00CC250C">
        <w:t xml:space="preserve"> </w:t>
      </w:r>
      <w:r w:rsidR="00CC250C">
        <w:fldChar w:fldCharType="begin"/>
      </w:r>
      <w:r w:rsidR="00A647BA">
        <w:instrText xml:space="preserve"> ADDIN ZOTERO_ITEM CSL_CITATION {"citationID":"bks1SDih","properties":{"formattedCitation":"[11]","plainCitation":"[11]","noteIndex":0},"citationItems":[{"id":1109,"uris":["http://zotero.org/groups/5272309/items/BVS4M3M2"],"itemData":{"id":1109,"type":"bill","language":"en","title":"COMMUNICATION FROM THE COMMISSION TO THE EUROPEAN PARLIAMENT, THE COUNCIL, THE EUROPEAN ECONOMIC AND SOCIAL COMMITTEE AND THE COMMITTEE OF THE REGIONS The Clean Industrial Deal: A joint roadmap for competitiveness and decarbonisation","title-short":"COMMUNICATION FROM THE COMMISSION TO THE EUROPEAN PARLIAMENT, THE COUNCIL, THE EUROPEAN ECONOMIC AND SOCIAL COMMITTEE AND THE COMMITTEE OF THE REGIONS The Clean Industrial Deal","URL":"https://eur-lex.europa.eu/legal-content/EN/TXT/?uri=celex:52025DC0085","accessed":{"date-parts":[["2025",3,18]]},"issued":{"date-parts":[["2025"]]}}}],"schema":"https://github.com/citation-style-language/schema/raw/master/csl-citation.json"} </w:instrText>
      </w:r>
      <w:r w:rsidR="00CC250C">
        <w:fldChar w:fldCharType="separate"/>
      </w:r>
      <w:r w:rsidR="00A647BA" w:rsidRPr="00A647BA">
        <w:t>[11]</w:t>
      </w:r>
      <w:r w:rsidR="00CC250C">
        <w:fldChar w:fldCharType="end"/>
      </w:r>
      <w:r w:rsidR="001F217C">
        <w:t>,</w:t>
      </w:r>
      <w:r w:rsidR="00CC250C">
        <w:t xml:space="preserve"> </w:t>
      </w:r>
      <w:r w:rsidRPr="001C6F95">
        <w:t>which are in line with the European Climate Law can enable informed investment decisions and facilitate the mobilisation of more capital by supporting the preparation and assessment of credible Climate Transition Plans.</w:t>
      </w:r>
    </w:p>
    <w:p w14:paraId="19484384" w14:textId="77777777" w:rsidR="000C0D8F" w:rsidRPr="001C6F95" w:rsidRDefault="000C0D8F" w:rsidP="000C0D8F">
      <w:pPr>
        <w:pStyle w:val="ListParagraph"/>
        <w:numPr>
          <w:ilvl w:val="0"/>
          <w:numId w:val="18"/>
        </w:numPr>
        <w:pBdr>
          <w:top w:val="single" w:sz="4" w:space="1" w:color="auto"/>
          <w:left w:val="single" w:sz="4" w:space="4" w:color="auto"/>
          <w:bottom w:val="single" w:sz="4" w:space="1" w:color="auto"/>
          <w:right w:val="single" w:sz="4" w:space="4" w:color="auto"/>
        </w:pBdr>
        <w:spacing w:before="0" w:after="0"/>
      </w:pPr>
      <w:r w:rsidRPr="001C6F95">
        <w:t>Example of good practices and initiatives to implement concrete GHG emission reduction from companies.</w:t>
      </w:r>
    </w:p>
    <w:p w14:paraId="0452CDB6" w14:textId="77777777" w:rsidR="000C0D8F" w:rsidRPr="001C6F95" w:rsidDel="00592F4F" w:rsidRDefault="000C0D8F" w:rsidP="000C0D8F">
      <w:pPr>
        <w:textAlignment w:val="baseline"/>
      </w:pPr>
    </w:p>
    <w:p w14:paraId="77AA7FC7" w14:textId="2EE66574" w:rsidR="000C0D8F" w:rsidRPr="001C6F95" w:rsidRDefault="000C0D8F" w:rsidP="000C0D8F">
      <w:pPr>
        <w:textAlignment w:val="baseline"/>
      </w:pPr>
      <w:r w:rsidRPr="001C6F95">
        <w:rPr>
          <w:b/>
          <w:bCs/>
        </w:rPr>
        <w:t>Transition plan users</w:t>
      </w:r>
      <w:r w:rsidRPr="001C6F95">
        <w:t xml:space="preserve"> will need to analyse transition plans as part of their ESG risk management processes and engage with investees accordingly. In light of this, investors have started to develop frameworks for assessing the credibility of company transition plans</w:t>
      </w:r>
      <w:r w:rsidR="00940576">
        <w:t xml:space="preserve"> </w:t>
      </w:r>
      <w:r w:rsidR="008B6D32">
        <w:fldChar w:fldCharType="begin"/>
      </w:r>
      <w:r w:rsidR="007D0404">
        <w:instrText xml:space="preserve"> ADDIN ZOTERO_ITEM CSL_CITATION {"citationID":"w9N2F2Sl","properties":{"formattedCitation":"[40]","plainCitation":"[40]","noteIndex":0},"citationItems":[{"id":1140,"uris":["http://zotero.org/groups/5272309/items/CVPGT98V"],"itemData":{"id":1140,"type":"webpage","abstract":"The EU sustainable finance framework is being picked up by different market actors as an effective toolkit to navigate the transition to net zero.","language":"en","title":"A Compendium of Market Practices How the EU’s Taxonomy and sustainable finance framework are helping financial and non-financial actors transition to net zero.","URL":"https://finance.ec.europa.eu/publications/platform-sustainable-finance-report-compendium-market-practices_en","author":[{"literal":"Platform on Sustainable Finance"}],"accessed":{"date-parts":[["2025",3,19]]},"issued":{"date-parts":[["2024",1,29]]}}}],"schema":"https://github.com/citation-style-language/schema/raw/master/csl-citation.json"} </w:instrText>
      </w:r>
      <w:r w:rsidR="008B6D32">
        <w:fldChar w:fldCharType="separate"/>
      </w:r>
      <w:r w:rsidR="007D0404" w:rsidRPr="007D0404">
        <w:t>[40]</w:t>
      </w:r>
      <w:r w:rsidR="008B6D32">
        <w:fldChar w:fldCharType="end"/>
      </w:r>
      <w:r w:rsidRPr="001C6F95">
        <w:t xml:space="preserve"> but often ask for further guidance on key points such as the alignment of transition plans with EU or national policies and how to demonstrate compatibility with 1.5°C</w:t>
      </w:r>
      <w:r w:rsidRPr="001C6F95">
        <w:rPr>
          <w:rFonts w:ascii="Calibri" w:hAnsi="Calibri" w:cs="Calibri"/>
        </w:rPr>
        <w:t> </w:t>
      </w:r>
      <w:r w:rsidRPr="001C6F95">
        <w:t>aligned paths at sectoral level. When asked if they lack clarity on how to assess the credibility of transition plans by using decarbonisation pathways, 62% of financial market participants polled in 2022 OECD study</w:t>
      </w:r>
      <w:r w:rsidR="00940576">
        <w:t xml:space="preserve"> </w:t>
      </w:r>
      <w:r w:rsidR="00940576">
        <w:fldChar w:fldCharType="begin"/>
      </w:r>
      <w:r w:rsidR="007D0404">
        <w:instrText xml:space="preserve"> ADDIN ZOTERO_ITEM CSL_CITATION {"citationID":"eomDygf4","properties":{"formattedCitation":"[41]","plainCitation":"[41]","noteIndex":0},"citationItems":[{"id":1128,"uris":["http://zotero.org/groups/5272309/items/CRY9W297"],"itemData":{"id":1128,"type":"book","collection-title":"Green Finance and Investment","ISBN":"978-92-64-33863-0","language":"en","note":"DOI: 10.1787/7c68a1ee-en","publisher":"OECD","source":"DOI.org (Crossref)","title":"OECD Guidance on Transition Finance: Ensuring Credibility of Corporate Climate Transition Plans","title-short":"OECD Guidance on Transition Finance","URL":"https://www.oecd.org/en/publications/oecd-guidance-on-transition-finance_7c68a1ee-en.html","author":[{"literal":"OECD"}],"accessed":{"date-parts":[["2025",3,19]]},"issued":{"date-parts":[["2022",10,3]]}}}],"schema":"https://github.com/citation-style-language/schema/raw/master/csl-citation.json"} </w:instrText>
      </w:r>
      <w:r w:rsidR="00940576">
        <w:fldChar w:fldCharType="separate"/>
      </w:r>
      <w:r w:rsidR="007D0404" w:rsidRPr="007D0404">
        <w:t>[41]</w:t>
      </w:r>
      <w:r w:rsidR="00940576">
        <w:fldChar w:fldCharType="end"/>
      </w:r>
      <w:r w:rsidRPr="001C6F95">
        <w:t xml:space="preserve">, answered ‘Yes’ or ‘Somewhat, depending on the region’. There is also a growing market demand for guidance from transition plan users on pathways </w:t>
      </w:r>
      <w:r w:rsidR="00AA4F9B">
        <w:fldChar w:fldCharType="begin"/>
      </w:r>
      <w:r w:rsidR="007D0404">
        <w:instrText xml:space="preserve"> ADDIN ZOTERO_ITEM CSL_CITATION {"citationID":"7nk9V8cC","properties":{"formattedCitation":"[42], [43], [44]","plainCitation":"[42], [43], [44]","noteIndex":0},"citationItems":[{"id":1137,"uris":["http://zotero.org/groups/5272309/items/V2NN2KPR"],"itemData":{"id":1137,"type":"report","abstract":"The EBF has published the paper ‘’An EU framework for financing the transition’’. The EBF calls for the EC to define a transition framework with science-based sectoral transition pathways &amp; roadmaps while taking into account developing market initiatives. An effective framework of this kind can support the whole economy, facilitate access to financing and help fight greenwashing.","language":"en-US","title":"AN EU FRAMEWORK FOR FINANCING THE TRANSITION","URL":"https://www.ebf.eu/ebf-media-centre/an-eu-framework-for-financing-the-transition/","author":[{"literal":"EBF"}],"accessed":{"date-parts":[["2025",3,19]]},"issued":{"date-parts":[["2023",2,16]]}}},{"id":1138,"uris":["http://zotero.org/groups/5272309/items/3HBQ5PPS"],"itemData":{"id":1138,"type":"report","abstract":"The PRI's 2030 EU Policy Roadmap sets out recommendations for European policy makers to encourage investment and support the economic transition over the European Commission's next five-year mandate.","language":"en","title":"2030 EU POLICY ROADMAP ACCELERATING PRIVATE INVESTMENT FOR THE ECONOMIC TRANSITION","URL":"https://www.unpri.org/eu-policy/pris-2030-eu-policy-roadmap/12165.article","author":[{"literal":"PRI"}],"accessed":{"date-parts":[["2025",3,19]]},"issued":{"date-parts":[["2024",5,3]]}}},{"id":1139,"uris":["http://zotero.org/groups/5272309/items/EN4ENYTP"],"itemData":{"id":1139,"type":"webpage","abstract":"We call on policymakers to accelerate Europe’s transition to a competitive, energy-secure, resilient, and climate-neutral economy across five key areas.","language":"en","title":"IIGCC Call to Action for the next EU political cycle A green and competitive Europe - Investor priorities for 2024-2029","URL":"https://www.iigcc.org/resources/eu-call-action","author":[{"literal":"IIGCC"}],"accessed":{"date-parts":[["2025",3,19]]},"issued":{"date-parts":[["2024",5,6]]}}}],"schema":"https://github.com/citation-style-language/schema/raw/master/csl-citation.json"} </w:instrText>
      </w:r>
      <w:r w:rsidR="00AA4F9B">
        <w:fldChar w:fldCharType="separate"/>
      </w:r>
      <w:r w:rsidR="007D0404" w:rsidRPr="007D0404">
        <w:t>[42], [43], [44]</w:t>
      </w:r>
      <w:r w:rsidR="00AA4F9B">
        <w:fldChar w:fldCharType="end"/>
      </w:r>
      <w:r w:rsidR="00AA4F9B">
        <w:t xml:space="preserve"> </w:t>
      </w:r>
      <w:r w:rsidRPr="001C6F95">
        <w:t xml:space="preserve">and a growing risk of conflicting approaches and of delay to transition finance due to uncertainty in the market if no common definition of a credible transition plan is developed. </w:t>
      </w:r>
    </w:p>
    <w:p w14:paraId="62F4EC21" w14:textId="77777777" w:rsidR="000C0D8F" w:rsidRPr="001C6F95" w:rsidRDefault="000C0D8F" w:rsidP="000C0D8F">
      <w:pPr>
        <w:textAlignment w:val="baseline"/>
        <w:rPr>
          <w:b/>
          <w:bCs/>
        </w:rPr>
      </w:pPr>
      <w:r w:rsidRPr="001C6F95">
        <w:rPr>
          <w:b/>
          <w:bCs/>
        </w:rPr>
        <w:t>Opportunity 3.2: Providing an assessment framework for transition plan credibility that brings clarity and consistency, unblocking transition financing.</w:t>
      </w:r>
    </w:p>
    <w:p w14:paraId="69138B1F" w14:textId="4284A11D" w:rsidR="000C0D8F" w:rsidRPr="001C6F95" w:rsidRDefault="000C0D8F" w:rsidP="000C0D8F">
      <w:pPr>
        <w:textAlignment w:val="baseline"/>
      </w:pPr>
      <w:r w:rsidRPr="001C6F95">
        <w:t>The European Commission has an opportunity to provide a basis for these credibility assessments by developing an EU Transition Plan Credibility Assessment Framework (EU</w:t>
      </w:r>
      <w:r w:rsidRPr="001C6F95">
        <w:rPr>
          <w:rFonts w:ascii="Calibri" w:hAnsi="Calibri" w:cs="Calibri"/>
        </w:rPr>
        <w:t> </w:t>
      </w:r>
      <w:r w:rsidRPr="001C6F95">
        <w:t xml:space="preserve">TP-CAF). This could be supported by methodologies for transition plan users to assess transition plans in light of the aforementioned European Climate Law aligned sectoral transition pathways. An EU TP-CAF would provide clarity for the market by building on the definition of transition finance as per Commission Recommendation </w:t>
      </w:r>
      <w:r w:rsidRPr="001C6F95">
        <w:rPr>
          <w:rFonts w:cs="Segoe UI"/>
        </w:rPr>
        <w:t>(EU) 2023/1425</w:t>
      </w:r>
      <w:r w:rsidRPr="001C6F95">
        <w:rPr>
          <w:rStyle w:val="FootnoteReference"/>
          <w:rFonts w:cs="Segoe UI"/>
        </w:rPr>
        <w:footnoteReference w:id="9"/>
      </w:r>
      <w:r w:rsidRPr="001C6F95">
        <w:rPr>
          <w:rFonts w:cs="Segoe UI"/>
        </w:rPr>
        <w:t xml:space="preserve"> </w:t>
      </w:r>
      <w:r w:rsidR="00E42CE5">
        <w:rPr>
          <w:rFonts w:cs="Segoe UI"/>
        </w:rPr>
        <w:fldChar w:fldCharType="begin"/>
      </w:r>
      <w:r w:rsidR="00E42CE5">
        <w:rPr>
          <w:rFonts w:cs="Segoe UI"/>
        </w:rPr>
        <w:instrText xml:space="preserve"> ADDIN ZOTERO_ITEM CSL_CITATION {"citationID":"idBgBgkf","properties":{"formattedCitation":"[12]","plainCitation":"[12]","noteIndex":0},"citationItems":[{"id":1108,"uris":["http://zotero.org/groups/5272309/items/MDKT5WFV"],"itemData":{"id":1108,"type":"report","language":"en","note":"volume: 174\ncontainer-title: OJ L\nLegislative Body: COM, FISMA","source":"EUR-Lex","title":"Commission Recommendation (EU) 2023/1425 of 27</w:instrText>
      </w:r>
      <w:r w:rsidR="00E42CE5">
        <w:rPr>
          <w:rFonts w:ascii="Calibri" w:hAnsi="Calibri" w:cs="Calibri"/>
        </w:rPr>
        <w:instrText> </w:instrText>
      </w:r>
      <w:r w:rsidR="00E42CE5">
        <w:rPr>
          <w:rFonts w:cs="Segoe UI"/>
        </w:rPr>
        <w:instrText xml:space="preserve">June 2023 on facilitating finance for the transition to a sustainable economy","URL":"http://data.europa.eu/eli/reco/2023/1425/oj/eng","accessed":{"date-parts":[["2025",3,18]]},"issued":{"date-parts":[["2023",6,27]]}}}],"schema":"https://github.com/citation-style-language/schema/raw/master/csl-citation.json"} </w:instrText>
      </w:r>
      <w:r w:rsidR="00E42CE5">
        <w:rPr>
          <w:rFonts w:cs="Segoe UI"/>
        </w:rPr>
        <w:fldChar w:fldCharType="separate"/>
      </w:r>
      <w:r w:rsidR="00E42CE5" w:rsidRPr="00E42CE5">
        <w:t>[12]</w:t>
      </w:r>
      <w:r w:rsidR="00E42CE5">
        <w:rPr>
          <w:rFonts w:cs="Segoe UI"/>
        </w:rPr>
        <w:fldChar w:fldCharType="end"/>
      </w:r>
      <w:r w:rsidR="00E42CE5">
        <w:rPr>
          <w:rFonts w:cs="Segoe UI"/>
        </w:rPr>
        <w:t xml:space="preserve"> </w:t>
      </w:r>
      <w:r w:rsidRPr="001C6F95">
        <w:rPr>
          <w:rFonts w:cs="Segoe UI"/>
        </w:rPr>
        <w:t>and help to unblock transition financing, including via blended finance</w:t>
      </w:r>
      <w:r w:rsidRPr="001C6F95">
        <w:t>. This could also help to define a transition finance category for the revision of the Sustainable Finance Disclosure Regulation.</w:t>
      </w:r>
    </w:p>
    <w:p w14:paraId="2DCD1C00" w14:textId="77777777" w:rsidR="000C0D8F" w:rsidRPr="001C6F95" w:rsidRDefault="000C0D8F" w:rsidP="000C0D8F">
      <w:pPr>
        <w:textAlignment w:val="baseline"/>
      </w:pPr>
      <w:r w:rsidRPr="001C6F95">
        <w:rPr>
          <w:b/>
        </w:rPr>
        <w:t>Transition plan assurers and supervisors</w:t>
      </w:r>
      <w:r w:rsidRPr="001C6F95">
        <w:t xml:space="preserve"> will need to develop a breadth and depth knowledge beyond the usual areas of work for assurance and supervisory bodies that will be required to fulfil these duties. New skills will be required to assess the design and adoption of company transition plans and the progress in addressing climate-related and environmental risks in prudential </w:t>
      </w:r>
      <w:r w:rsidRPr="008B6D32">
        <w:rPr>
          <w:u w:val="single"/>
        </w:rPr>
        <w:t>transition</w:t>
      </w:r>
      <w:r w:rsidRPr="001C6F95">
        <w:t xml:space="preserve"> plans. </w:t>
      </w:r>
    </w:p>
    <w:p w14:paraId="30B7E984" w14:textId="77777777" w:rsidR="000C0D8F" w:rsidRPr="001C6F95" w:rsidRDefault="000C0D8F" w:rsidP="000C0D8F">
      <w:pPr>
        <w:textAlignment w:val="baseline"/>
        <w:rPr>
          <w:b/>
        </w:rPr>
      </w:pPr>
      <w:r w:rsidRPr="001C6F95">
        <w:rPr>
          <w:b/>
        </w:rPr>
        <w:t>Opportunity 3.3: Upskilling the supporting ecosystem so that transition plan related duties can be fulfilled.</w:t>
      </w:r>
    </w:p>
    <w:p w14:paraId="1A864BAA" w14:textId="77777777" w:rsidR="000C0D8F" w:rsidRPr="001C6F95" w:rsidRDefault="000C0D8F" w:rsidP="000C0D8F">
      <w:pPr>
        <w:textAlignment w:val="baseline"/>
      </w:pPr>
      <w:r w:rsidRPr="001C6F95">
        <w:t>The European Commission has an opportunity to support the necessary upskilling through mechanisms such as Technical Support Instruments.</w:t>
      </w:r>
    </w:p>
    <w:p w14:paraId="2D118303" w14:textId="5D8A6FA7" w:rsidR="000C0D8F" w:rsidRPr="001C6F95" w:rsidRDefault="000C0D8F" w:rsidP="000C0D8F">
      <w:pPr>
        <w:rPr>
          <w:rFonts w:eastAsia="EC Square Sans Pro" w:cs="EC Square Sans Pro"/>
        </w:rPr>
      </w:pPr>
      <w:r w:rsidRPr="001C6F95">
        <w:rPr>
          <w:b/>
          <w:bCs/>
        </w:rPr>
        <w:t>Financial instruments that connect to transition plans</w:t>
      </w:r>
      <w:r w:rsidRPr="001C6F95">
        <w:t xml:space="preserve"> can </w:t>
      </w:r>
      <w:r w:rsidRPr="001C6F95">
        <w:rPr>
          <w:rFonts w:eastAsia="Calibri" w:cs="Calibri"/>
        </w:rPr>
        <w:t>foster access to transition finance in hard-to-abate sectors, however, t</w:t>
      </w:r>
      <w:r w:rsidRPr="001C6F95">
        <w:rPr>
          <w:rFonts w:eastAsia="EC Square Sans Pro" w:cs="EC Square Sans Pro"/>
        </w:rPr>
        <w:t>he current sustainable finance framework has a strong focus on project-based instruments, with green bonds accounting for 47% of sustainable finance instruments in 2022</w:t>
      </w:r>
      <w:r w:rsidR="001E7ABE">
        <w:rPr>
          <w:rFonts w:eastAsia="EC Square Sans Pro" w:cs="EC Square Sans Pro"/>
        </w:rPr>
        <w:t xml:space="preserve"> </w:t>
      </w:r>
      <w:r w:rsidRPr="001C6F95">
        <w:rPr>
          <w:rFonts w:eastAsia="EC Square Sans Pro" w:cs="EC Square Sans Pro"/>
          <w:vertAlign w:val="superscript"/>
        </w:rPr>
        <w:footnoteReference w:id="10"/>
      </w:r>
      <w:r w:rsidRPr="001C6F95">
        <w:rPr>
          <w:rFonts w:eastAsia="EC Square Sans Pro" w:cs="EC Square Sans Pro"/>
        </w:rPr>
        <w:t>. Financial instruments that connect to a company transition plan would help investors understand how specific green projects fit into a company's overall sustainability strategy, reducing the risk of isolated "green pockets" within otherwise carbon-intensive operations. Potentially, SLBs may serve as a tool to directly link the achievement of sustainability targets (as stated in a company’s transition plan) to the necessary financial resources to reach them.</w:t>
      </w:r>
    </w:p>
    <w:p w14:paraId="13DBE428" w14:textId="77777777" w:rsidR="000C0D8F" w:rsidRPr="001C6F95" w:rsidRDefault="000C0D8F" w:rsidP="000C0D8F">
      <w:pPr>
        <w:textAlignment w:val="baseline"/>
        <w:rPr>
          <w:rFonts w:eastAsia="Calibri" w:cs="Calibri"/>
          <w:b/>
        </w:rPr>
      </w:pPr>
      <w:r w:rsidRPr="001C6F95">
        <w:rPr>
          <w:rFonts w:eastAsia="Calibri" w:cs="Calibri"/>
          <w:b/>
        </w:rPr>
        <w:t>Opportunity 3.4: Transition plans as a basis on which to build financing instruments, and to monitor the transition.</w:t>
      </w:r>
    </w:p>
    <w:p w14:paraId="75CC92BE" w14:textId="77777777" w:rsidR="000C0D8F" w:rsidRPr="001C6F95" w:rsidRDefault="000C0D8F" w:rsidP="000C0D8F">
      <w:pPr>
        <w:textAlignment w:val="baseline"/>
        <w:rPr>
          <w:rFonts w:eastAsia="Calibri" w:cs="Calibri"/>
        </w:rPr>
      </w:pPr>
      <w:r w:rsidRPr="001C6F95">
        <w:rPr>
          <w:rFonts w:eastAsia="Calibri" w:cs="Calibri"/>
        </w:rPr>
        <w:t xml:space="preserve">The European Commission has an opportunity to promote and monitor the use of sustainable instruments that connect to transition plans. </w:t>
      </w:r>
      <w:r w:rsidRPr="001C6F95">
        <w:rPr>
          <w:rFonts w:eastAsia="EC Square Sans Pro" w:cs="EC Square Sans Pro"/>
        </w:rPr>
        <w:t>Already existing sustainable securities can be fit for transition financing if they connect to the outcomes of a transition plan. Use-of-proceeds instruments should detail how the specific proceed contribute to the overall transition objectives, while sustainability-linked instruments should be framed around the KPIs at the core of the company’s transition plan. This approach would be particularly beneficial for sustainability-linked bonds and loans whose targets are set at the entity level. By monitoring the real-economy transition at company level, regulators can better assess whether sustainable finance instruments are truly supporting the transition, rather than simply funding stand-alone green initiatives.</w:t>
      </w:r>
      <w:r w:rsidRPr="001C6F95">
        <w:rPr>
          <w:rFonts w:eastAsia="Calibri" w:cs="Calibri"/>
        </w:rPr>
        <w:t xml:space="preserve"> To achieve this, it will be key to monitor the issuance of the different sustainable instruments by entities at different stages of transition.</w:t>
      </w:r>
    </w:p>
    <w:p w14:paraId="4426766A" w14:textId="2E3BA1A1" w:rsidR="000C0D8F" w:rsidRPr="001C6F95" w:rsidRDefault="000C0D8F" w:rsidP="000C0D8F">
      <w:pPr>
        <w:textAlignment w:val="baseline"/>
        <w:rPr>
          <w:rFonts w:eastAsia="EC Square Sans Pro" w:cs="EC Square Sans Pro"/>
        </w:rPr>
      </w:pPr>
      <w:r w:rsidRPr="001C6F95">
        <w:rPr>
          <w:b/>
          <w:bCs/>
        </w:rPr>
        <w:t xml:space="preserve">Informing policymaking using data from companies’ transition plans </w:t>
      </w:r>
      <w:r w:rsidRPr="001C6F95">
        <w:t>is key to ensure a coordinated transition that is built on an informed dialogue between private and public actors</w:t>
      </w:r>
      <w:r w:rsidRPr="001C6F95">
        <w:rPr>
          <w:b/>
          <w:bCs/>
        </w:rPr>
        <w:t>.</w:t>
      </w:r>
      <w:r w:rsidRPr="001C6F95" w:rsidDel="0068170F">
        <w:rPr>
          <w:rFonts w:eastAsia="EC Square Sans Pro" w:cs="EC Square Sans Pro"/>
        </w:rPr>
        <w:t xml:space="preserve"> </w:t>
      </w:r>
      <w:r w:rsidRPr="001C6F95">
        <w:rPr>
          <w:rFonts w:eastAsia="EC Square Sans Pro" w:cs="EC Square Sans Pro"/>
        </w:rPr>
        <w:t>Substantial interdependencies exist between public policies and corporate transition plans. As detailed in the JRC Science-for-Policy brief on the topic</w:t>
      </w:r>
      <w:r w:rsidR="005B3FE9">
        <w:rPr>
          <w:rFonts w:eastAsia="EC Square Sans Pro" w:cs="EC Square Sans Pro"/>
        </w:rPr>
        <w:t xml:space="preserve"> </w:t>
      </w:r>
      <w:r w:rsidR="005B3FE9">
        <w:rPr>
          <w:rFonts w:eastAsia="EC Square Sans Pro" w:cs="EC Square Sans Pro"/>
        </w:rPr>
        <w:fldChar w:fldCharType="begin"/>
      </w:r>
      <w:r w:rsidR="007D0404">
        <w:rPr>
          <w:rFonts w:eastAsia="EC Square Sans Pro" w:cs="EC Square Sans Pro"/>
        </w:rPr>
        <w:instrText xml:space="preserve"> ADDIN ZOTERO_ITEM CSL_CITATION {"citationID":"bXFjDZPq","properties":{"formattedCitation":"[45]","plainCitation":"[45]","noteIndex":0},"citationItems":[{"id":1126,"uris":["http://zotero.org/groups/5272309/items/L9NCN9HK"],"itemData":{"id":1126,"type":"report","abstract":"Starting in 2025, the Corporate Sustainability Reporting Directive (CSRD) will strengthen disclosure practices for company transition plans. These plans detail the contribution of corporates to the transition to a sustainable economy. In the meantime, credible transition plans have already become one of the key tools for companies to raise transition finance, as defined in Commission Recommendation (EU) 2023/1425. They are also expected to deliver highly valuable data serving different purposes –from strategy to risk management– and various stakeholders –from financial institutions to policymakers. Defining an EU Transition Plan Credibility Assessment Framework is therefore an opportunity to support the market, and may inform the definition and tracking of transition finance. The JRC has developed two tools –assessment questions and assessment KPIs– to assess specific determinants of a transition plan's credibility: geographical dependencies at asset-level (e.g. availability of resources, policy context) and how those dependencies are addressed. These assessment questions and KPIs may be used by companies to increase the credibility of their transition plan, by financial institutions to assess the credibility of companies’ transition plans and by policymakers to inform public policy and financing. Analysing the geographical dependencies of company transition plans in energy-intensive industries can inform stakeholder dialogues and infrastructure investments on the ground at EU, Member States and regional level. Territorial knowledge should be part of the design of industrial policy that is fit for the Clean Industrial deal, as it enhances public-private partnerships and multi-level governance.","language":"en","title":"Credible company transition plans for climate change mitigation: a geographical dependency assessment","title-short":"Credible company transition plans for climate change mitigation","URL":"https://publications.jrc.ec.europa.eu/repository/handle/JRC139084","author":[{"family":"Pickard","given":"GARCIA Nicolas"},{"family":"Gourdon","given":"Thomas"},{"family":"Seigneur","given":"Isabelle"},{"family":"Martiny","given":"Alice"},{"family":"Arranz","given":"PADILLA Maria"},{"family":"Beltran","given":"MIRALLES Manuel"},{"family":"Guerreiro","given":"MIGUEL Mecia"}],"accessed":{"date-parts":[["2025",3,19]]},"issued":{"date-parts":[["2024"]]}}}],"schema":"https://github.com/citation-style-language/schema/raw/master/csl-citation.json"} </w:instrText>
      </w:r>
      <w:r w:rsidR="005B3FE9">
        <w:rPr>
          <w:rFonts w:eastAsia="EC Square Sans Pro" w:cs="EC Square Sans Pro"/>
        </w:rPr>
        <w:fldChar w:fldCharType="separate"/>
      </w:r>
      <w:r w:rsidR="007D0404" w:rsidRPr="007D0404">
        <w:rPr>
          <w:rFonts w:eastAsia="EC Square Sans Pro"/>
        </w:rPr>
        <w:t>[45]</w:t>
      </w:r>
      <w:r w:rsidR="005B3FE9">
        <w:rPr>
          <w:rFonts w:eastAsia="EC Square Sans Pro" w:cs="EC Square Sans Pro"/>
        </w:rPr>
        <w:fldChar w:fldCharType="end"/>
      </w:r>
      <w:r w:rsidRPr="001C6F95">
        <w:rPr>
          <w:rFonts w:eastAsia="EC Square Sans Pro" w:cs="EC Square Sans Pro"/>
        </w:rPr>
        <w:t>, a company’s transition plan may have a geographical dependency</w:t>
      </w:r>
      <w:r w:rsidR="001E7ABE">
        <w:rPr>
          <w:rFonts w:eastAsia="EC Square Sans Pro" w:cs="EC Square Sans Pro"/>
        </w:rPr>
        <w:t xml:space="preserve"> </w:t>
      </w:r>
      <w:r w:rsidRPr="001C6F95">
        <w:rPr>
          <w:rStyle w:val="FootnoteReference"/>
          <w:rFonts w:eastAsia="EC Square Sans Pro" w:cs="EC Square Sans Pro"/>
        </w:rPr>
        <w:footnoteReference w:id="11"/>
      </w:r>
      <w:r w:rsidRPr="001C6F95">
        <w:rPr>
          <w:rFonts w:eastAsia="EC Square Sans Pro" w:cs="EC Square Sans Pro"/>
        </w:rPr>
        <w:t xml:space="preserve"> on the availability of infrastructure required to decarbonise (e.g. H2</w:t>
      </w:r>
      <w:r w:rsidRPr="001C6F95">
        <w:rPr>
          <w:rFonts w:ascii="Calibri" w:eastAsia="EC Square Sans Pro" w:hAnsi="Calibri" w:cs="Calibri"/>
        </w:rPr>
        <w:t> </w:t>
      </w:r>
      <w:r w:rsidRPr="001C6F95">
        <w:rPr>
          <w:rFonts w:eastAsia="EC Square Sans Pro" w:cs="EC Square Sans Pro"/>
        </w:rPr>
        <w:t>pipelines). The availability of this infrastructure could be largely influenced by factors such as public finance support. In turn, the capacity of the public sector to achieve its climate ambition will be directly affected by the private sector, and the confidence to adopt more ambitious climate policies will increase in line with the private sector’s commitments. Inconsistent strategies could slow down the implementation of climate actions and increase the risk of not delivering on commitments. The Clean Industrial Deal emphasises the need to accelerate the transition in energy-intensive industries, further highlighting the importance of coordinating public and private action.</w:t>
      </w:r>
    </w:p>
    <w:p w14:paraId="12998FDC" w14:textId="77777777" w:rsidR="000C0D8F" w:rsidRPr="001C6F95" w:rsidRDefault="000C0D8F" w:rsidP="000C0D8F">
      <w:pPr>
        <w:textAlignment w:val="baseline"/>
        <w:rPr>
          <w:rFonts w:eastAsia="EC Square Sans Pro" w:cs="EC Square Sans Pro"/>
          <w:b/>
        </w:rPr>
      </w:pPr>
      <w:r w:rsidRPr="001C6F95">
        <w:rPr>
          <w:rFonts w:eastAsia="EC Square Sans Pro" w:cs="EC Square Sans Pro"/>
          <w:b/>
        </w:rPr>
        <w:t>Opportunity 3.5: Capitalising on transition plans to coordinate policy and private action, ensuring an efficient transition.</w:t>
      </w:r>
    </w:p>
    <w:p w14:paraId="2830AC1C" w14:textId="77777777" w:rsidR="000C0D8F" w:rsidRPr="001C6F95" w:rsidRDefault="000C0D8F" w:rsidP="000C0D8F">
      <w:pPr>
        <w:textAlignment w:val="baseline"/>
        <w:rPr>
          <w:rFonts w:eastAsia="EC Square Sans Pro" w:cs="EC Square Sans Pro"/>
        </w:rPr>
      </w:pPr>
      <w:r w:rsidRPr="001C6F95">
        <w:rPr>
          <w:rFonts w:eastAsia="EC Square Sans Pro" w:cs="EC Square Sans Pro"/>
        </w:rPr>
        <w:t>The data reported in transition plans and understanding the dependencies between companies’ transition plans and public policy on climate change, such as NDCs, NECPs and regional policies, presents an opportunity for achieving a coordinated transition. Leveraging the finance needed to transition and increase the competitiveness of the EU economy will require coordination between policymaking and private finance, and a common definition of transition plan credibility. This is also important when considering how the EU budget can support the transition of the real economy. Credible transition plans, containing asset-level information where relevant, may help to identify where opportunities exist (e.g., regional innovation hubs and clusters, expenditure gaps in network infrastructure where private investment can be crowded in) and where companies need most support to avoid the stranding of assets that are not able to transition. Analysing the dependencies between public decarbonisation strategies and the private sector transition plans may provide insights on transition risk (geographical dependencies at EU, Member States or regional scale), on areas to prioritise and potential for collaboration on infrastructure development (e.g., CO2 pipelines), or on how to manage competition for a scarce resource in the transition (e.g., biomass). Such analysis could support informed and iterative dialogues between policymakers and companies as part of designing industrial competitiveness and climate policy.</w:t>
      </w:r>
    </w:p>
    <w:p w14:paraId="27F2056E" w14:textId="77777777" w:rsidR="0024296F" w:rsidRPr="001C6F95" w:rsidRDefault="0024296F" w:rsidP="0024296F">
      <w:pPr>
        <w:rPr>
          <w:lang w:eastAsia="en-US"/>
        </w:rPr>
      </w:pPr>
    </w:p>
    <w:p w14:paraId="2967FDF9" w14:textId="2DD5608C" w:rsidR="00D1521C" w:rsidRPr="001C6F95" w:rsidRDefault="00D1521C" w:rsidP="00C327D3">
      <w:pPr>
        <w:pStyle w:val="JRCLevel-2title"/>
        <w:numPr>
          <w:ilvl w:val="1"/>
          <w:numId w:val="22"/>
        </w:numPr>
        <w:jc w:val="left"/>
      </w:pPr>
      <w:bookmarkStart w:id="15" w:name="_Toc179798304"/>
      <w:bookmarkStart w:id="16" w:name="_Toc193115014"/>
      <w:bookmarkEnd w:id="12"/>
      <w:bookmarkEnd w:id="13"/>
      <w:r w:rsidRPr="001C6F95">
        <w:t xml:space="preserve">Fostering sustainable investments </w:t>
      </w:r>
      <w:bookmarkEnd w:id="15"/>
      <w:r w:rsidRPr="001C6F95">
        <w:t>through the next MFF</w:t>
      </w:r>
      <w:bookmarkEnd w:id="16"/>
      <w:r w:rsidRPr="001C6F95">
        <w:t xml:space="preserve"> </w:t>
      </w:r>
    </w:p>
    <w:p w14:paraId="789790F1" w14:textId="77777777" w:rsidR="005C1A6F" w:rsidRPr="001C6F95" w:rsidRDefault="005C1A6F" w:rsidP="005C1A6F">
      <w:pPr>
        <w:spacing w:before="60" w:after="60"/>
      </w:pPr>
      <w:r w:rsidRPr="001C6F95">
        <w:t xml:space="preserve">In the current 2021-2027 Multiannual Financial Framework (MFF), multiple EU funding programmes have integrated climate and, in some cases also environmental, spending targets. This has permitted to mobilise significant amounts of EU expenditure towards the green transition. </w:t>
      </w:r>
    </w:p>
    <w:p w14:paraId="69A0782A" w14:textId="13980826" w:rsidR="005C1A6F" w:rsidRPr="001C6F95" w:rsidRDefault="005C1A6F" w:rsidP="005C1A6F">
      <w:pPr>
        <w:spacing w:before="60" w:after="60"/>
        <w:rPr>
          <w:i/>
          <w:color w:val="FF0000"/>
        </w:rPr>
      </w:pPr>
      <w:r w:rsidRPr="001C6F95">
        <w:t xml:space="preserve">Though not sufficient on its own, climate and environmental mainstreaming in the EU budget is still necessary to contribute to mobilise the high volume of investments needed to achieve EU green transition objectives. This needs now to be integrated within the new priorities for the EU budget, which aim to make it </w:t>
      </w:r>
      <w:r w:rsidRPr="001C6F95">
        <w:rPr>
          <w:b/>
          <w:bCs/>
        </w:rPr>
        <w:t>more focused, more impactful and simpler</w:t>
      </w:r>
      <w:r w:rsidR="00DF2271">
        <w:rPr>
          <w:b/>
          <w:bCs/>
        </w:rPr>
        <w:t xml:space="preserve"> </w:t>
      </w:r>
      <w:r w:rsidRPr="001C6F95">
        <w:rPr>
          <w:rStyle w:val="FootnoteReference"/>
        </w:rPr>
        <w:footnoteReference w:id="12"/>
      </w:r>
      <w:r w:rsidRPr="001C6F95">
        <w:t xml:space="preserve">. </w:t>
      </w:r>
    </w:p>
    <w:p w14:paraId="4C2EE4F5" w14:textId="77777777" w:rsidR="005C1A6F" w:rsidRPr="001C6F95" w:rsidRDefault="005C1A6F" w:rsidP="005C1A6F">
      <w:pPr>
        <w:spacing w:before="60" w:after="60"/>
      </w:pPr>
      <w:r w:rsidRPr="001C6F95">
        <w:t xml:space="preserve">Ensuring a more </w:t>
      </w:r>
      <w:r w:rsidRPr="001C6F95">
        <w:rPr>
          <w:b/>
        </w:rPr>
        <w:t>focused and impactful budget</w:t>
      </w:r>
      <w:r w:rsidRPr="001C6F95">
        <w:t xml:space="preserve"> in the area of ‘green mainstreaming’ is linked to questions on how to maximise the synergies between the green transition and other policy priorities (e.g. competitiveness, social aspects), where EU funds add highest value with respect to private or national funding or what financing strategy (e.g. direct financial support, de-risking private investments) is better suited to address the investment needs under each climate and environmental (sub)objective. </w:t>
      </w:r>
    </w:p>
    <w:p w14:paraId="3E1274F4" w14:textId="77777777" w:rsidR="005C1A6F" w:rsidRPr="001C6F95" w:rsidRDefault="005C1A6F" w:rsidP="005C1A6F">
      <w:pPr>
        <w:spacing w:before="60" w:after="60"/>
      </w:pPr>
      <w:r w:rsidRPr="001C6F95">
        <w:t>However, defining appropriate answers to these questions is in many cases hindered by the lack of existing data and information on the actual result or impact of the EU budget on climate and environmental objectives, as well as on granular analysis on the scale and nature of the sustainable investment needs (see Key Messages #4).</w:t>
      </w:r>
    </w:p>
    <w:p w14:paraId="651D8855" w14:textId="77777777" w:rsidR="005C1A6F" w:rsidRPr="001C6F95" w:rsidRDefault="005C1A6F" w:rsidP="005C1A6F">
      <w:pPr>
        <w:spacing w:before="60" w:after="60"/>
      </w:pPr>
      <w:r w:rsidRPr="001C6F95">
        <w:t>In this context, this section focuses on the need to improve methodologies that allow to monitor and assess the impact of the EU budget, in order to identify potential answers to these questions and better inform policy decisions (see Key Message #5).</w:t>
      </w:r>
    </w:p>
    <w:p w14:paraId="390420F6" w14:textId="77777777" w:rsidR="005C1A6F" w:rsidRPr="001C6F95" w:rsidRDefault="005C1A6F" w:rsidP="005C1A6F">
      <w:pPr>
        <w:spacing w:before="60" w:after="60"/>
      </w:pPr>
      <w:r w:rsidRPr="001C6F95">
        <w:t xml:space="preserve">At the same time, </w:t>
      </w:r>
      <w:r w:rsidRPr="001C6F95">
        <w:rPr>
          <w:b/>
        </w:rPr>
        <w:t>simplifying the budget requires decisions at multiple levels</w:t>
      </w:r>
      <w:r w:rsidRPr="001C6F95">
        <w:t xml:space="preserve">, from the design of the MFF to the specific investments supported and the requirements that are set. Within this broader context, this section focuses on potential strategies to harmonise and provide upfront clarity on environmental requirements in EU funds. The aim is to foster simplification and increase the predictability of funding decisions without undermining the contribution of the EU budget to achieve EU’s climate and environmental objectives (see Key Message #6). </w:t>
      </w:r>
    </w:p>
    <w:p w14:paraId="6E714F69" w14:textId="77777777" w:rsidR="005C1A6F" w:rsidRPr="001C6F95" w:rsidRDefault="005C1A6F" w:rsidP="005C1A6F">
      <w:pPr>
        <w:spacing w:before="60" w:after="60"/>
      </w:pPr>
      <w:r w:rsidRPr="001C6F95">
        <w:t xml:space="preserve">Finally, the text points out to the increasing importance that national budgets could play in the next MFF to move towards closing of the sustainable investment gap. This is for instance included in the political guidelines for the 2024-2029 Commission, which highlights the important role of public procurement to create lead markets in clean and strategic technologies. As such, the </w:t>
      </w:r>
      <w:r w:rsidRPr="00905227">
        <w:rPr>
          <w:u w:val="single"/>
        </w:rPr>
        <w:t>document</w:t>
      </w:r>
      <w:r w:rsidRPr="001C6F95">
        <w:t xml:space="preserve"> focuses on the existing opportunity to harmonise and simplify the landscape of ‘green transition tools’ that Member States can apply to identify, monitor and ultimately foster sustainable investments (see Key Message #7).</w:t>
      </w:r>
    </w:p>
    <w:p w14:paraId="0C006B61" w14:textId="77777777" w:rsidR="005C1A6F" w:rsidRPr="001C6F95" w:rsidRDefault="005C1A6F" w:rsidP="005C1A6F">
      <w:pPr>
        <w:spacing w:before="60" w:after="60"/>
        <w:rPr>
          <w:b/>
          <w:bCs/>
          <w:iCs/>
        </w:rPr>
      </w:pPr>
    </w:p>
    <w:p w14:paraId="07242203" w14:textId="77777777" w:rsidR="005C1A6F" w:rsidRPr="001C6F95" w:rsidRDefault="005C1A6F" w:rsidP="005C1A6F">
      <w:pPr>
        <w:keepNext/>
        <w:spacing w:before="60" w:after="60"/>
        <w:rPr>
          <w:bCs/>
          <w:iCs/>
        </w:rPr>
      </w:pPr>
      <w:r w:rsidRPr="001C6F95">
        <w:rPr>
          <w:b/>
          <w:bCs/>
          <w:iCs/>
        </w:rPr>
        <w:t>Key Message #</w:t>
      </w:r>
      <w:r w:rsidRPr="001C6F95">
        <w:rPr>
          <w:b/>
          <w:bCs/>
        </w:rPr>
        <w:t>4</w:t>
      </w:r>
      <w:r w:rsidRPr="001C6F95">
        <w:rPr>
          <w:b/>
          <w:bCs/>
          <w:iCs/>
        </w:rPr>
        <w:t xml:space="preserve">. There is no ‘one-size-fits-all’ green </w:t>
      </w:r>
      <w:r w:rsidRPr="001C6F95">
        <w:rPr>
          <w:b/>
          <w:bCs/>
        </w:rPr>
        <w:t xml:space="preserve">and transition </w:t>
      </w:r>
      <w:r w:rsidRPr="001C6F95">
        <w:rPr>
          <w:b/>
          <w:bCs/>
          <w:iCs/>
        </w:rPr>
        <w:t xml:space="preserve">finance strategy: closing the investment needs and </w:t>
      </w:r>
      <w:r w:rsidRPr="001C6F95">
        <w:rPr>
          <w:b/>
          <w:bCs/>
        </w:rPr>
        <w:t>fostering</w:t>
      </w:r>
      <w:r w:rsidRPr="001C6F95">
        <w:rPr>
          <w:b/>
          <w:bCs/>
          <w:iCs/>
        </w:rPr>
        <w:t xml:space="preserve"> EU sustainable competitiveness requires targeted strategies for different environmental objectives and </w:t>
      </w:r>
      <w:r w:rsidRPr="001C6F95">
        <w:rPr>
          <w:b/>
          <w:bCs/>
        </w:rPr>
        <w:t xml:space="preserve">policy </w:t>
      </w:r>
      <w:r w:rsidRPr="001C6F95">
        <w:rPr>
          <w:b/>
          <w:bCs/>
          <w:iCs/>
        </w:rPr>
        <w:t>sectors.</w:t>
      </w:r>
      <w:r w:rsidRPr="001C6F95">
        <w:rPr>
          <w:bCs/>
          <w:iCs/>
        </w:rPr>
        <w:t xml:space="preserve"> </w:t>
      </w:r>
    </w:p>
    <w:p w14:paraId="1039824B" w14:textId="77777777" w:rsidR="005C1A6F" w:rsidRPr="001C6F95" w:rsidRDefault="005C1A6F" w:rsidP="005C1A6F">
      <w:pPr>
        <w:spacing w:before="60" w:after="60"/>
      </w:pPr>
      <w:r w:rsidRPr="001C6F95">
        <w:t xml:space="preserve">Climate and environmental objectives coexist with other strategic objectives (e.g. social, industrial, economic security) embedded in the EU budget and in the different EU funds into which these targets are mainstreamed. Whilst in some cases synergies exist, climate/environmental objectives (see Chapter 2) and other strategic objectives can compete or lead to trade-offs between them. In this context, how to foster win-win situations and minimise trade-offs between objectives is a key question that needs to be further explored. </w:t>
      </w:r>
    </w:p>
    <w:p w14:paraId="09482960" w14:textId="77777777" w:rsidR="005C1A6F" w:rsidRPr="001C6F95" w:rsidRDefault="005C1A6F" w:rsidP="005C1A6F">
      <w:pPr>
        <w:spacing w:before="60" w:after="60"/>
        <w:rPr>
          <w:b/>
          <w:bCs/>
        </w:rPr>
      </w:pPr>
    </w:p>
    <w:p w14:paraId="30680F35" w14:textId="77777777" w:rsidR="005C1A6F" w:rsidRPr="001C6F95" w:rsidRDefault="005C1A6F" w:rsidP="005C1A6F">
      <w:pPr>
        <w:spacing w:before="60" w:after="60"/>
        <w:rPr>
          <w:b/>
          <w:bCs/>
        </w:rPr>
      </w:pPr>
      <w:r w:rsidRPr="001C6F95">
        <w:rPr>
          <w:b/>
          <w:bCs/>
        </w:rPr>
        <w:t xml:space="preserve">Opportunity 4.1: Developing more granular analysis at the (sub) objective/sector level to define targeted support strategies for the green transition. </w:t>
      </w:r>
    </w:p>
    <w:p w14:paraId="231C3B19" w14:textId="77777777" w:rsidR="005C1A6F" w:rsidRPr="001C6F95" w:rsidRDefault="005C1A6F" w:rsidP="005C1A6F">
      <w:pPr>
        <w:spacing w:before="60" w:after="60"/>
      </w:pPr>
      <w:r w:rsidRPr="001C6F95">
        <w:t xml:space="preserve">There is not a clear, single solution on how to maximise the impact of EU funding for the green transition. Each one of the green transition objectives and sub-objectives have specific characteristics, such as the actors involved (MS, local authorities, private investors…), the market failures that need to be addressed, the profitability of the investments or who bears the cost of inaction, among many others. </w:t>
      </w:r>
    </w:p>
    <w:p w14:paraId="0D13F591" w14:textId="77777777" w:rsidR="005C1A6F" w:rsidRPr="001C6F95" w:rsidRDefault="005C1A6F" w:rsidP="005C1A6F">
      <w:pPr>
        <w:spacing w:before="60" w:after="60"/>
      </w:pPr>
      <w:r w:rsidRPr="001C6F95">
        <w:t xml:space="preserve">As an example, decarbonising industry may require establishing targeted instruments to de-risk (e.g., through blended finance) specific investments by the private sector. However, fostering climate resilience through adaptation can require a more prominent role of public support, which may include setting stronger financial incentives for private actors or strengthening climate change adaptation requirements across different funds (see </w:t>
      </w:r>
      <w:r w:rsidRPr="001C6F95">
        <w:rPr>
          <w:highlight w:val="yellow"/>
        </w:rPr>
        <w:t>box</w:t>
      </w:r>
      <w:r w:rsidRPr="001C6F95" w:rsidDel="005A2DBC">
        <w:rPr>
          <w:highlight w:val="yellow"/>
        </w:rPr>
        <w:t xml:space="preserve"> </w:t>
      </w:r>
      <w:r w:rsidRPr="001C6F95">
        <w:rPr>
          <w:highlight w:val="yellow"/>
        </w:rPr>
        <w:t xml:space="preserve">X </w:t>
      </w:r>
      <w:r w:rsidRPr="001C6F95">
        <w:t xml:space="preserve">below). </w:t>
      </w:r>
    </w:p>
    <w:p w14:paraId="51C07A17" w14:textId="77777777" w:rsidR="005C1A6F" w:rsidRPr="001C6F95" w:rsidRDefault="005C1A6F" w:rsidP="005C1A6F">
      <w:pPr>
        <w:spacing w:before="60" w:after="60"/>
      </w:pPr>
      <w:r w:rsidRPr="001C6F95">
        <w:t xml:space="preserve">In this context, a more granular analysis of the sustainable investment needs and gaps is needed to better inform decisions on the best approaches that maximise the added value of EU money for different climate or environmental (sub) objectives. These analyses could focus on key sectors of high relevance and would require targeted approaches to collect and analyse the information (see for instance Opportunity #3.4 above on the possibility to use the information arising from corporate transition plans to help better identify investment needs from a climate change mitigation perspective for high priority sectors, such as energy-intensive industries). </w:t>
      </w:r>
    </w:p>
    <w:p w14:paraId="6018A9F5" w14:textId="77777777" w:rsidR="005C1A6F" w:rsidRPr="001C6F95" w:rsidRDefault="005C1A6F" w:rsidP="005C1A6F">
      <w:pPr>
        <w:spacing w:before="60" w:after="60"/>
        <w:rPr>
          <w:bCs/>
          <w:iCs/>
        </w:rPr>
      </w:pPr>
      <w:r w:rsidRPr="001C6F95">
        <w:t xml:space="preserve">Furthermore, these analyses can also help to better understand, at sectoral level, the interrelationships between the green transition and other key policy priorities, particularly the fostering of EU sustainable competitiveness, helping to </w:t>
      </w:r>
      <w:r w:rsidRPr="001C6F95">
        <w:rPr>
          <w:bCs/>
          <w:iCs/>
        </w:rPr>
        <w:t xml:space="preserve">identify options to maximise win-win situations and minimise trade-offs when using EU funds to pursue these priorities.  </w:t>
      </w:r>
    </w:p>
    <w:p w14:paraId="2D3D0189" w14:textId="77777777" w:rsidR="005C1A6F" w:rsidRPr="001C6F95" w:rsidRDefault="005C1A6F" w:rsidP="005C1A6F">
      <w:pPr>
        <w:spacing w:before="60" w:after="60"/>
      </w:pPr>
      <w:r w:rsidRPr="001C6F95">
        <w:t xml:space="preserve"> </w:t>
      </w:r>
    </w:p>
    <w:p w14:paraId="18709CF8" w14:textId="77777777" w:rsidR="005C1A6F" w:rsidRPr="001C6F95" w:rsidRDefault="005C1A6F" w:rsidP="005C1A6F">
      <w:pPr>
        <w:spacing w:before="60" w:after="60"/>
        <w:rPr>
          <w:bCs/>
          <w:iCs/>
        </w:rPr>
      </w:pPr>
    </w:p>
    <w:p w14:paraId="3342926A" w14:textId="77777777" w:rsidR="005C1A6F" w:rsidRPr="001C6F95" w:rsidRDefault="005C1A6F" w:rsidP="005C1A6F">
      <w:pPr>
        <w:pBdr>
          <w:top w:val="single" w:sz="4" w:space="1" w:color="auto"/>
          <w:left w:val="single" w:sz="4" w:space="4" w:color="auto"/>
          <w:bottom w:val="single" w:sz="4" w:space="1" w:color="auto"/>
          <w:right w:val="single" w:sz="4" w:space="4" w:color="auto"/>
        </w:pBdr>
        <w:rPr>
          <w:b/>
          <w:bCs/>
        </w:rPr>
      </w:pPr>
      <w:r w:rsidRPr="001C6F95">
        <w:rPr>
          <w:b/>
          <w:bCs/>
        </w:rPr>
        <w:t>Box</w:t>
      </w:r>
      <w:r w:rsidRPr="001C6F95" w:rsidDel="00E07B0D">
        <w:rPr>
          <w:b/>
          <w:bCs/>
        </w:rPr>
        <w:t xml:space="preserve"> </w:t>
      </w:r>
      <w:r w:rsidRPr="001C6F95">
        <w:rPr>
          <w:b/>
          <w:bCs/>
        </w:rPr>
        <w:t xml:space="preserve">X - The role of public funding to address investment needs on Climate Change Adaptation </w:t>
      </w:r>
    </w:p>
    <w:p w14:paraId="1BF7A874" w14:textId="7276FFBA" w:rsidR="005C1A6F" w:rsidRPr="001C6F95" w:rsidRDefault="005C1A6F" w:rsidP="005C1A6F">
      <w:pPr>
        <w:pBdr>
          <w:top w:val="single" w:sz="4" w:space="1" w:color="auto"/>
          <w:left w:val="single" w:sz="4" w:space="4" w:color="auto"/>
          <w:bottom w:val="single" w:sz="4" w:space="1" w:color="auto"/>
          <w:right w:val="single" w:sz="4" w:space="4" w:color="auto"/>
        </w:pBdr>
      </w:pPr>
      <w:r w:rsidRPr="001C6F95">
        <w:t xml:space="preserve">Adaptation projects display positive externalities in the sense of positive benefits for society as a whole. However, the volume of financial flows towards these projects is significantly lower than those targeting climate change mitigation. </w:t>
      </w:r>
      <w:r w:rsidRPr="001C6F95">
        <w:rPr>
          <w:i/>
          <w:iCs/>
        </w:rPr>
        <w:t>Climate Policy Initiative</w:t>
      </w:r>
      <w:r w:rsidR="00B577A5">
        <w:rPr>
          <w:i/>
          <w:iCs/>
        </w:rPr>
        <w:t xml:space="preserve"> </w:t>
      </w:r>
      <w:r w:rsidR="00422AA5" w:rsidRPr="001C6F95">
        <w:rPr>
          <w:color w:val="2B579A"/>
        </w:rPr>
        <w:fldChar w:fldCharType="begin" w:fldLock="1"/>
      </w:r>
      <w:r w:rsidR="001F217C">
        <w:instrText xml:space="preserve"> ADDIN ZOTERO_ITEM CSL_CITATION {"citationID":"pBO1Vnp1","properties":{"formattedCitation":"[47]","plainCitation":"[47]","noteIndex":0},"citationItems":[{"id":"H86w6Ooz/787qwIjg","uris":["http://www.mendeley.com/documents/?uuid=c0ce110b-ff76-441e-91f6-16bfebf85f70","http://www.mendeley.com/documents/?uuid=04922567-d403-4bd4-8a74-67c238f31067"],"itemData":{"author":[{"dropping-particle":"","family":"Stout","given":"Sean","non-dropping-particle":"","parse-names":false,"suffix":""}],"container-title":"Climate Policy Initiative","id":"ITEM-1","issued":{"date-parts":[["2022"]]},"title":"Unlocking Private Sector Adaptation Finance","type":"webpage"}}],"schema":"https://github.com/citation-style-language/schema/raw/master/csl-citation.json"} </w:instrText>
      </w:r>
      <w:r w:rsidR="00422AA5" w:rsidRPr="001C6F95">
        <w:rPr>
          <w:color w:val="2B579A"/>
        </w:rPr>
        <w:fldChar w:fldCharType="separate"/>
      </w:r>
      <w:r w:rsidR="007D0404" w:rsidRPr="007D0404">
        <w:t>[47]</w:t>
      </w:r>
      <w:r w:rsidR="00422AA5" w:rsidRPr="001C6F95">
        <w:rPr>
          <w:color w:val="2B579A"/>
        </w:rPr>
        <w:fldChar w:fldCharType="end"/>
      </w:r>
      <w:r w:rsidRPr="001C6F95">
        <w:t xml:space="preserve"> estimates that climate mitigation finance reached a yearly average of USD 1.15 trillion (ca. € 1.03 trillion) in 2021/2022, out of the USD 1.27 trillion (ca. € 1.14 trillion) in global climate finance for the same period </w:t>
      </w:r>
      <w:r w:rsidRPr="001C6F95">
        <w:rPr>
          <w:color w:val="2B579A"/>
        </w:rPr>
        <w:fldChar w:fldCharType="begin" w:fldLock="1"/>
      </w:r>
      <w:r w:rsidR="001F217C">
        <w:instrText xml:space="preserve"> ADDIN ZOTERO_ITEM CSL_CITATION {"citationID":"xAhAtJLs","properties":{"formattedCitation":"[48]","plainCitation":"[48]","noteIndex":0},"citationItems":[{"id":"H86w6Ooz/TMOpMDrQ","uris":["http://www.mendeley.com/documents/?uuid=eb4cc86d-14af-4d0e-a38e-840a923b8bca","http://www.mendeley.com/documents/?uuid=db86a5b1-df56-4955-98e2-badbe0bfd45d"],"itemData":{"DOI":"10.1201/9781003396949-21","abstract":"Climate Policy Initiative (CPI) works to improve the most important energy and land use policies around the world, with a particular focus on fi nance. We support decision makers through in-depth analysis on what works and what does not. CPI works in places that provide the most potential for policy impact including Brazil, China, Europe, India, Indonesia, and the United States.","author":[{"dropping-particle":"","family":"Buchner","given":"Barbara","non-dropping-particle":"","parse-names":false,"suffix":""},{"dropping-particle":"","family":"Baysa","given":"Naran","non-dropping-particle":"","parse-names":false,"suffix":""},{"dropping-particle":"","family":"Padmanabhi","given":"Rajashree","non-dropping-particle":"","parse-names":false,"suffix":""},{"dropping-particle":"","family":"Stout","given":"Sean","non-dropping-particle":"","parse-names":false,"suffix":""},{"dropping-particle":"","family":"Strinati","given":"Costanza","non-dropping-particle":"","parse-names":false,"suffix":""},{"dropping-particle":"","family":"Wignarajah","given":"Dharshan","non-dropping-particle":"","parse-names":false,"suffix":""},{"dropping-particle":"","family":"Miao,","given":"Gaoyi","non-dropping-particle":"","parse-names":false,"suffix":""},{"dropping-particle":"","family":"Jake","given":"Connolly","non-dropping-particle":"","parse-names":false,"suffix":""},{"dropping-particle":"","family":"Marini","given":"Nikita","non-dropping-particle":"","parse-names":false,"suffix":""}],"id":"ITEM-1","issue":"November","issued":{"date-parts":[["2023"]]},"number-of-pages":"167-171","title":"Global landscape of climate finance","type":"report"}}],"schema":"https://github.com/citation-style-language/schema/raw/master/csl-citation.json"} </w:instrText>
      </w:r>
      <w:r w:rsidRPr="001C6F95">
        <w:rPr>
          <w:color w:val="2B579A"/>
        </w:rPr>
        <w:fldChar w:fldCharType="separate"/>
      </w:r>
      <w:r w:rsidR="007D0404" w:rsidRPr="007D0404">
        <w:t>[48]</w:t>
      </w:r>
      <w:r w:rsidRPr="001C6F95">
        <w:rPr>
          <w:color w:val="2B579A"/>
        </w:rPr>
        <w:fldChar w:fldCharType="end"/>
      </w:r>
      <w:r w:rsidRPr="001C6F95">
        <w:t>. In comparison, finance to climate change adaptation amounted to only USD 63 billion (ca.</w:t>
      </w:r>
      <w:r w:rsidRPr="001C6F95">
        <w:rPr>
          <w:rFonts w:ascii="Calibri" w:hAnsi="Calibri" w:cs="Calibri"/>
        </w:rPr>
        <w:t> </w:t>
      </w:r>
      <w:r w:rsidRPr="001C6F95">
        <w:t>€</w:t>
      </w:r>
      <w:r w:rsidRPr="001C6F95">
        <w:rPr>
          <w:rFonts w:ascii="Calibri" w:hAnsi="Calibri" w:cs="Calibri"/>
        </w:rPr>
        <w:t> </w:t>
      </w:r>
      <w:r w:rsidRPr="001C6F95">
        <w:t xml:space="preserve">56.6 billion), one order of magnitude lower than the volume of finance raised by fossil fuel industries worldwide (ca. € 600 billion in 2023). </w:t>
      </w:r>
    </w:p>
    <w:p w14:paraId="0706299C" w14:textId="0578681E" w:rsidR="005C1A6F" w:rsidRPr="001C6F95" w:rsidRDefault="005C1A6F" w:rsidP="005C1A6F">
      <w:pPr>
        <w:pBdr>
          <w:top w:val="single" w:sz="4" w:space="1" w:color="auto"/>
          <w:left w:val="single" w:sz="4" w:space="4" w:color="auto"/>
          <w:bottom w:val="single" w:sz="4" w:space="1" w:color="auto"/>
          <w:right w:val="single" w:sz="4" w:space="4" w:color="auto"/>
        </w:pBdr>
      </w:pPr>
      <w:r w:rsidRPr="001C6F95">
        <w:t xml:space="preserve">Furthermore, adaptation finance is characterised by the predominance of public flows, which represent 98% of the total adaptation expenditure in 2021/2022 </w:t>
      </w:r>
      <w:r w:rsidRPr="001C6F95">
        <w:rPr>
          <w:color w:val="2B579A"/>
          <w:shd w:val="clear" w:color="auto" w:fill="E6E6E6"/>
        </w:rPr>
        <w:fldChar w:fldCharType="begin" w:fldLock="1"/>
      </w:r>
      <w:r w:rsidR="001F217C">
        <w:instrText xml:space="preserve"> ADDIN ZOTERO_ITEM CSL_CITATION {"citationID":"40LnKQKE","properties":{"formattedCitation":"[48]","plainCitation":"[48]","noteIndex":0},"citationItems":[{"id":"H86w6Ooz/TMOpMDrQ","uris":["http://www.mendeley.com/documents/?uuid=db86a5b1-df56-4955-98e2-badbe0bfd45d","http://www.mendeley.com/documents/?uuid=eb4cc86d-14af-4d0e-a38e-840a923b8bca"],"itemData":{"DOI":"10.1201/9781003396949-21","abstract":"Climate Policy Initiative (CPI) works to improve the most important energy and land use policies around the world, with a particular focus on fi nance. We support decision makers through in-depth analysis on what works and what does not. CPI works in places that provide the most potential for policy impact including Brazil, China, Europe, India, Indonesia, and the United States.","author":[{"dropping-particle":"","family":"Buchner","given":"Barbara","non-dropping-particle":"","parse-names":false,"suffix":""},{"dropping-particle":"","family":"Baysa","given":"Naran","non-dropping-particle":"","parse-names":false,"suffix":""},{"dropping-particle":"","family":"Padmanabhi","given":"Rajashree","non-dropping-particle":"","parse-names":false,"suffix":""},{"dropping-particle":"","family":"Stout","given":"Sean","non-dropping-particle":"","parse-names":false,"suffix":""},{"dropping-particle":"","family":"Strinati","given":"Costanza","non-dropping-particle":"","parse-names":false,"suffix":""},{"dropping-particle":"","family":"Wignarajah","given":"Dharshan","non-dropping-particle":"","parse-names":false,"suffix":""},{"dropping-particle":"","family":"Miao,","given":"Gaoyi","non-dropping-particle":"","parse-names":false,"suffix":""},{"dropping-particle":"","family":"Jake","given":"Connolly","non-dropping-particle":"","parse-names":false,"suffix":""},{"dropping-particle":"","family":"Marini","given":"Nikita","non-dropping-particle":"","parse-names":false,"suffix":""}],"id":"ITEM-1","issue":"November","issued":{"date-parts":[["2023"]]},"number-of-pages":"167-171","title":"Global landscape of climate finance","type":"report"}}],"schema":"https://github.com/citation-style-language/schema/raw/master/csl-citation.json"} </w:instrText>
      </w:r>
      <w:r w:rsidRPr="001C6F95">
        <w:rPr>
          <w:color w:val="2B579A"/>
          <w:shd w:val="clear" w:color="auto" w:fill="E6E6E6"/>
        </w:rPr>
        <w:fldChar w:fldCharType="separate"/>
      </w:r>
      <w:r w:rsidR="007D0404" w:rsidRPr="007D0404">
        <w:t>[48]</w:t>
      </w:r>
      <w:r w:rsidRPr="001C6F95">
        <w:rPr>
          <w:color w:val="2B579A"/>
          <w:shd w:val="clear" w:color="auto" w:fill="E6E6E6"/>
        </w:rPr>
        <w:fldChar w:fldCharType="end"/>
      </w:r>
      <w:r w:rsidRPr="001C6F95">
        <w:t xml:space="preserve">. This can be explained by different factors, such as the fact that the environmental and social benefits provided by adaptation projects are not fully captured in the rates of return for the investment and, hence, generate unfavourable risk-return profiles for investors </w:t>
      </w:r>
      <w:r w:rsidRPr="001C6F95">
        <w:rPr>
          <w:color w:val="2B579A"/>
        </w:rPr>
        <w:fldChar w:fldCharType="begin" w:fldLock="1"/>
      </w:r>
      <w:r w:rsidR="001F217C">
        <w:instrText xml:space="preserve"> ADDIN ZOTERO_ITEM CSL_CITATION {"citationID":"v7CeoLKQ","properties":{"formattedCitation":"[47]","plainCitation":"[47]","noteIndex":0},"citationItems":[{"id":"H86w6Ooz/787qwIjg","uris":["http://www.mendeley.com/documents/?uuid=c0ce110b-ff76-441e-91f6-16bfebf85f70","http://www.mendeley.com/documents/?uuid=04922567-d403-4bd4-8a74-67c238f31067"],"itemData":{"author":[{"dropping-particle":"","family":"Stout","given":"Sean","non-dropping-particle":"","parse-names":false,"suffix":""}],"container-title":"Climate Policy Initiative","id":"ITEM-1","issued":{"date-parts":[["2022"]]},"title":"Unlocking Private Sector Adaptation Finance","type":"webpage"}}],"schema":"https://github.com/citation-style-language/schema/raw/master/csl-citation.json"} </w:instrText>
      </w:r>
      <w:r w:rsidRPr="001C6F95">
        <w:rPr>
          <w:color w:val="2B579A"/>
        </w:rPr>
        <w:fldChar w:fldCharType="separate"/>
      </w:r>
      <w:r w:rsidR="007D0404" w:rsidRPr="007D0404">
        <w:t>[47]</w:t>
      </w:r>
      <w:r w:rsidRPr="001C6F95">
        <w:rPr>
          <w:color w:val="2B579A"/>
        </w:rPr>
        <w:fldChar w:fldCharType="end"/>
      </w:r>
      <w:r w:rsidRPr="001C6F95">
        <w:t xml:space="preserve">. </w:t>
      </w:r>
    </w:p>
    <w:p w14:paraId="1B7A096E" w14:textId="77777777" w:rsidR="003B3D2C" w:rsidRPr="001C6F95" w:rsidRDefault="005C1A6F" w:rsidP="003B3D2C">
      <w:pPr>
        <w:pBdr>
          <w:top w:val="single" w:sz="4" w:space="1" w:color="auto"/>
          <w:left w:val="single" w:sz="4" w:space="4" w:color="auto"/>
          <w:bottom w:val="single" w:sz="4" w:space="1" w:color="auto"/>
          <w:right w:val="single" w:sz="4" w:space="4" w:color="auto"/>
        </w:pBdr>
      </w:pPr>
      <w:r w:rsidRPr="001C6F95">
        <w:t xml:space="preserve">In this context, greater financial incentives for private actors to invest in adaptation, through tax breaks or benefits, risk guarantees, credit enhancement, grants and concessional loans, can help to compensate for the uncaptured externalities. As stated in the EEA </w:t>
      </w:r>
      <w:r w:rsidRPr="001C6F95">
        <w:rPr>
          <w:i/>
          <w:iCs/>
        </w:rPr>
        <w:t>European Climate Risk Assessment</w:t>
      </w:r>
      <w:r w:rsidRPr="001C6F95">
        <w:t>, Member States could design market incentives to foster private sector investment in climate adaptation, such as specific funding for SMEs or public procurement instruments.</w:t>
      </w:r>
      <w:r w:rsidR="003B3D2C" w:rsidRPr="001C6F95">
        <w:t xml:space="preserve"> </w:t>
      </w:r>
    </w:p>
    <w:p w14:paraId="7863A26E" w14:textId="27FB1542" w:rsidR="005C1A6F" w:rsidRPr="001C6F95" w:rsidRDefault="005C1A6F" w:rsidP="003B3D2C">
      <w:pPr>
        <w:pBdr>
          <w:top w:val="single" w:sz="4" w:space="1" w:color="auto"/>
          <w:left w:val="single" w:sz="4" w:space="4" w:color="auto"/>
          <w:bottom w:val="single" w:sz="4" w:space="1" w:color="auto"/>
          <w:right w:val="single" w:sz="4" w:space="4" w:color="auto"/>
        </w:pBdr>
      </w:pPr>
      <w:r w:rsidRPr="001C6F95">
        <w:t>In addition, private investors’ and adaptation projects’ horizons normally do not match (</w:t>
      </w:r>
      <w:r w:rsidRPr="001C6F95">
        <w:rPr>
          <w:color w:val="2B579A"/>
        </w:rPr>
        <w:fldChar w:fldCharType="begin" w:fldLock="1"/>
      </w:r>
      <w:r w:rsidR="001F217C">
        <w:instrText xml:space="preserve"> ADDIN ZOTERO_ITEM CSL_CITATION {"citationID":"A9PnX7G9","properties":{"formattedCitation":"[47]","plainCitation":"[47]","noteIndex":0},"citationItems":[{"id":"H86w6Ooz/787qwIjg","uris":["http://www.mendeley.com/documents/?uuid=c0ce110b-ff76-441e-91f6-16bfebf85f70","http://www.mendeley.com/documents/?uuid=04922567-d403-4bd4-8a74-67c238f31067"],"itemData":{"author":[{"dropping-particle":"","family":"Stout","given":"Sean","non-dropping-particle":"","parse-names":false,"suffix":""}],"container-title":"Climate Policy Initiative","id":"ITEM-1","issued":{"date-parts":[["2022"]]},"title":"Unlocking Private Sector Adaptation Finance","type":"webpage"}}],"schema":"https://github.com/citation-style-language/schema/raw/master/csl-citation.json"} </w:instrText>
      </w:r>
      <w:r w:rsidRPr="001C6F95">
        <w:rPr>
          <w:color w:val="2B579A"/>
        </w:rPr>
        <w:fldChar w:fldCharType="separate"/>
      </w:r>
      <w:r w:rsidR="007D0404" w:rsidRPr="007D0404">
        <w:t>[47]</w:t>
      </w:r>
      <w:r w:rsidRPr="001C6F95">
        <w:rPr>
          <w:color w:val="2B579A"/>
        </w:rPr>
        <w:fldChar w:fldCharType="end"/>
      </w:r>
      <w:r w:rsidRPr="001C6F95">
        <w:t>). While private actors operate in the short or medium term, adaptation projects can bring benefits only in the long term, conditional upon uncertain climate outcomes. Furthermore, adaptation investment is context- and location- specific, and so are its benefits.</w:t>
      </w:r>
    </w:p>
    <w:p w14:paraId="215B6022" w14:textId="576A19B2" w:rsidR="005C1A6F" w:rsidRPr="001C6F95" w:rsidRDefault="005C1A6F" w:rsidP="005C1A6F">
      <w:pPr>
        <w:pBdr>
          <w:top w:val="single" w:sz="4" w:space="1" w:color="auto"/>
          <w:left w:val="single" w:sz="4" w:space="4" w:color="auto"/>
          <w:bottom w:val="single" w:sz="4" w:space="1" w:color="auto"/>
          <w:right w:val="single" w:sz="4" w:space="4" w:color="auto"/>
        </w:pBdr>
        <w:rPr>
          <w:rFonts w:eastAsiaTheme="minorEastAsia"/>
        </w:rPr>
      </w:pPr>
      <w:r w:rsidRPr="001C6F95">
        <w:t>Long-term planning is also needed to identify and prioritise adaptation needs across sectors in a public- private dialogue</w:t>
      </w:r>
      <w:r w:rsidR="00BE3745">
        <w:t xml:space="preserve"> </w:t>
      </w:r>
      <w:r w:rsidRPr="001C6F95">
        <w:rPr>
          <w:vertAlign w:val="superscript"/>
        </w:rPr>
        <w:footnoteReference w:id="13"/>
      </w:r>
      <w:r w:rsidR="00EC0740">
        <w:t>.</w:t>
      </w:r>
      <w:r w:rsidRPr="001C6F95">
        <w:rPr>
          <w:vertAlign w:val="superscript"/>
        </w:rPr>
        <w:t xml:space="preserve"> </w:t>
      </w:r>
      <w:r w:rsidRPr="001C6F95">
        <w:rPr>
          <w:rFonts w:eastAsiaTheme="minorEastAsia"/>
        </w:rPr>
        <w:t>In this spirit, the new EU Strategy on Adaptation to Climate Change advocates for a close cooperation of local authorities between and within Member States in the definition of adaptation strategies and plans.</w:t>
      </w:r>
    </w:p>
    <w:p w14:paraId="4983A9BB" w14:textId="77777777" w:rsidR="005C1A6F" w:rsidRPr="001C6F95" w:rsidRDefault="005C1A6F" w:rsidP="005C1A6F">
      <w:pPr>
        <w:spacing w:before="60" w:after="60"/>
        <w:rPr>
          <w:bCs/>
          <w:iCs/>
        </w:rPr>
      </w:pPr>
    </w:p>
    <w:p w14:paraId="5B13394F" w14:textId="77777777" w:rsidR="005C1A6F" w:rsidRPr="001C6F95" w:rsidRDefault="005C1A6F" w:rsidP="005C1A6F">
      <w:pPr>
        <w:keepNext/>
        <w:spacing w:before="60" w:after="60"/>
        <w:rPr>
          <w:b/>
          <w:bCs/>
        </w:rPr>
      </w:pPr>
      <w:r w:rsidRPr="001C6F95">
        <w:rPr>
          <w:b/>
          <w:bCs/>
        </w:rPr>
        <w:t xml:space="preserve">Key Message #5: Efforts to make the EU budget more impactful also require solid methodologies to monitor where EU money flows and what is achieved with it.  </w:t>
      </w:r>
    </w:p>
    <w:p w14:paraId="0B8A6564" w14:textId="7BB5F666" w:rsidR="005C1A6F" w:rsidRPr="001C6F95" w:rsidRDefault="005C1A6F" w:rsidP="005C1A6F">
      <w:pPr>
        <w:spacing w:before="60" w:after="60"/>
      </w:pPr>
      <w:r w:rsidRPr="001C6F95">
        <w:t>The European Commission has already set tracking methodologies to monitor progress towards the achievement of the climate and environmental mainstreaming targets defined for the EU budget, which currently include: a) the ‘climate tracking methodology’, monitoring expenditure contributing to climate objectives; b) the ‘biodiversity tracking methodology’, monitoring expenditures on biodiversity action; and c) the ‘clean air tracking methodology’, monitoring progress in the Member States’ uptake of EU funds for clean air objective</w:t>
      </w:r>
      <w:r w:rsidR="00EC0740">
        <w:t xml:space="preserve"> </w:t>
      </w:r>
      <w:r w:rsidRPr="001C6F95">
        <w:rPr>
          <w:rStyle w:val="FootnoteReference"/>
        </w:rPr>
        <w:footnoteReference w:id="14"/>
      </w:r>
      <w:r w:rsidRPr="001C6F95">
        <w:t xml:space="preserve">. </w:t>
      </w:r>
    </w:p>
    <w:p w14:paraId="57607110" w14:textId="77777777" w:rsidR="005C1A6F" w:rsidRPr="001C6F95" w:rsidRDefault="005C1A6F" w:rsidP="005C1A6F">
      <w:pPr>
        <w:spacing w:before="60" w:after="60"/>
      </w:pPr>
      <w:r w:rsidRPr="001C6F95">
        <w:t>Additionally, certain EU funding programmes (e.g. Cohesion Policy funds such as the European Regional Development Fund) track also the contribution of the programme to environmental objectives in general.</w:t>
      </w:r>
    </w:p>
    <w:p w14:paraId="29DE5472" w14:textId="77777777" w:rsidR="005C1A6F" w:rsidRPr="001C6F95" w:rsidRDefault="005C1A6F" w:rsidP="005C1A6F">
      <w:pPr>
        <w:spacing w:before="60" w:after="60"/>
      </w:pPr>
      <w:r w:rsidRPr="001C6F95">
        <w:t>However, the existing methodologies operate in many cases with broad categories (“climate objectives”, “environmental objectives”), which do not facilitate identifying the amount of EU money supporting, for instance, climate adaptation activities, and the results achieved. In this context, the preparation of the next MFF offers now the potential to build on the knowledge and experience gained during the lasts policy cycles and expand existing methodologies.</w:t>
      </w:r>
    </w:p>
    <w:p w14:paraId="515A66E4" w14:textId="77777777" w:rsidR="005C1A6F" w:rsidRPr="001C6F95" w:rsidRDefault="005C1A6F" w:rsidP="005C1A6F">
      <w:pPr>
        <w:spacing w:before="60" w:after="60"/>
      </w:pPr>
    </w:p>
    <w:p w14:paraId="142A0BA0" w14:textId="77777777" w:rsidR="005C1A6F" w:rsidRPr="001C6F95" w:rsidRDefault="005C1A6F" w:rsidP="005C1A6F">
      <w:pPr>
        <w:spacing w:before="60" w:after="60"/>
      </w:pPr>
      <w:r w:rsidRPr="001C6F95">
        <w:rPr>
          <w:b/>
          <w:bCs/>
        </w:rPr>
        <w:t>Opportunity 5.1: Expanding the current tracking methodologies to better monitor EU contribution to climate and environmental objectives.</w:t>
      </w:r>
      <w:r w:rsidRPr="001C6F95">
        <w:t xml:space="preserve"> </w:t>
      </w:r>
    </w:p>
    <w:p w14:paraId="2C0CC7F3" w14:textId="41DCBA5E" w:rsidR="005C1A6F" w:rsidRPr="001C6F95" w:rsidRDefault="005C1A6F" w:rsidP="005C1A6F">
      <w:pPr>
        <w:spacing w:before="60" w:after="60"/>
      </w:pPr>
      <w:r w:rsidRPr="001C6F95">
        <w:t>The potential exists to expand the current tracking methodologies for the next MFF, in order to collect information to better inform decision making. This expansion could include developing tracking methodologies to cover at least the six environmental objectives for which the European Commission is already collecting investment needs and gaps</w:t>
      </w:r>
      <w:r w:rsidR="001E7ABE">
        <w:t xml:space="preserve"> </w:t>
      </w:r>
      <w:r w:rsidRPr="001C6F95">
        <w:rPr>
          <w:rStyle w:val="FootnoteReference"/>
        </w:rPr>
        <w:footnoteReference w:id="15"/>
      </w:r>
      <w:r w:rsidRPr="001C6F95">
        <w:t xml:space="preserve">. This would entail: </w:t>
      </w:r>
    </w:p>
    <w:p w14:paraId="015F926B" w14:textId="77777777" w:rsidR="005C1A6F" w:rsidRPr="001C6F95" w:rsidRDefault="005C1A6F" w:rsidP="005C1A6F">
      <w:pPr>
        <w:pStyle w:val="ListParagraph"/>
        <w:numPr>
          <w:ilvl w:val="0"/>
          <w:numId w:val="14"/>
        </w:numPr>
        <w:spacing w:before="60" w:after="60"/>
        <w:contextualSpacing w:val="0"/>
      </w:pPr>
      <w:r w:rsidRPr="001C6F95">
        <w:t xml:space="preserve">Breaking down the current climate tracking methodology to track separately the contribution to the climate change mitigation and the climate change adaptation objectives. </w:t>
      </w:r>
    </w:p>
    <w:p w14:paraId="4A80BDE1" w14:textId="77777777" w:rsidR="005C1A6F" w:rsidRPr="001C6F95" w:rsidRDefault="005C1A6F" w:rsidP="005C1A6F">
      <w:pPr>
        <w:pStyle w:val="ListParagraph"/>
        <w:numPr>
          <w:ilvl w:val="0"/>
          <w:numId w:val="14"/>
        </w:numPr>
        <w:spacing w:before="60" w:after="60"/>
      </w:pPr>
      <w:r w:rsidRPr="001C6F95">
        <w:t xml:space="preserve">Defining new tracking methodologies for the water, circular economy and pollution prevention and control objectives. This work could build on the current tracking methodologies for the consolidated environmental objective already included in certain EU programmes (e.g. those under the Common Provisions Regulation). </w:t>
      </w:r>
    </w:p>
    <w:p w14:paraId="4801449E" w14:textId="77777777" w:rsidR="005C1A6F" w:rsidRPr="001C6F95" w:rsidRDefault="005C1A6F" w:rsidP="005C1A6F">
      <w:pPr>
        <w:spacing w:before="60" w:after="60"/>
      </w:pPr>
      <w:r w:rsidRPr="001C6F95">
        <w:t xml:space="preserve">This expansion also implies further developing the structure and the level of detail of the categorisation system employed to monitor the allocation of EU funds (e.g. the ‘intervention fields’). This work is relevant to collect more detailed information on EU support to key policy developments and priorities (e.g. support to circular design and manufacturing), both in terms of the amount of funds flowing towards these investments and of the results and impacts achieved. </w:t>
      </w:r>
    </w:p>
    <w:p w14:paraId="73B24B92" w14:textId="77777777" w:rsidR="005C1A6F" w:rsidRPr="001C6F95" w:rsidRDefault="005C1A6F" w:rsidP="005C1A6F">
      <w:pPr>
        <w:spacing w:before="60" w:after="60"/>
        <w:rPr>
          <w:bCs/>
          <w:iCs/>
        </w:rPr>
      </w:pPr>
    </w:p>
    <w:p w14:paraId="1A0A08A4" w14:textId="77777777" w:rsidR="005C1A6F" w:rsidRPr="001C6F95" w:rsidRDefault="005C1A6F" w:rsidP="005C1A6F">
      <w:pPr>
        <w:spacing w:before="60" w:after="60"/>
        <w:rPr>
          <w:b/>
          <w:bCs/>
        </w:rPr>
      </w:pPr>
      <w:r w:rsidRPr="001C6F95">
        <w:rPr>
          <w:b/>
          <w:bCs/>
        </w:rPr>
        <w:t xml:space="preserve">Opportunity 5.2: Calculating the impact beyond expenditure: kicking-off methodological work to calculate the impact of the EU budget on objectives beyond climate change mitigation. </w:t>
      </w:r>
    </w:p>
    <w:p w14:paraId="0DFA44F0" w14:textId="61B9D282" w:rsidR="005C1A6F" w:rsidRPr="001C6F95" w:rsidRDefault="005C1A6F" w:rsidP="005C1A6F">
      <w:pPr>
        <w:spacing w:before="60" w:after="60"/>
      </w:pPr>
      <w:r w:rsidRPr="001C6F95">
        <w:t>The European Commission has started to develop a methodology to calculate the impact on climate change mitigation of certain actions funded by the EU budget in the context of its annual reporting exercise for NGEU green bonds. This methodology permits to calculate the savings of CO</w:t>
      </w:r>
      <w:r w:rsidRPr="001C6F95">
        <w:rPr>
          <w:vertAlign w:val="subscript"/>
        </w:rPr>
        <w:t>2eq</w:t>
      </w:r>
      <w:r w:rsidRPr="001C6F95">
        <w:t xml:space="preserve"> achieved and has been already employed to report on the impact of the NextGenerationEU Green Bonds</w:t>
      </w:r>
      <w:r w:rsidR="0056692D">
        <w:t xml:space="preserve"> </w:t>
      </w:r>
      <w:r w:rsidR="0056692D">
        <w:fldChar w:fldCharType="begin"/>
      </w:r>
      <w:r w:rsidR="007D0404">
        <w:instrText xml:space="preserve"> ADDIN ZOTERO_ITEM CSL_CITATION {"citationID":"6QqgHHDx","properties":{"formattedCitation":"[49]","plainCitation":"[49]","noteIndex":0},"citationItems":[{"id":1131,"uris":["http://zotero.org/groups/5272309/items/HNXZGIY7"],"itemData":{"id":1131,"type":"report","event-place":"LU","language":"eng","publisher":"Publications Office","publisher-place":"LU","source":"DOI.org (CSL JSON)","title":"NGEU green bonds allocation and impact report 2024.","URL":"https://data.europa.eu/doi/10.2761/5785036","author":[{"literal":"European Commission. Directorate General for the Budget."}],"accessed":{"date-parts":[["2025",3,19]]},"issued":{"date-parts":[["2024"]]}}}],"schema":"https://github.com/citation-style-language/schema/raw/master/csl-citation.json"} </w:instrText>
      </w:r>
      <w:r w:rsidR="0056692D">
        <w:fldChar w:fldCharType="separate"/>
      </w:r>
      <w:r w:rsidR="007D0404" w:rsidRPr="007D0404">
        <w:t>[49]</w:t>
      </w:r>
      <w:r w:rsidR="0056692D">
        <w:fldChar w:fldCharType="end"/>
      </w:r>
      <w:r w:rsidRPr="001C6F95">
        <w:t>. The Commission is also working towards an ‘aggregate result indicator’, which should permit to estimate the aggregate impact on climate change mitigation achieved by the EU budget</w:t>
      </w:r>
      <w:r w:rsidR="00AA58AD">
        <w:t xml:space="preserve"> </w:t>
      </w:r>
      <w:r w:rsidRPr="001C6F95">
        <w:rPr>
          <w:rStyle w:val="FootnoteReference"/>
        </w:rPr>
        <w:footnoteReference w:id="16"/>
      </w:r>
      <w:r w:rsidRPr="001C6F95">
        <w:t>.</w:t>
      </w:r>
    </w:p>
    <w:p w14:paraId="553357FE" w14:textId="77777777" w:rsidR="005C1A6F" w:rsidRPr="001C6F95" w:rsidRDefault="005C1A6F" w:rsidP="005C1A6F">
      <w:pPr>
        <w:spacing w:before="60" w:after="60"/>
      </w:pPr>
      <w:r w:rsidRPr="001C6F95">
        <w:t xml:space="preserve">This work can be expanded beyond the NGEU Green Bonds, by starting to develop methodologies to assess the results or impacts beyond climate change mitigation (i.e. climate change adaptation, water, circular economy, pollution prevention and control, and biodiversity). </w:t>
      </w:r>
    </w:p>
    <w:p w14:paraId="2DC39CF1" w14:textId="77777777" w:rsidR="005C1A6F" w:rsidRPr="001C6F95" w:rsidRDefault="005C1A6F" w:rsidP="005C1A6F">
      <w:pPr>
        <w:spacing w:before="60" w:after="60"/>
      </w:pPr>
      <w:r w:rsidRPr="001C6F95">
        <w:t xml:space="preserve">Though challenging, calculating these impacts could help inform and contribute to prioritising how to allocate EU funds to maximise their contribution to climate and environmental objectives. </w:t>
      </w:r>
    </w:p>
    <w:p w14:paraId="44689215" w14:textId="77777777" w:rsidR="005C1A6F" w:rsidRPr="001C6F95" w:rsidRDefault="005C1A6F" w:rsidP="005C1A6F">
      <w:pPr>
        <w:spacing w:before="60" w:after="60"/>
      </w:pPr>
      <w:r w:rsidRPr="001C6F95">
        <w:t>In this sense, preparatory work could start in the short term to identify methodological options to calculate these impacts. This work could also include the analysis of how certain programmes already monitor the impact of the expenditures on specific performance indicators linked with these objectives, such as the LIFE programme</w:t>
      </w:r>
      <w:r w:rsidRPr="001C6F95">
        <w:rPr>
          <w:rStyle w:val="FootnoteReference"/>
        </w:rPr>
        <w:footnoteReference w:id="17"/>
      </w:r>
      <w:r w:rsidRPr="001C6F95">
        <w:t xml:space="preserve">. </w:t>
      </w:r>
    </w:p>
    <w:p w14:paraId="7AB902DF" w14:textId="77777777" w:rsidR="005C1A6F" w:rsidRPr="001C6F95" w:rsidRDefault="005C1A6F" w:rsidP="005C1A6F">
      <w:pPr>
        <w:spacing w:before="60" w:after="60"/>
        <w:rPr>
          <w:bCs/>
          <w:iCs/>
        </w:rPr>
      </w:pPr>
    </w:p>
    <w:p w14:paraId="26B01DA6" w14:textId="77777777" w:rsidR="005C1A6F" w:rsidRPr="001C6F95" w:rsidRDefault="005C1A6F" w:rsidP="005C1A6F">
      <w:pPr>
        <w:keepNext/>
        <w:spacing w:before="60" w:after="60"/>
        <w:rPr>
          <w:b/>
          <w:bCs/>
          <w:iCs/>
        </w:rPr>
      </w:pPr>
      <w:r w:rsidRPr="001C6F95">
        <w:rPr>
          <w:b/>
          <w:bCs/>
          <w:iCs/>
        </w:rPr>
        <w:t xml:space="preserve">Key Message #6: Further harmonisation </w:t>
      </w:r>
      <w:r w:rsidRPr="001C6F95">
        <w:rPr>
          <w:b/>
          <w:bCs/>
        </w:rPr>
        <w:t>of</w:t>
      </w:r>
      <w:r w:rsidRPr="001C6F95">
        <w:rPr>
          <w:b/>
          <w:bCs/>
          <w:iCs/>
        </w:rPr>
        <w:t xml:space="preserve"> climate and environmental requirements can support a simpler and more impactful EU Budget.</w:t>
      </w:r>
    </w:p>
    <w:p w14:paraId="4D6E2DDD" w14:textId="77777777" w:rsidR="005C1A6F" w:rsidRPr="001C6F95" w:rsidRDefault="005C1A6F" w:rsidP="005C1A6F">
      <w:pPr>
        <w:spacing w:before="60" w:after="60"/>
      </w:pPr>
      <w:r w:rsidRPr="001C6F95">
        <w:t xml:space="preserve">Nowadays, different EU public funds have different legal bases and set different environmental requirements that include climate proofing, sustainability proofing, the ‘Do No Significant Harm’ (DNSH) principle. In certain cases, these legal basis and approaches do not even consider the same environmental objectives. For instance, circular economy is included as a stand-alone objective in different programmes (e.g. the RRF, Cohesion Policy funds…) but not in others (e.g. InvestEU). </w:t>
      </w:r>
    </w:p>
    <w:p w14:paraId="16E258D8" w14:textId="0B1BC036" w:rsidR="005C1A6F" w:rsidRPr="001C6F95" w:rsidRDefault="005C1A6F" w:rsidP="005C1A6F">
      <w:pPr>
        <w:spacing w:before="60" w:after="60"/>
      </w:pPr>
      <w:r w:rsidRPr="001C6F95">
        <w:t>The diversity of requirements generates questions on overlaps between green requirements (e.g. the application of the DNSH principle and climate proofing for infrastructure in Cohesion Policy funds). The divergences between these requirements can also act as barriers when aiming to generate synergies between funds. This situation also implies that the same type of investment can be potentially funded by different programmes under different requirements (e.g. an infrastructure project may require to be climate-proofed under certain programmes but not under others). Finally, lack of clarity on the requirements can also reduce the predictability of the funding decisions and act as a barrier for the implementation of the funds</w:t>
      </w:r>
      <w:r w:rsidR="001F217C">
        <w:t xml:space="preserve"> </w:t>
      </w:r>
      <w:r w:rsidRPr="001C6F95">
        <w:rPr>
          <w:rStyle w:val="FootnoteReference"/>
        </w:rPr>
        <w:footnoteReference w:id="18"/>
      </w:r>
      <w:r w:rsidRPr="001C6F95">
        <w:t xml:space="preserve">.  </w:t>
      </w:r>
    </w:p>
    <w:p w14:paraId="04771CFB" w14:textId="77777777" w:rsidR="005C1A6F" w:rsidRPr="001C6F95" w:rsidRDefault="005C1A6F" w:rsidP="005C1A6F">
      <w:pPr>
        <w:spacing w:before="60" w:after="60"/>
      </w:pPr>
      <w:r w:rsidRPr="001C6F95">
        <w:t>In this context, exploring options for harmonising and streamlining key climate and environmental requirements in the next MFF whilst maintaining a high level of environmental protection consistent with EU’s climate and environmental objectives can support to move towards a more simplified and impactful EU budget.</w:t>
      </w:r>
    </w:p>
    <w:p w14:paraId="689F79BC" w14:textId="77777777" w:rsidR="005C1A6F" w:rsidRPr="001C6F95" w:rsidRDefault="005C1A6F" w:rsidP="005C1A6F">
      <w:pPr>
        <w:spacing w:before="60" w:after="60"/>
      </w:pPr>
    </w:p>
    <w:p w14:paraId="490E161C" w14:textId="77777777" w:rsidR="005C1A6F" w:rsidRPr="001C6F95" w:rsidRDefault="005C1A6F" w:rsidP="005C1A6F">
      <w:pPr>
        <w:spacing w:before="60" w:after="60"/>
      </w:pPr>
      <w:r w:rsidRPr="001C6F95">
        <w:rPr>
          <w:b/>
          <w:bCs/>
        </w:rPr>
        <w:t>Opportunity 6.1: Streamlining the implementation of the DNSH principle through the development of common tools for its application in the next MFF.</w:t>
      </w:r>
      <w:r w:rsidRPr="001C6F95">
        <w:t xml:space="preserve"> </w:t>
      </w:r>
    </w:p>
    <w:p w14:paraId="3C7310D4" w14:textId="0349ABAF" w:rsidR="005C1A6F" w:rsidRPr="001C6F95" w:rsidRDefault="005C1A6F" w:rsidP="005C1A6F">
      <w:pPr>
        <w:spacing w:before="60" w:after="60"/>
      </w:pPr>
      <w:r w:rsidRPr="001C6F95">
        <w:t>The DNSH principle is a key element of</w:t>
      </w:r>
      <w:r w:rsidRPr="001C6F95">
        <w:rPr>
          <w:b/>
          <w:bCs/>
        </w:rPr>
        <w:t xml:space="preserve"> </w:t>
      </w:r>
      <w:r w:rsidRPr="001C6F95">
        <w:t>the EU’s strategy to integrate climate and environmental objectives within the broad EU policy framework. Its main aim is to prevent EU policies from causing significant harm to the six climate and environmental objectives defined in the EU Taxonomy Regulation</w:t>
      </w:r>
      <w:r w:rsidR="00B10C51">
        <w:t xml:space="preserve"> </w:t>
      </w:r>
      <w:r w:rsidRPr="001C6F95">
        <w:rPr>
          <w:rStyle w:val="FootnoteReference"/>
        </w:rPr>
        <w:footnoteReference w:id="19"/>
      </w:r>
      <w:r w:rsidR="004D5A76">
        <w:t xml:space="preserve"> </w:t>
      </w:r>
      <w:r w:rsidR="001F217C">
        <w:fldChar w:fldCharType="begin"/>
      </w:r>
      <w:r w:rsidR="001F217C">
        <w:instrText xml:space="preserve"> ADDIN ZOTERO_ITEM CSL_CITATION {"citationID":"elNDLt87","properties":{"formattedCitation":"[51]","plainCitation":"[51]","noteIndex":0},"citationItems":[{"id":71,"uris":["http://zotero.org/groups/5272309/items/ZH26TJ7R"],"itemData":{"id":71,"type":"legislation","container-title":"OJ L","language":"en","note":"Legislative Body: CONSIL, EP","title":"Regulation (EU) 2020/852 of the European Parliament and of the Council of 18 June 2020 on the establishment of a framework to facilitate sustainable investment, and amending Regulation (EU) 2019/2088 (Text with EEA relevance)","title-short":"Regulation (EU) 2020/852","URL":"http://data.europa.eu/eli/reg/2020/852/oj/eng","volume":"198","accessed":{"date-parts":[["2023",11,29]]},"issued":{"date-parts":[["2020",6,18]]}}}],"schema":"https://github.com/citation-style-language/schema/raw/master/csl-citation.json"} </w:instrText>
      </w:r>
      <w:r w:rsidR="001F217C">
        <w:fldChar w:fldCharType="separate"/>
      </w:r>
      <w:r w:rsidR="001F217C" w:rsidRPr="001F217C">
        <w:t>[51]</w:t>
      </w:r>
      <w:r w:rsidR="001F217C">
        <w:fldChar w:fldCharType="end"/>
      </w:r>
      <w:r w:rsidRPr="001C6F95">
        <w:t xml:space="preserve">. </w:t>
      </w:r>
    </w:p>
    <w:p w14:paraId="25597AFF" w14:textId="2786DE9D" w:rsidR="005C1A6F" w:rsidRPr="001C6F95" w:rsidRDefault="005C1A6F" w:rsidP="005C1A6F">
      <w:pPr>
        <w:spacing w:before="60" w:after="60"/>
      </w:pPr>
      <w:r w:rsidRPr="001C6F95">
        <w:t>The principle is already applied to approximately 50% of the current EU budget, including the Recovery and Resilience Facility or the European Regional Development Fund, as well as in new programmes such as the Social Climate Fund. This has led to novel ways of mainstreaming the EU’s climate and environmental objectives into EU funding instruments, contributing to integrate environmental requirements beyond legal compliance and ‘raising the bar’ in terms of climate and environmental performance</w:t>
      </w:r>
      <w:r w:rsidR="00F05139">
        <w:t xml:space="preserve"> </w:t>
      </w:r>
      <w:r w:rsidR="00F05139">
        <w:fldChar w:fldCharType="begin"/>
      </w:r>
      <w:r w:rsidR="001F217C">
        <w:instrText xml:space="preserve"> ADDIN ZOTERO_ITEM CSL_CITATION {"citationID":"qkVtjIlz","properties":{"formattedCitation":"[52]","plainCitation":"[52]","noteIndex":0},"citationItems":[{"id":1127,"uris":["http://zotero.org/groups/5272309/items/ERJKYQ7W"],"itemData":{"id":1127,"type":"report","event-place":"LU","language":"eng","publisher":"Publications Office","publisher-place":"LU","source":"DOI.org (CSL JSON)","title":"The implementation of the ‘Do No Significant Harm’ principle in selected EU instruments: a comparative analysis.","title-short":"The implementation of the ‘Do No Significant Harm’ principle in selected EU instruments","URL":"https://data.europa.eu/doi/10.2760/18850","author":[{"literal":"European Commission. Joint Research Centre."}],"accessed":{"date-parts":[["2025",3,19]]},"issued":{"date-parts":[["2023"]]}}}],"schema":"https://github.com/citation-style-language/schema/raw/master/csl-citation.json"} </w:instrText>
      </w:r>
      <w:r w:rsidR="00F05139">
        <w:fldChar w:fldCharType="separate"/>
      </w:r>
      <w:r w:rsidR="001F217C" w:rsidRPr="001F217C">
        <w:t>[52]</w:t>
      </w:r>
      <w:r w:rsidR="00F05139">
        <w:fldChar w:fldCharType="end"/>
      </w:r>
      <w:r w:rsidRPr="001C6F95">
        <w:t xml:space="preserve">. </w:t>
      </w:r>
    </w:p>
    <w:p w14:paraId="74D04447" w14:textId="42BA1316" w:rsidR="005C1A6F" w:rsidRPr="001C6F95" w:rsidRDefault="005C1A6F" w:rsidP="005C1A6F">
      <w:pPr>
        <w:spacing w:before="60" w:after="60"/>
      </w:pPr>
      <w:r w:rsidRPr="001C6F95">
        <w:t>Its inclusion in the recast Financial Regulation</w:t>
      </w:r>
      <w:r w:rsidR="00B10C51">
        <w:t xml:space="preserve"> </w:t>
      </w:r>
      <w:r w:rsidRPr="001C6F95">
        <w:rPr>
          <w:rStyle w:val="FootnoteReference"/>
        </w:rPr>
        <w:footnoteReference w:id="20"/>
      </w:r>
      <w:r w:rsidRPr="001C6F95">
        <w:t>, which sets the financial rules applicable to the EU budget, sets a legal basis for its application in the next MFF, ‘</w:t>
      </w:r>
      <w:r w:rsidRPr="001C6F95">
        <w:rPr>
          <w:i/>
          <w:iCs/>
        </w:rPr>
        <w:t>where feasible and appropriate in accordance with the relevant sector-specific rules</w:t>
      </w:r>
      <w:r w:rsidRPr="001C6F95">
        <w:t>’. This inclusion as a cross-cutting element applicable to the EU budget offers the opportunity for simplifying and harmonising different climate and environmental methodologies applied by EU funds, as well as clarifying their interrelationships (e.g. in which cases existing methodologies such as climate proofing permit to ensure DNSH compliance) and moving towards further integration.</w:t>
      </w:r>
    </w:p>
    <w:p w14:paraId="74D8481C" w14:textId="5AC68786" w:rsidR="005C1A6F" w:rsidRPr="001C6F95" w:rsidRDefault="005C1A6F" w:rsidP="005C1A6F">
      <w:pPr>
        <w:spacing w:before="60" w:after="60"/>
        <w:rPr>
          <w:i/>
        </w:rPr>
      </w:pPr>
      <w:r w:rsidRPr="001C6F95">
        <w:t>However, this would also require ensuring a streamlined and more harmonised implementation of the DNSH principle across EU funds in the next MFF, minimising the existing divergences in the way the principle is operationalised across EU funds</w:t>
      </w:r>
      <w:r w:rsidR="00A30BD1">
        <w:t xml:space="preserve"> </w:t>
      </w:r>
      <w:r w:rsidR="00A30BD1">
        <w:fldChar w:fldCharType="begin"/>
      </w:r>
      <w:r w:rsidR="001F217C">
        <w:instrText xml:space="preserve"> ADDIN ZOTERO_ITEM CSL_CITATION {"citationID":"dzHdFLOK","properties":{"formattedCitation":"[52]","plainCitation":"[52]","noteIndex":0},"citationItems":[{"id":1127,"uris":["http://zotero.org/groups/5272309/items/ERJKYQ7W"],"itemData":{"id":1127,"type":"report","event-place":"LU","language":"eng","publisher":"Publications Office","publisher-place":"LU","source":"DOI.org (CSL JSON)","title":"The implementation of the ‘Do No Significant Harm’ principle in selected EU instruments: a comparative analysis.","title-short":"The implementation of the ‘Do No Significant Harm’ principle in selected EU instruments","URL":"https://data.europa.eu/doi/10.2760/18850","author":[{"literal":"European Commission. Joint Research Centre."}],"accessed":{"date-parts":[["2025",3,19]]},"issued":{"date-parts":[["2023"]]}}}],"schema":"https://github.com/citation-style-language/schema/raw/master/csl-citation.json"} </w:instrText>
      </w:r>
      <w:r w:rsidR="00A30BD1">
        <w:fldChar w:fldCharType="separate"/>
      </w:r>
      <w:r w:rsidR="001F217C" w:rsidRPr="001F217C">
        <w:t>[52]</w:t>
      </w:r>
      <w:r w:rsidR="00A30BD1">
        <w:fldChar w:fldCharType="end"/>
      </w:r>
      <w:r w:rsidRPr="001C6F95" w:rsidDel="00347631">
        <w:t xml:space="preserve">. </w:t>
      </w:r>
      <w:r w:rsidRPr="001C6F95">
        <w:t>In this sense, building on previous analyses and on the lessons learnt from the current implementation of the principle, the European Commission is</w:t>
      </w:r>
      <w:r w:rsidRPr="001C6F95" w:rsidDel="00B21DAF">
        <w:t xml:space="preserve"> </w:t>
      </w:r>
      <w:r w:rsidRPr="001C6F95">
        <w:t>reflecting ‘</w:t>
      </w:r>
      <w:r w:rsidRPr="001C6F95">
        <w:rPr>
          <w:i/>
          <w:iCs/>
        </w:rPr>
        <w:t>on how the application of the DNSH principle could be made more effective, coherent and streamlined in the future’</w:t>
      </w:r>
      <w:r w:rsidR="001F217C">
        <w:rPr>
          <w:i/>
          <w:iCs/>
        </w:rPr>
        <w:t xml:space="preserve"> </w:t>
      </w:r>
      <w:r w:rsidRPr="001C6F95">
        <w:rPr>
          <w:rStyle w:val="FootnoteReference"/>
        </w:rPr>
        <w:footnoteReference w:id="21"/>
      </w:r>
      <w:r w:rsidRPr="001C6F95">
        <w:rPr>
          <w:i/>
          <w:iCs/>
        </w:rPr>
        <w:t xml:space="preserve">. </w:t>
      </w:r>
    </w:p>
    <w:p w14:paraId="28533ECD" w14:textId="77777777" w:rsidR="005C1A6F" w:rsidRPr="001C6F95" w:rsidRDefault="005C1A6F" w:rsidP="005C1A6F">
      <w:pPr>
        <w:spacing w:before="60" w:after="60"/>
      </w:pPr>
      <w:r w:rsidRPr="001C6F95">
        <w:t xml:space="preserve">In this context, common tools can be particularly relevant to simplify implementation and reduce the administrative burden whilst maximising the contribution of the DNSH principle to the EU climate and environmental objectives. It can be also particularly relevant to prevent barriers to the creation of synergies across different funds. </w:t>
      </w:r>
    </w:p>
    <w:p w14:paraId="1C9D1637" w14:textId="1BC351B3" w:rsidR="005C1A6F" w:rsidRPr="001C6F95" w:rsidRDefault="005C1A6F" w:rsidP="005C1A6F">
      <w:pPr>
        <w:spacing w:before="60" w:after="60"/>
        <w:rPr>
          <w:b/>
        </w:rPr>
      </w:pPr>
      <w:r w:rsidRPr="001C6F95">
        <w:t>Th</w:t>
      </w:r>
      <w:r w:rsidR="00632A90" w:rsidRPr="001C6F95">
        <w:t>is common methodological basis could include</w:t>
      </w:r>
      <w:r w:rsidR="00A30BD1">
        <w:t xml:space="preserve"> </w:t>
      </w:r>
      <w:r w:rsidR="00A30BD1">
        <w:fldChar w:fldCharType="begin"/>
      </w:r>
      <w:r w:rsidR="001F217C">
        <w:instrText xml:space="preserve"> ADDIN ZOTERO_ITEM CSL_CITATION {"citationID":"WK1As8rx","properties":{"formattedCitation":"[52]","plainCitation":"[52]","noteIndex":0},"citationItems":[{"id":1127,"uris":["http://zotero.org/groups/5272309/items/ERJKYQ7W"],"itemData":{"id":1127,"type":"report","event-place":"LU","language":"eng","publisher":"Publications Office","publisher-place":"LU","source":"DOI.org (CSL JSON)","title":"The implementation of the ‘Do No Significant Harm’ principle in selected EU instruments: a comparative analysis.","title-short":"The implementation of the ‘Do No Significant Harm’ principle in selected EU instruments","URL":"https://data.europa.eu/doi/10.2760/18850","author":[{"literal":"European Commission. Joint Research Centre."}],"accessed":{"date-parts":[["2025",3,19]]},"issued":{"date-parts":[["2023"]]}}}],"schema":"https://github.com/citation-style-language/schema/raw/master/csl-citation.json"} </w:instrText>
      </w:r>
      <w:r w:rsidR="00A30BD1">
        <w:fldChar w:fldCharType="separate"/>
      </w:r>
      <w:r w:rsidR="001F217C" w:rsidRPr="001F217C">
        <w:t>[52]</w:t>
      </w:r>
      <w:r w:rsidR="00A30BD1">
        <w:fldChar w:fldCharType="end"/>
      </w:r>
      <w:r w:rsidRPr="001C6F95">
        <w:t>:</w:t>
      </w:r>
    </w:p>
    <w:p w14:paraId="516A0A5B" w14:textId="77777777" w:rsidR="005C1A6F" w:rsidRPr="001C6F95" w:rsidRDefault="005C1A6F" w:rsidP="005C1A6F">
      <w:pPr>
        <w:pStyle w:val="ListParagraph"/>
        <w:numPr>
          <w:ilvl w:val="0"/>
          <w:numId w:val="19"/>
        </w:numPr>
        <w:spacing w:before="60" w:after="60"/>
        <w:ind w:left="714" w:hanging="357"/>
        <w:contextualSpacing w:val="0"/>
      </w:pPr>
      <w:r w:rsidRPr="001C6F95">
        <w:t xml:space="preserve">Common foundations, indicating guiding principles to be applied to orientate the DNSH assessment, a common methodological approach (identifying main options and steps to carry out the assessment) and tools (e.g. checklists) to be employed for it. </w:t>
      </w:r>
    </w:p>
    <w:p w14:paraId="6C1C1EBF" w14:textId="77777777" w:rsidR="005C1A6F" w:rsidRPr="001C6F95" w:rsidRDefault="005C1A6F" w:rsidP="005C1A6F">
      <w:pPr>
        <w:pStyle w:val="ListParagraph"/>
        <w:numPr>
          <w:ilvl w:val="0"/>
          <w:numId w:val="19"/>
        </w:numPr>
        <w:spacing w:before="60" w:after="60"/>
        <w:ind w:left="714" w:hanging="357"/>
        <w:contextualSpacing w:val="0"/>
      </w:pPr>
      <w:r w:rsidRPr="001C6F95">
        <w:t>Technical annexes clarifying DNSH requirements upfront for high priority sectors. The European Commission is already piloting these annexes under the technical guidance for the application of the DNSH principle in the Social Climate Fund, which sets specific requirements for 52 activities and assets for the sectors covered under the SCF: buildings, transport and selected energy measures.</w:t>
      </w:r>
    </w:p>
    <w:p w14:paraId="0DD46F7D" w14:textId="77777777" w:rsidR="005C1A6F" w:rsidRPr="001C6F95" w:rsidRDefault="005C1A6F" w:rsidP="005C1A6F">
      <w:pPr>
        <w:pStyle w:val="ListParagraph"/>
        <w:numPr>
          <w:ilvl w:val="0"/>
          <w:numId w:val="19"/>
        </w:numPr>
        <w:spacing w:before="60" w:after="60"/>
        <w:ind w:left="714" w:hanging="357"/>
      </w:pPr>
      <w:r w:rsidRPr="001C6F95">
        <w:t>A common exclusion list applicable to the different EU funds, as a way to simplify the DNSH assessment and facilitate synergies across</w:t>
      </w:r>
      <w:r w:rsidRPr="001C6F95" w:rsidDel="002B0E51">
        <w:t xml:space="preserve"> </w:t>
      </w:r>
      <w:r w:rsidRPr="001C6F95">
        <w:t>EU funds to support investments.</w:t>
      </w:r>
    </w:p>
    <w:p w14:paraId="29C5C9AE" w14:textId="77777777" w:rsidR="005C1A6F" w:rsidRPr="001C6F95" w:rsidRDefault="005C1A6F" w:rsidP="005C1A6F">
      <w:pPr>
        <w:spacing w:before="60" w:after="60"/>
      </w:pPr>
      <w:r w:rsidRPr="001C6F95">
        <w:t>In parallel, preventing harm to climate and environmental objectives may also imply trade-offs with other objectives in EU policies and how to use public funding to transition away from the harmful space is a key policy question. Better identifying these trade-offs, and further defining where it may not be feasible and appropriate to prevent environmental harm could also help to operationalise the principle in the next MFF and to design specific policy pathways towards DNSH compliance over time.</w:t>
      </w:r>
    </w:p>
    <w:p w14:paraId="23D6E5B0" w14:textId="77777777" w:rsidR="005C1A6F" w:rsidRPr="001C6F95" w:rsidRDefault="005C1A6F" w:rsidP="005C1A6F">
      <w:pPr>
        <w:spacing w:before="60" w:after="60"/>
      </w:pPr>
    </w:p>
    <w:p w14:paraId="063663BD" w14:textId="77777777" w:rsidR="005C1A6F" w:rsidRPr="001C6F95" w:rsidRDefault="005C1A6F" w:rsidP="005C1A6F">
      <w:pPr>
        <w:spacing w:before="60" w:after="60"/>
      </w:pPr>
      <w:r w:rsidRPr="001C6F95">
        <w:rPr>
          <w:b/>
          <w:bCs/>
          <w:iCs/>
        </w:rPr>
        <w:t xml:space="preserve">Opportunity </w:t>
      </w:r>
      <w:r w:rsidRPr="001C6F95">
        <w:rPr>
          <w:b/>
          <w:bCs/>
        </w:rPr>
        <w:t>6</w:t>
      </w:r>
      <w:r w:rsidRPr="001C6F95">
        <w:rPr>
          <w:b/>
          <w:bCs/>
          <w:iCs/>
        </w:rPr>
        <w:t xml:space="preserve">.2: </w:t>
      </w:r>
      <w:r w:rsidRPr="001C6F95">
        <w:rPr>
          <w:b/>
          <w:bCs/>
        </w:rPr>
        <w:t>E</w:t>
      </w:r>
      <w:r w:rsidRPr="001C6F95">
        <w:rPr>
          <w:b/>
        </w:rPr>
        <w:t>xploring ways to align environmental requirements beyond the EU public funding domain</w:t>
      </w:r>
      <w:r w:rsidRPr="001C6F95">
        <w:rPr>
          <w:b/>
          <w:bCs/>
        </w:rPr>
        <w:t>: national budgets and private finance</w:t>
      </w:r>
      <w:r w:rsidRPr="001C6F95">
        <w:rPr>
          <w:b/>
        </w:rPr>
        <w:t xml:space="preserve">. </w:t>
      </w:r>
      <w:r w:rsidRPr="001C6F95">
        <w:t xml:space="preserve"> </w:t>
      </w:r>
    </w:p>
    <w:p w14:paraId="6F9CF21E" w14:textId="77777777" w:rsidR="005C1A6F" w:rsidRPr="001C6F95" w:rsidRDefault="005C1A6F" w:rsidP="005C1A6F">
      <w:pPr>
        <w:spacing w:before="60" w:after="60"/>
      </w:pPr>
      <w:r w:rsidRPr="001C6F95">
        <w:t xml:space="preserve">Beyond EU direct financial support, the EU also lays down environmental requirements for instruments managed by third parties receiving indirect financial support (e.g. bank guarantees under the InvestEU Fund) and for specific sustainable investments to be supported by Member States national budgets (e.g. EU State Aids rules). </w:t>
      </w:r>
    </w:p>
    <w:p w14:paraId="73016C65" w14:textId="77777777" w:rsidR="005C1A6F" w:rsidRPr="001C6F95" w:rsidRDefault="005C1A6F" w:rsidP="005C1A6F">
      <w:pPr>
        <w:spacing w:before="60" w:after="60"/>
      </w:pPr>
      <w:r w:rsidRPr="001C6F95">
        <w:t xml:space="preserve">These instruments are not always isolated, and there are cases where they act jointly to support the same sustainable investments, although applying different legal bases and associated environmental requirements (see boxes 2 and 3 below). </w:t>
      </w:r>
    </w:p>
    <w:p w14:paraId="18A85681" w14:textId="77777777" w:rsidR="005C1A6F" w:rsidRPr="001C6F95" w:rsidRDefault="005C1A6F" w:rsidP="005C1A6F">
      <w:pPr>
        <w:spacing w:before="60" w:after="60"/>
      </w:pPr>
      <w:r w:rsidRPr="001C6F95">
        <w:t>In this context, exploring opportunities and challenges for further aligning the environmental requirements set in these different policy instruments can be particularly relevant to streamline and simplify their implementation by Member States, implementing partners and other key actors involved, potentially contributing to facilitate the blending of EU, national and private financial support towards sustainable investments. This is particularly important as initiatives such as Important Projects of Common European Interest (IPCEIs), the Clean Industrial Deal State Aid Framework and the forthcoming Competitiveness Fund are designed to pool public and private finance across borders and governance levels.</w:t>
      </w:r>
    </w:p>
    <w:p w14:paraId="0D0B576D" w14:textId="77777777" w:rsidR="005C1A6F" w:rsidRPr="001C6F95" w:rsidRDefault="005C1A6F" w:rsidP="005C1A6F">
      <w:pPr>
        <w:spacing w:before="60" w:after="60"/>
        <w:rPr>
          <w:b/>
        </w:rPr>
      </w:pPr>
      <w:r w:rsidRPr="001C6F95">
        <w:t xml:space="preserve"> </w:t>
      </w:r>
    </w:p>
    <w:p w14:paraId="0725ABCB" w14:textId="77777777" w:rsidR="005C1A6F" w:rsidRPr="001C6F95" w:rsidRDefault="005C1A6F" w:rsidP="001E7ABE">
      <w:pPr>
        <w:keepNext/>
        <w:pBdr>
          <w:top w:val="single" w:sz="4" w:space="1" w:color="auto"/>
          <w:left w:val="single" w:sz="4" w:space="4" w:color="auto"/>
          <w:bottom w:val="single" w:sz="4" w:space="1" w:color="auto"/>
          <w:right w:val="single" w:sz="4" w:space="4" w:color="auto"/>
        </w:pBdr>
        <w:spacing w:before="60" w:after="60"/>
        <w:rPr>
          <w:b/>
        </w:rPr>
      </w:pPr>
      <w:r w:rsidRPr="001C6F95">
        <w:rPr>
          <w:b/>
        </w:rPr>
        <w:t>Box X. Combining EU instruments to leverage private finance.</w:t>
      </w:r>
    </w:p>
    <w:p w14:paraId="4B3C5141" w14:textId="77777777" w:rsidR="005C1A6F" w:rsidRPr="001C6F95" w:rsidRDefault="005C1A6F" w:rsidP="005C1A6F">
      <w:pPr>
        <w:pBdr>
          <w:top w:val="single" w:sz="4" w:space="1" w:color="auto"/>
          <w:left w:val="single" w:sz="4" w:space="4" w:color="auto"/>
          <w:bottom w:val="single" w:sz="4" w:space="1" w:color="auto"/>
          <w:right w:val="single" w:sz="4" w:space="4" w:color="auto"/>
        </w:pBdr>
        <w:spacing w:before="60" w:after="60"/>
      </w:pPr>
      <w:r w:rsidRPr="001C6F95">
        <w:t xml:space="preserve">The current 2021-2027 budget already counts with examples of instruments aiming to leverage additional private investments, either through specific funds (e.g. the InvestEU Fund) or of financial instruments included under broader programmes (e.g. under the Recovery and Resilience Facility). </w:t>
      </w:r>
    </w:p>
    <w:p w14:paraId="64060187" w14:textId="77777777" w:rsidR="005C1A6F" w:rsidRPr="001C6F95" w:rsidRDefault="005C1A6F" w:rsidP="005C1A6F">
      <w:pPr>
        <w:pBdr>
          <w:top w:val="single" w:sz="4" w:space="1" w:color="auto"/>
          <w:left w:val="single" w:sz="4" w:space="4" w:color="auto"/>
          <w:bottom w:val="single" w:sz="4" w:space="1" w:color="auto"/>
          <w:right w:val="single" w:sz="4" w:space="4" w:color="auto"/>
        </w:pBdr>
        <w:spacing w:before="60" w:after="60"/>
      </w:pPr>
      <w:r w:rsidRPr="001C6F95">
        <w:t xml:space="preserve">These instruments are operationalised by implementing partners (e.g. the European Investment Bank, commercial banks…) who count with their own internal policies and financial instruments, which in turn need to accommodate the requirements laid down by EU instruments. For this reason, from a harmonisation perspective, these instruments are also particularly relevant because they are at the intersection between the different environmental requirements applied for EU public funds and those applied in sustainable private finance practices.  </w:t>
      </w:r>
    </w:p>
    <w:p w14:paraId="55758CDB" w14:textId="74759296" w:rsidR="005C1A6F" w:rsidRPr="001C6F95" w:rsidRDefault="005C1A6F" w:rsidP="005C1A6F">
      <w:pPr>
        <w:pBdr>
          <w:top w:val="single" w:sz="4" w:space="1" w:color="auto"/>
          <w:left w:val="single" w:sz="4" w:space="4" w:color="auto"/>
          <w:bottom w:val="single" w:sz="4" w:space="1" w:color="auto"/>
          <w:right w:val="single" w:sz="4" w:space="4" w:color="auto"/>
        </w:pBdr>
        <w:spacing w:before="60" w:after="60"/>
      </w:pPr>
      <w:r w:rsidRPr="001C6F95">
        <w:t>In this context, the differences in the environmental requirements can act as barrier for the generation of synergies across EU funds aiming to leverage private finance. This has been solved until now by implementing mechanisms that warrant equivalence between approaches when certain conditions are met. For instance, those financial products under the Member State compartment of the InvestEU Regulation that apply InvestEU’s sustainability proofing in combination with the internal policies of certain implementing partners (e.g. the European Investment Bank) are considered as compliant with the DNSH principle for the RRF</w:t>
      </w:r>
      <w:r w:rsidR="00A55E85">
        <w:t xml:space="preserve"> </w:t>
      </w:r>
      <w:r w:rsidR="00A55E85">
        <w:fldChar w:fldCharType="begin"/>
      </w:r>
      <w:r w:rsidR="001F217C">
        <w:instrText xml:space="preserve"> ADDIN ZOTERO_ITEM CSL_CITATION {"citationID":"qTnqjsYR","properties":{"formattedCitation":"[53]","plainCitation":"[53]","noteIndex":0},"citationItems":[{"id":1134,"uris":["http://zotero.org/groups/5272309/items/CMQMZUDU"],"itemData":{"id":1134,"type":"bill","authority":"COM, SG","language":"en","title":"Commission Notice</w:instrText>
      </w:r>
      <w:r w:rsidR="001F217C">
        <w:rPr>
          <w:rFonts w:ascii="Calibri" w:hAnsi="Calibri" w:cs="Calibri"/>
        </w:rPr>
        <w:instrText> </w:instrText>
      </w:r>
      <w:r w:rsidR="001F217C">
        <w:rPr>
          <w:rFonts w:cs="EC Square Sans Pro"/>
        </w:rPr>
        <w:instrText>–</w:instrText>
      </w:r>
      <w:r w:rsidR="001F217C">
        <w:instrText xml:space="preserve"> Technical guidance on the application of do no significant harm under the Recovery and Resilience Facility Regulation","URL":"http://data.europa.eu/eli/C/2023/111/oj/eng","accessed":{"date-parts":[["2025",3,19]]},"issued":{"date-parts":[["2023",10,11]]}}}],"schema":"https://github.com/citation-style-language/schema/raw/master/csl-citation.json"} </w:instrText>
      </w:r>
      <w:r w:rsidR="00A55E85">
        <w:fldChar w:fldCharType="separate"/>
      </w:r>
      <w:r w:rsidR="001F217C" w:rsidRPr="001F217C">
        <w:t>[53]</w:t>
      </w:r>
      <w:r w:rsidR="00A55E85">
        <w:fldChar w:fldCharType="end"/>
      </w:r>
      <w:r w:rsidRPr="001C6F95">
        <w:t>. A similar approach has also been fostered under the Social Climate Fund</w:t>
      </w:r>
      <w:r w:rsidR="00003FBC">
        <w:t xml:space="preserve"> </w:t>
      </w:r>
      <w:r w:rsidR="00003FBC">
        <w:fldChar w:fldCharType="begin"/>
      </w:r>
      <w:r w:rsidR="001F217C">
        <w:instrText xml:space="preserve"> ADDIN ZOTERO_ITEM CSL_CITATION {"citationID":"JiyJI8Y6","properties":{"formattedCitation":"[54]","plainCitation":"[54]","noteIndex":0},"citationItems":[{"id":1135,"uris":["http://zotero.org/groups/5272309/items/6P87ITKE"],"itemData":{"id":1135,"type":"bill","language":"en","title":"COMMISSION NOTICE Technical guidance on applying the ‘do no significant harm’ principle under the Social Climate Fund Regulation","URL":"https://eur-lex.europa.eu/legal-content/EN/TXT/?uri=PI_COM:C(2025)880","accessed":{"date-parts":[["2025",3,19]]},"issued":{"date-parts":[["202"]]}}}],"schema":"https://github.com/citation-style-language/schema/raw/master/csl-citation.json"} </w:instrText>
      </w:r>
      <w:r w:rsidR="00003FBC">
        <w:fldChar w:fldCharType="separate"/>
      </w:r>
      <w:r w:rsidR="001F217C" w:rsidRPr="001F217C">
        <w:t>[54]</w:t>
      </w:r>
      <w:r w:rsidR="00003FBC">
        <w:fldChar w:fldCharType="end"/>
      </w:r>
      <w:r w:rsidRPr="001C6F95">
        <w:t xml:space="preserve">. </w:t>
      </w:r>
    </w:p>
    <w:p w14:paraId="19A98E38" w14:textId="77777777" w:rsidR="005C1A6F" w:rsidRPr="001C6F95" w:rsidRDefault="005C1A6F" w:rsidP="005C1A6F">
      <w:pPr>
        <w:pBdr>
          <w:top w:val="single" w:sz="4" w:space="1" w:color="auto"/>
          <w:left w:val="single" w:sz="4" w:space="4" w:color="auto"/>
          <w:bottom w:val="single" w:sz="4" w:space="1" w:color="auto"/>
          <w:right w:val="single" w:sz="4" w:space="4" w:color="auto"/>
        </w:pBdr>
        <w:spacing w:before="60" w:after="60"/>
      </w:pPr>
      <w:r w:rsidRPr="001C6F95">
        <w:t xml:space="preserve">However, the preparation of the next MFF offers the opportunity to explore additional options beyond automatic equivalence. This could be particularly interesting from a circular economy perspective, a key priority in this new policy cycle that is right now not considered as a stand-alone objective under InvestEU’s sustainability proofing.  </w:t>
      </w:r>
    </w:p>
    <w:p w14:paraId="18C1B9F6" w14:textId="77777777" w:rsidR="005C1A6F" w:rsidRPr="001C6F95" w:rsidRDefault="005C1A6F" w:rsidP="005C1A6F">
      <w:pPr>
        <w:spacing w:before="60" w:after="60"/>
        <w:rPr>
          <w:bCs/>
          <w:iCs/>
        </w:rPr>
      </w:pPr>
    </w:p>
    <w:p w14:paraId="5B07CE02" w14:textId="77777777" w:rsidR="005C1A6F" w:rsidRPr="001C6F95" w:rsidRDefault="005C1A6F" w:rsidP="005C1A6F">
      <w:pPr>
        <w:pBdr>
          <w:top w:val="single" w:sz="4" w:space="1" w:color="auto"/>
          <w:left w:val="single" w:sz="4" w:space="4" w:color="auto"/>
          <w:bottom w:val="single" w:sz="4" w:space="1" w:color="auto"/>
          <w:right w:val="single" w:sz="4" w:space="4" w:color="auto"/>
        </w:pBdr>
        <w:spacing w:before="60" w:after="60"/>
        <w:rPr>
          <w:b/>
        </w:rPr>
      </w:pPr>
      <w:r w:rsidRPr="001C6F95">
        <w:rPr>
          <w:b/>
          <w:bCs/>
          <w:iCs/>
        </w:rPr>
        <w:t xml:space="preserve">Box X. </w:t>
      </w:r>
      <w:r w:rsidRPr="001C6F95">
        <w:rPr>
          <w:b/>
        </w:rPr>
        <w:t xml:space="preserve">Investments receiving EU funding and subject to State Aids rules.  </w:t>
      </w:r>
    </w:p>
    <w:p w14:paraId="5577130B" w14:textId="77777777" w:rsidR="005C1A6F" w:rsidRPr="001C6F95" w:rsidRDefault="005C1A6F" w:rsidP="005C1A6F">
      <w:pPr>
        <w:pBdr>
          <w:top w:val="single" w:sz="4" w:space="1" w:color="auto"/>
          <w:left w:val="single" w:sz="4" w:space="4" w:color="auto"/>
          <w:bottom w:val="single" w:sz="4" w:space="1" w:color="auto"/>
          <w:right w:val="single" w:sz="4" w:space="4" w:color="auto"/>
        </w:pBdr>
        <w:spacing w:before="60" w:after="60"/>
      </w:pPr>
      <w:r w:rsidRPr="001C6F95">
        <w:t>Investments benefiting from direct EU funding support may also be subject to EU State Aid rules. This is the case of investments under the Social Climate Fund (SCF), with recital 40 the SCF Regulation indicating that Member States should ensure that the support to the measures included in their national plans ‘</w:t>
      </w:r>
      <w:r w:rsidRPr="001C6F95">
        <w:rPr>
          <w:i/>
        </w:rPr>
        <w:t>is granted in compliance with the Union State aid rules, where applicable’</w:t>
      </w:r>
      <w:r w:rsidRPr="001C6F95">
        <w:t xml:space="preserve">. </w:t>
      </w:r>
    </w:p>
    <w:p w14:paraId="5422718D" w14:textId="0C8C6631" w:rsidR="005C1A6F" w:rsidRPr="001C6F95" w:rsidRDefault="005C1A6F" w:rsidP="005C1A6F">
      <w:pPr>
        <w:pBdr>
          <w:top w:val="single" w:sz="4" w:space="1" w:color="auto"/>
          <w:left w:val="single" w:sz="4" w:space="4" w:color="auto"/>
          <w:bottom w:val="single" w:sz="4" w:space="1" w:color="auto"/>
          <w:right w:val="single" w:sz="4" w:space="4" w:color="auto"/>
        </w:pBdr>
        <w:spacing w:before="60" w:after="60"/>
      </w:pPr>
      <w:r w:rsidRPr="001C6F95">
        <w:t>Compliance with the DNSH principle is an eligibility requirement in the SCF. However, different State Aid instruments deal differently with this principle, which is not always included under the guidelines. Furthermore, as illustrated under the Commission notice ‘</w:t>
      </w:r>
      <w:r w:rsidRPr="001C6F95">
        <w:rPr>
          <w:i/>
          <w:iCs/>
        </w:rPr>
        <w:t>Technical guidance on applying the ‘do no significant harm’ principle under the Social Climate Fund Regulation</w:t>
      </w:r>
      <w:r w:rsidRPr="001C6F95">
        <w:t>’, when the DNSH principle is applied, the conditions may be different under state aid rules and in the SCF</w:t>
      </w:r>
      <w:r w:rsidR="00A63A4E">
        <w:t xml:space="preserve"> </w:t>
      </w:r>
      <w:r w:rsidR="00A63A4E">
        <w:fldChar w:fldCharType="begin"/>
      </w:r>
      <w:r w:rsidR="001F217C">
        <w:instrText xml:space="preserve"> ADDIN ZOTERO_ITEM CSL_CITATION {"citationID":"Hn8SGq5I","properties":{"formattedCitation":"[54]","plainCitation":"[54]","noteIndex":0},"citationItems":[{"id":1135,"uris":["http://zotero.org/groups/5272309/items/6P87ITKE"],"itemData":{"id":1135,"type":"bill","language":"en","title":"COMMISSION NOTICE Technical guidance on applying the ‘do no significant harm’ principle under the Social Climate Fund Regulation","URL":"https://eur-lex.europa.eu/legal-content/EN/TXT/?uri=PI_COM:C(2025)880","accessed":{"date-parts":[["2025",3,19]]},"issued":{"date-parts":[["202"]]}}}],"schema":"https://github.com/citation-style-language/schema/raw/master/csl-citation.json"} </w:instrText>
      </w:r>
      <w:r w:rsidR="00A63A4E">
        <w:fldChar w:fldCharType="separate"/>
      </w:r>
      <w:r w:rsidR="001F217C" w:rsidRPr="001F217C">
        <w:t>[54]</w:t>
      </w:r>
      <w:r w:rsidR="00A63A4E">
        <w:fldChar w:fldCharType="end"/>
      </w:r>
      <w:r w:rsidRPr="001C6F95">
        <w:t xml:space="preserve">. </w:t>
      </w:r>
    </w:p>
    <w:p w14:paraId="486AFEEC" w14:textId="77777777" w:rsidR="005C1A6F" w:rsidRPr="001C6F95" w:rsidRDefault="005C1A6F" w:rsidP="005C1A6F">
      <w:pPr>
        <w:pBdr>
          <w:top w:val="single" w:sz="4" w:space="1" w:color="auto"/>
          <w:left w:val="single" w:sz="4" w:space="4" w:color="auto"/>
          <w:bottom w:val="single" w:sz="4" w:space="1" w:color="auto"/>
          <w:right w:val="single" w:sz="4" w:space="4" w:color="auto"/>
        </w:pBdr>
        <w:spacing w:before="60" w:after="60"/>
        <w:rPr>
          <w:b/>
        </w:rPr>
      </w:pPr>
      <w:r w:rsidRPr="001C6F95">
        <w:t xml:space="preserve">Further analysis can help provide more clarity on the commonalities and divergences in environmental requirements between state aid rules and EU funds and identify potential options to move towards further harmonisation. </w:t>
      </w:r>
    </w:p>
    <w:p w14:paraId="4BC26F43" w14:textId="77777777" w:rsidR="005C1A6F" w:rsidRPr="001C6F95" w:rsidRDefault="005C1A6F" w:rsidP="005C1A6F">
      <w:pPr>
        <w:spacing w:before="60" w:after="60"/>
        <w:rPr>
          <w:b/>
          <w:bCs/>
          <w:iCs/>
        </w:rPr>
      </w:pPr>
    </w:p>
    <w:p w14:paraId="7D333AC6" w14:textId="77777777" w:rsidR="005C1A6F" w:rsidRPr="001C6F95" w:rsidRDefault="005C1A6F" w:rsidP="005C1A6F">
      <w:pPr>
        <w:keepNext/>
        <w:spacing w:before="60" w:after="60"/>
        <w:rPr>
          <w:b/>
          <w:bCs/>
          <w:iCs/>
        </w:rPr>
      </w:pPr>
      <w:r w:rsidRPr="001C6F95">
        <w:rPr>
          <w:b/>
          <w:bCs/>
          <w:iCs/>
        </w:rPr>
        <w:t>Key Message #</w:t>
      </w:r>
      <w:r w:rsidRPr="001C6F95">
        <w:rPr>
          <w:b/>
          <w:bCs/>
        </w:rPr>
        <w:t>7</w:t>
      </w:r>
      <w:r w:rsidRPr="001C6F95">
        <w:rPr>
          <w:b/>
          <w:bCs/>
          <w:iCs/>
        </w:rPr>
        <w:t>: Member States’ national budgets will be key to close the sustainable</w:t>
      </w:r>
      <w:r w:rsidRPr="001C6F95">
        <w:rPr>
          <w:b/>
          <w:bCs/>
        </w:rPr>
        <w:t xml:space="preserve"> </w:t>
      </w:r>
      <w:r w:rsidRPr="001C6F95">
        <w:rPr>
          <w:b/>
          <w:bCs/>
          <w:iCs/>
        </w:rPr>
        <w:t xml:space="preserve">investment gap.  </w:t>
      </w:r>
    </w:p>
    <w:p w14:paraId="3162AB2D" w14:textId="571DD67B" w:rsidR="005C1A6F" w:rsidRPr="001C6F95" w:rsidRDefault="005C1A6F" w:rsidP="005C1A6F">
      <w:pPr>
        <w:spacing w:before="60" w:after="60"/>
      </w:pPr>
      <w:r w:rsidRPr="001C6F95">
        <w:t>The national budgets from EU Member States can play a key role in mobilising public funding to close the sustainable investment gap. As highlighted in Draghi’s report</w:t>
      </w:r>
      <w:r w:rsidR="0053768B">
        <w:t xml:space="preserve"> </w:t>
      </w:r>
      <w:r w:rsidR="0053768B">
        <w:fldChar w:fldCharType="begin"/>
      </w:r>
      <w:r w:rsidR="001F217C">
        <w:instrText xml:space="preserve"> ADDIN ZOTERO_ITEM CSL_CITATION {"citationID":"MBkcXupd","properties":{"formattedCitation":"[55]","plainCitation":"[55]","noteIndex":0},"citationItems":[{"id":509,"uris":["http://zotero.org/groups/5272309/items/DGG75TRD"],"itemData":{"id":509,"type":"document","publisher":"European Commission","title":"The future of European competitiveness (Part B) – In-depth analysis and recommendations","URL":"https://commission.europa.eu/document/download/ec1409c1-d4b4-4882-8bdd-3519f86bbb92_en?filename=The%20future%20of%20European%20competitiveness_%20In-depth%20analysis%20and%20recommendations_0.pdf","author":[{"family":"Draghi","given":"Mario"}],"issued":{"date-parts":[["2024",9]]}}}],"schema":"https://github.com/citation-style-language/schema/raw/master/csl-citation.json"} </w:instrText>
      </w:r>
      <w:r w:rsidR="0053768B">
        <w:fldChar w:fldCharType="separate"/>
      </w:r>
      <w:r w:rsidR="001F217C" w:rsidRPr="001F217C">
        <w:t>[55]</w:t>
      </w:r>
      <w:r w:rsidR="0053768B">
        <w:fldChar w:fldCharType="end"/>
      </w:r>
      <w:r w:rsidRPr="001C6F95">
        <w:t>, ‘</w:t>
      </w:r>
      <w:r w:rsidRPr="001C6F95">
        <w:rPr>
          <w:i/>
          <w:iCs/>
        </w:rPr>
        <w:t>the EU’s annual budget is small, amounting to just over 1% of EU GDP, while Member States’ budgets are collectively close to 50%’</w:t>
      </w:r>
      <w:r w:rsidRPr="001C6F95">
        <w:t>. Similarly, the Competiveness Compass also highlights the size of the Member States national budgets, indicating that the capacity to finance strategic public investment ‘</w:t>
      </w:r>
      <w:r w:rsidRPr="001C6F95">
        <w:rPr>
          <w:i/>
        </w:rPr>
        <w:t>will hinge on prioritisation and coordination of national macroeconomic and fiscal policies towards this goal</w:t>
      </w:r>
      <w:r w:rsidRPr="001C6F95">
        <w:t>’</w:t>
      </w:r>
      <w:r w:rsidR="005D74A2">
        <w:t xml:space="preserve"> </w:t>
      </w:r>
      <w:r w:rsidR="005D74A2">
        <w:fldChar w:fldCharType="begin"/>
      </w:r>
      <w:r w:rsidR="00A647BA">
        <w:instrText xml:space="preserve"> ADDIN ZOTERO_ITEM CSL_CITATION {"citationID":"Ofd7eUoy","properties":{"formattedCitation":"[2]","plainCitation":"[2]","noteIndex":0},"citationItems":[{"id":157,"uris":["http://zotero.org/groups/5272309/items/V7L4UL5M","http://zotero.org/groups/5272309/items/XB6XLJQS"],"itemData":{"id":157,"type":"bill","language":"en","title":"COMMUNICATION FROM THE COMMISSION TO THE EUROPEAN PARLIAMENT, THE EUROPEAN COUNCIL, THE COUNCIL, THE EUROPEAN ECONOMIC AND SOCIAL COMMITTEE AND THE COMMITTEE OF THE REGIONS REPowerEU Plan","title-short":"COM(2022) 230","URL":"https://eur-lex.europa.eu/legal-content/EN/TXT/?uri=COM%3A2022%3A230%3AFIN","accessed":{"date-parts":[["2023",11,29]]},"issued":{"date-parts":[["2022"]]}}}],"schema":"https://github.com/citation-style-language/schema/raw/master/csl-citation.json"} </w:instrText>
      </w:r>
      <w:r w:rsidR="005D74A2">
        <w:fldChar w:fldCharType="separate"/>
      </w:r>
      <w:r w:rsidR="00E80515" w:rsidRPr="00E80515">
        <w:t>[2]</w:t>
      </w:r>
      <w:r w:rsidR="005D74A2">
        <w:fldChar w:fldCharType="end"/>
      </w:r>
      <w:r w:rsidRPr="001C6F95">
        <w:t xml:space="preserve">. </w:t>
      </w:r>
    </w:p>
    <w:p w14:paraId="314DB0E5" w14:textId="77777777" w:rsidR="005C1A6F" w:rsidRPr="001C6F95" w:rsidRDefault="005C1A6F" w:rsidP="005C1A6F">
      <w:pPr>
        <w:spacing w:before="60" w:after="60"/>
      </w:pPr>
      <w:r w:rsidRPr="001C6F95">
        <w:t xml:space="preserve">The relevance of the Member States national budgets will be even higher in the next MFF given the end in 2026 of the NextGenerationEU funding, which will lead to a reduction in the ‘green contribution’ by the EU budget unless it is replaced by the mobilisation of additional resources. </w:t>
      </w:r>
    </w:p>
    <w:p w14:paraId="0C8808FA" w14:textId="77777777" w:rsidR="005C1A6F" w:rsidRPr="001C6F95" w:rsidRDefault="005C1A6F" w:rsidP="005C1A6F">
      <w:pPr>
        <w:spacing w:before="60" w:after="60"/>
      </w:pPr>
      <w:r w:rsidRPr="001C6F95">
        <w:t xml:space="preserve">However, Member States are also facing more tightened budgets and an increase in the number of priorities to be supported. As for the EU budget, this situation highlights the importance of ensuring that the national money allocated to green priorities maximises its positive impact and avoids harming EU green transition objectives. </w:t>
      </w:r>
    </w:p>
    <w:p w14:paraId="59CD12BF" w14:textId="77777777" w:rsidR="005C1A6F" w:rsidRPr="001C6F95" w:rsidRDefault="005C1A6F" w:rsidP="005C1A6F">
      <w:pPr>
        <w:spacing w:before="60" w:after="60"/>
      </w:pPr>
      <w:r w:rsidRPr="001C6F95">
        <w:t>With this in mind, the Commission can further help Member States identify, monitor and assess the impact of the sustainable investments that they can foster through their national budgets to move towards the achievement of EU green transition objectives. This should for example be of interest for the design of the Competitiveness Coordination Tool.</w:t>
      </w:r>
    </w:p>
    <w:p w14:paraId="2B54FE82" w14:textId="77777777" w:rsidR="005C1A6F" w:rsidRPr="001C6F95" w:rsidRDefault="005C1A6F" w:rsidP="005C1A6F">
      <w:pPr>
        <w:spacing w:before="60" w:after="60"/>
        <w:rPr>
          <w:b/>
          <w:bCs/>
          <w:i/>
          <w:iCs/>
          <w:color w:val="FF0000"/>
        </w:rPr>
      </w:pPr>
    </w:p>
    <w:p w14:paraId="76B481E3" w14:textId="77777777" w:rsidR="005C1A6F" w:rsidRPr="001C6F95" w:rsidRDefault="005C1A6F" w:rsidP="005C1A6F">
      <w:pPr>
        <w:spacing w:before="60" w:after="60"/>
        <w:rPr>
          <w:b/>
          <w:bCs/>
          <w:iCs/>
        </w:rPr>
      </w:pPr>
      <w:r w:rsidRPr="001C6F95">
        <w:rPr>
          <w:b/>
          <w:bCs/>
          <w:iCs/>
        </w:rPr>
        <w:t xml:space="preserve">Opportunity </w:t>
      </w:r>
      <w:r w:rsidRPr="001C6F95">
        <w:rPr>
          <w:b/>
          <w:bCs/>
        </w:rPr>
        <w:t>7</w:t>
      </w:r>
      <w:r w:rsidRPr="001C6F95">
        <w:rPr>
          <w:b/>
          <w:bCs/>
          <w:iCs/>
        </w:rPr>
        <w:t xml:space="preserve">.1: Identifying options for harmonising and simplifying the landscape of ‘green </w:t>
      </w:r>
      <w:r w:rsidRPr="001C6F95">
        <w:rPr>
          <w:b/>
          <w:bCs/>
        </w:rPr>
        <w:t xml:space="preserve">transition </w:t>
      </w:r>
      <w:r w:rsidRPr="001C6F95">
        <w:rPr>
          <w:b/>
          <w:bCs/>
          <w:iCs/>
        </w:rPr>
        <w:t xml:space="preserve">tools’ that Member States can apply to identify, monitor and -ultimately- foster sustainable investments. </w:t>
      </w:r>
    </w:p>
    <w:p w14:paraId="05E7D84E" w14:textId="77777777" w:rsidR="005C1A6F" w:rsidRPr="001C6F95" w:rsidRDefault="005C1A6F" w:rsidP="005C1A6F">
      <w:pPr>
        <w:spacing w:before="60" w:after="60"/>
      </w:pPr>
      <w:r w:rsidRPr="001C6F95">
        <w:t>The current public finance landscape in the EU employs multiple interrelated ‘green transition tools’ (frameworks, methodologies, sustainability criteria…). These include the EU Taxonomy for sustainable activities, the DNSH principle, the Green Budgeting Framework and its green and brown budgetary item lists, tracking coefficients or the technical guidance on Environmentally Harmful Subsidies, among others.</w:t>
      </w:r>
    </w:p>
    <w:p w14:paraId="2A61DF1C" w14:textId="77777777" w:rsidR="005C1A6F" w:rsidRPr="001C6F95" w:rsidRDefault="005C1A6F" w:rsidP="005C1A6F">
      <w:pPr>
        <w:spacing w:before="60" w:after="60"/>
      </w:pPr>
      <w:r w:rsidRPr="001C6F95">
        <w:t xml:space="preserve">Many of these tools have been designed and developed for very specific initial purposes. However, their use has widespread beyond them and Member States are aiming to integrate them into their own green financing strategies and policies. The EU Taxonomy was for instance developed as a classification system for sustainable activities in the private finance sphere, but it has been also included under the voluntary European Green Bond Standard (EuGBS), which covers also sovereign green bonds. Beyond its use in sustainable private finance and EU public funding, certain Member States are also aiming to use the DNSH principle in national initiatives, including the development of green budgeting-related methodologies (e.g. tracking methodologies). </w:t>
      </w:r>
    </w:p>
    <w:p w14:paraId="07B9068C" w14:textId="77777777" w:rsidR="005C1A6F" w:rsidRPr="001C6F95" w:rsidRDefault="005C1A6F" w:rsidP="005C1A6F">
      <w:pPr>
        <w:spacing w:before="60" w:after="60"/>
      </w:pPr>
      <w:r w:rsidRPr="001C6F95">
        <w:t xml:space="preserve">In view of the above, there is the need to identify policy options to move towards a more harmonised and simple landscape, helping to create synergies and prevent and remove barriers for Member States when applying them under elements linked to the financing of the green transition, such as the issuance of sovereign green bonds. </w:t>
      </w:r>
    </w:p>
    <w:p w14:paraId="603CE660" w14:textId="77777777" w:rsidR="005C1A6F" w:rsidRPr="001C6F95" w:rsidRDefault="005C1A6F" w:rsidP="005C1A6F">
      <w:pPr>
        <w:spacing w:before="60" w:after="60"/>
      </w:pPr>
      <w:r w:rsidRPr="001C6F95">
        <w:t>Furthermore, the strengthening by the Commission of different methodologies highlighted in previous points could serve as initial basis for those Member States aiming to develop their own Green Budgeting approaches. This includes methodologies to classify the contributions of key budgetary lines to each of the six climate and environmental objectives, or for the calculation of the actual impact of the public investments. This would help reduce the entry cost and foster consistency across Member States and with the methodologies applied by the European Commission.</w:t>
      </w:r>
    </w:p>
    <w:p w14:paraId="1B5ECF96" w14:textId="77777777" w:rsidR="005C1A6F" w:rsidRPr="001C6F95" w:rsidRDefault="005C1A6F" w:rsidP="005C1A6F">
      <w:pPr>
        <w:spacing w:before="60" w:after="60"/>
      </w:pPr>
      <w:r w:rsidRPr="001C6F95">
        <w:t xml:space="preserve">These developments could help Member States move towards the greening of public finance in synchronisation with EU policy efforts to mobilise private finance for the green transition, looking for impact, while responding to the need for simplification of our tools and reporting frameworks.  </w:t>
      </w:r>
    </w:p>
    <w:p w14:paraId="2B733D05" w14:textId="65E55624" w:rsidR="0024296F" w:rsidRPr="001C6F95" w:rsidRDefault="0024296F" w:rsidP="0024296F">
      <w:pPr>
        <w:spacing w:before="60" w:after="60"/>
      </w:pPr>
    </w:p>
    <w:p w14:paraId="7EF8A2E2" w14:textId="77777777" w:rsidR="0024296F" w:rsidRPr="001C6F95" w:rsidRDefault="0024296F" w:rsidP="0024296F">
      <w:pPr>
        <w:spacing w:before="60" w:after="60"/>
        <w:rPr>
          <w:bCs/>
          <w:iCs/>
        </w:rPr>
      </w:pPr>
    </w:p>
    <w:p w14:paraId="7D611801" w14:textId="77777777" w:rsidR="0024296F" w:rsidRPr="001C6F95" w:rsidRDefault="0024296F" w:rsidP="0024296F">
      <w:pPr>
        <w:spacing w:before="60" w:after="60"/>
      </w:pPr>
    </w:p>
    <w:p w14:paraId="0B699EE2" w14:textId="77777777" w:rsidR="0024296F" w:rsidRPr="001C6F95" w:rsidRDefault="0024296F" w:rsidP="0024296F">
      <w:pPr>
        <w:spacing w:before="60" w:after="60"/>
      </w:pPr>
    </w:p>
    <w:p w14:paraId="6E431448" w14:textId="77777777" w:rsidR="0024296F" w:rsidRPr="00BF299F" w:rsidRDefault="0024296F" w:rsidP="0024296F">
      <w:pPr>
        <w:spacing w:before="60" w:after="60"/>
        <w:rPr>
          <w:b/>
          <w:bCs/>
          <w:iCs/>
        </w:rPr>
      </w:pPr>
    </w:p>
    <w:p w14:paraId="43EA2FC4" w14:textId="77777777" w:rsidR="001E7ABE" w:rsidRDefault="001E7ABE">
      <w:pPr>
        <w:spacing w:before="0" w:after="160"/>
        <w:jc w:val="left"/>
        <w:rPr>
          <w:rFonts w:eastAsia="Calibri"/>
          <w:b/>
          <w:bCs/>
          <w:color w:val="6CA644"/>
          <w:sz w:val="56"/>
          <w:szCs w:val="56"/>
          <w:lang w:eastAsia="en-US"/>
        </w:rPr>
      </w:pPr>
      <w:r>
        <w:br w:type="page"/>
      </w:r>
    </w:p>
    <w:p w14:paraId="5DDEC2A8" w14:textId="44E297E6" w:rsidR="0024296F" w:rsidRPr="00A30BD1" w:rsidRDefault="00A30BD1" w:rsidP="00BF299F">
      <w:pPr>
        <w:pStyle w:val="JRCLevel-1title"/>
        <w:rPr>
          <w:u w:val="single"/>
        </w:rPr>
      </w:pPr>
      <w:r>
        <w:t>Temp bibliography</w:t>
      </w:r>
    </w:p>
    <w:p w14:paraId="640D8C90" w14:textId="77777777" w:rsidR="00275872" w:rsidRDefault="00AD6810" w:rsidP="00275872">
      <w:pPr>
        <w:pStyle w:val="Bibliography"/>
      </w:pPr>
      <w:r w:rsidRPr="001C6F95">
        <w:fldChar w:fldCharType="begin"/>
      </w:r>
      <w:r w:rsidR="00145D2D">
        <w:instrText xml:space="preserve"> ADDIN ZOTERO_BIBL {"uncited":[],"omitted":[],"custom":[]} CSL_BIBLIOGRAPHY </w:instrText>
      </w:r>
      <w:r w:rsidRPr="001C6F95">
        <w:fldChar w:fldCharType="separate"/>
      </w:r>
      <w:r w:rsidR="00275872">
        <w:t>[1]</w:t>
      </w:r>
      <w:r w:rsidR="00275872">
        <w:tab/>
        <w:t xml:space="preserve">Directorate-General for Internal Market, Industry, Entrepreneurship and SMEs, </w:t>
      </w:r>
      <w:r w:rsidR="00275872">
        <w:rPr>
          <w:i/>
          <w:iCs/>
        </w:rPr>
        <w:t>Investment needs assessment and funding availabilities to strengthen EU’s Net-Zero technology manufacturing capacity SWD(2023) 68</w:t>
      </w:r>
      <w:r w:rsidR="00275872">
        <w:t>. 2023. Accessed: Mar. 19, 2025. [Online]. Available: https://single-market-economy.ec.europa.eu/publications/staff-working-document-investment-needs-assessment-and-funding-availabilities-strengthen-eus-net_en</w:t>
      </w:r>
    </w:p>
    <w:p w14:paraId="76D661AD" w14:textId="77777777" w:rsidR="00275872" w:rsidRDefault="00275872" w:rsidP="00275872">
      <w:pPr>
        <w:pStyle w:val="Bibliography"/>
      </w:pPr>
      <w:r>
        <w:t>[2]</w:t>
      </w:r>
      <w:r>
        <w:tab/>
      </w:r>
      <w:r>
        <w:rPr>
          <w:i/>
          <w:iCs/>
        </w:rPr>
        <w:t>COMMUNICATION FROM THE COMMISSION TO THE EUROPEAN PARLIAMENT, THE EUROPEAN COUNCIL, THE COUNCIL, THE EUROPEAN ECONOMIC AND SOCIAL COMMITTEE AND THE COMMITTEE OF THE REGIONS REPowerEU Plan</w:t>
      </w:r>
      <w:r>
        <w:t>. 2022. Accessed: Nov. 29, 2023. [Online]. Available: https://eur-lex.europa.eu/legal-content/EN/TXT/?uri=COM%3A2022%3A230%3AFIN</w:t>
      </w:r>
    </w:p>
    <w:p w14:paraId="196E233C" w14:textId="77777777" w:rsidR="00275872" w:rsidRDefault="00275872" w:rsidP="00275872">
      <w:pPr>
        <w:pStyle w:val="Bibliography"/>
      </w:pPr>
      <w:r>
        <w:t>[3]</w:t>
      </w:r>
      <w:r>
        <w:tab/>
        <w:t xml:space="preserve">E. I. Bank, </w:t>
      </w:r>
      <w:r>
        <w:rPr>
          <w:i/>
          <w:iCs/>
        </w:rPr>
        <w:t>The EIB Climate Adaptation Plan: Supporting the EU Adaptation Strategy to build resilience to climate change</w:t>
      </w:r>
      <w:r>
        <w:t>. European Investment Bank, 2021. Accessed: Mar. 18, 2025. [Online]. Available: https://www.eib.org/en/publications/the-eib-climate-adaptation-plan</w:t>
      </w:r>
    </w:p>
    <w:p w14:paraId="314A722A" w14:textId="77777777" w:rsidR="00275872" w:rsidRDefault="00275872" w:rsidP="00275872">
      <w:pPr>
        <w:pStyle w:val="Bibliography"/>
      </w:pPr>
      <w:r>
        <w:t>[4]</w:t>
      </w:r>
      <w:r>
        <w:tab/>
        <w:t>European Commission, Directorate General for Environment., ‘Environmental Implementation Review 2025 – Environmental implementation for prosperity and security’, [internal doc, not published yet], 2025.</w:t>
      </w:r>
    </w:p>
    <w:p w14:paraId="100A8609" w14:textId="77777777" w:rsidR="00275872" w:rsidRPr="00275872" w:rsidRDefault="00275872" w:rsidP="00275872">
      <w:pPr>
        <w:pStyle w:val="Bibliography"/>
        <w:rPr>
          <w:lang w:val="fr-FR"/>
        </w:rPr>
      </w:pPr>
      <w:r>
        <w:t>[5]</w:t>
      </w:r>
      <w:r>
        <w:tab/>
        <w:t xml:space="preserve">‘Fossil fuel subsidies in Europe’. Accessed: Mar. 20, 2025. [Online]. </w:t>
      </w:r>
      <w:r w:rsidRPr="00275872">
        <w:rPr>
          <w:lang w:val="fr-FR"/>
        </w:rPr>
        <w:t>Available: https://www.eea.europa.eu/en/analysis/indicators/fossil-fuel-subsidies</w:t>
      </w:r>
    </w:p>
    <w:p w14:paraId="7EC4B366" w14:textId="77777777" w:rsidR="00275872" w:rsidRDefault="00275872" w:rsidP="00275872">
      <w:pPr>
        <w:pStyle w:val="Bibliography"/>
      </w:pPr>
      <w:r>
        <w:t>[6]</w:t>
      </w:r>
      <w:r>
        <w:tab/>
      </w:r>
      <w:r>
        <w:rPr>
          <w:i/>
          <w:iCs/>
        </w:rPr>
        <w:t>REPORT FROM THE COMMISSION TO THE EUROPEAN PARLIAMENT, THE COUNCIL, THE EUROPEAN ECONOMIC AND SOCIAL COMMITTEE AND THE COMMITTEE OF THE REGIONS State of the Energy Union Report 2023 (pursuant to Regulation (EU) 2018/1999 on the Governance of the Energy Union and Climate Action)</w:t>
      </w:r>
      <w:r>
        <w:t>. 2023. Accessed: May 02, 2024. [Online]. Available: https://eur-lex.europa.eu/legal-content/EN/TXT/?uri=COM%3A2023%3A650%3AFIN&amp;qid=1698237100377</w:t>
      </w:r>
    </w:p>
    <w:p w14:paraId="5B234FBB" w14:textId="77777777" w:rsidR="00275872" w:rsidRDefault="00275872" w:rsidP="00275872">
      <w:pPr>
        <w:pStyle w:val="Bibliography"/>
      </w:pPr>
      <w:r>
        <w:t>[7]</w:t>
      </w:r>
      <w:r>
        <w:tab/>
        <w:t xml:space="preserve">U. N. Environment, </w:t>
      </w:r>
      <w:r>
        <w:rPr>
          <w:i/>
          <w:iCs/>
        </w:rPr>
        <w:t>Kunming-Montreal Global Biodiversity Framework</w:t>
      </w:r>
      <w:r>
        <w:t>. 2022. Accessed: Mar. 18, 2025. [Online]. Available: https://www.cbd.int/doc/decisions/cop-15/cop-15-dec-04-en.pdf</w:t>
      </w:r>
    </w:p>
    <w:p w14:paraId="74B6A68D" w14:textId="77777777" w:rsidR="00275872" w:rsidRDefault="00275872" w:rsidP="00275872">
      <w:pPr>
        <w:pStyle w:val="Bibliography"/>
      </w:pPr>
      <w:r>
        <w:t>[8]</w:t>
      </w:r>
      <w:r>
        <w:tab/>
        <w:t>‘Phasing out Environmentally Harmful Subsidies - European Commission’. Accessed: Mar. 18, 2025. [Online]. Available: https://environment.ec.europa.eu/economy-and-finance/phasing-out-environmentally-harmful-subsidies_en</w:t>
      </w:r>
    </w:p>
    <w:p w14:paraId="1E206576" w14:textId="77777777" w:rsidR="00275872" w:rsidRDefault="00275872" w:rsidP="00275872">
      <w:pPr>
        <w:pStyle w:val="Bibliography"/>
      </w:pPr>
      <w:r>
        <w:t>[9]</w:t>
      </w:r>
      <w:r>
        <w:tab/>
        <w:t xml:space="preserve">Z. Darvas and G. B. and Wolff, ‘A Green Fiscal Pact for the EU: increasing climate investments while consolidating budgets’, </w:t>
      </w:r>
      <w:r>
        <w:rPr>
          <w:i/>
          <w:iCs/>
        </w:rPr>
        <w:t>Climate Policy</w:t>
      </w:r>
      <w:r>
        <w:t>, vol. 23, no. 4, pp. 409–417, Apr. 2023, doi: 10.1080/14693062.2022.2147893.</w:t>
      </w:r>
    </w:p>
    <w:p w14:paraId="5BE12B9E" w14:textId="77777777" w:rsidR="00275872" w:rsidRDefault="00275872" w:rsidP="00275872">
      <w:pPr>
        <w:pStyle w:val="Bibliography"/>
      </w:pPr>
      <w:r>
        <w:t>[10]</w:t>
      </w:r>
      <w:r>
        <w:tab/>
        <w:t xml:space="preserve">F. Cerniglia and F. Saraceno, </w:t>
      </w:r>
      <w:r>
        <w:rPr>
          <w:i/>
          <w:iCs/>
        </w:rPr>
        <w:t>Greening Europe: 2022 European Public Investment Outlook</w:t>
      </w:r>
      <w:r>
        <w:t>. Open Book Publishers, 2022. doi: 10.11647/obp.0328.</w:t>
      </w:r>
    </w:p>
    <w:p w14:paraId="68533EBD" w14:textId="77777777" w:rsidR="00275872" w:rsidRDefault="00275872" w:rsidP="00275872">
      <w:pPr>
        <w:pStyle w:val="Bibliography"/>
      </w:pPr>
      <w:r>
        <w:t>[11]</w:t>
      </w:r>
      <w:r>
        <w:tab/>
      </w:r>
      <w:r>
        <w:rPr>
          <w:i/>
          <w:iCs/>
        </w:rPr>
        <w:t>COMMUNICATION FROM THE COMMISSION TO THE EUROPEAN PARLIAMENT, THE COUNCIL, THE EUROPEAN ECONOMIC AND SOCIAL COMMITTEE AND THE COMMITTEE OF THE REGIONS The Clean Industrial Deal: A joint roadmap for competitiveness and decarbonisation</w:t>
      </w:r>
      <w:r>
        <w:t>. 2025. Accessed: Mar. 18, 2025. [Online]. Available: https://eur-lex.europa.eu/legal-content/EN/TXT/?uri=celex:52025DC0085</w:t>
      </w:r>
    </w:p>
    <w:p w14:paraId="5C9AB98B" w14:textId="77777777" w:rsidR="00275872" w:rsidRDefault="00275872" w:rsidP="00275872">
      <w:pPr>
        <w:pStyle w:val="Bibliography"/>
      </w:pPr>
      <w:r>
        <w:t>[12]</w:t>
      </w:r>
      <w:r>
        <w:tab/>
        <w:t>‘Commission Recommendation (EU) 2023/1425 of 27</w:t>
      </w:r>
      <w:r>
        <w:rPr>
          <w:rFonts w:ascii="Calibri" w:hAnsi="Calibri" w:cs="Calibri"/>
        </w:rPr>
        <w:t> </w:t>
      </w:r>
      <w:r>
        <w:t>June 2023 on facilitating finance for the transition to a sustainable economy</w:t>
      </w:r>
      <w:r>
        <w:rPr>
          <w:rFonts w:cs="EC Square Sans Pro"/>
        </w:rPr>
        <w:t>’</w:t>
      </w:r>
      <w:r>
        <w:t>, Jun. 2023. Accessed: Mar. 18, 2025. [Online]. Available: http://data.europa.eu/eli/reco/2023/1425/oj/eng</w:t>
      </w:r>
    </w:p>
    <w:p w14:paraId="36CCDE04" w14:textId="77777777" w:rsidR="00275872" w:rsidRDefault="00275872" w:rsidP="00275872">
      <w:pPr>
        <w:pStyle w:val="Bibliography"/>
      </w:pPr>
      <w:r>
        <w:t>[13]</w:t>
      </w:r>
      <w:r>
        <w:tab/>
      </w:r>
      <w:r>
        <w:rPr>
          <w:i/>
          <w:iCs/>
        </w:rPr>
        <w:t>Proposal for a DIRECTIVE OF THE EUROPEAN PARLIAMENT AND OF THE COUNCIL amending Directives (EU) 2022/2464 and (EU) 2024/1760 as regards the dates from which Member States are to apply certain corporate sustainability reporting and due diligence requirements</w:t>
      </w:r>
      <w:r>
        <w:t>. 2025. Accessed: Mar. 18, 2025. [Online]. Available: https://eur-lex.europa.eu/legal-content/EN/TXT/?uri=celex%3A52025PC0080</w:t>
      </w:r>
    </w:p>
    <w:p w14:paraId="6C6E1518" w14:textId="77777777" w:rsidR="00275872" w:rsidRDefault="00275872" w:rsidP="00275872">
      <w:pPr>
        <w:pStyle w:val="Bibliography"/>
      </w:pPr>
      <w:r>
        <w:t>[14]</w:t>
      </w:r>
      <w:r>
        <w:tab/>
      </w:r>
      <w:r>
        <w:rPr>
          <w:i/>
          <w:iCs/>
        </w:rPr>
        <w:t>Proposal for a DIRECTIVE OF THE EUROPEAN PARLIAMENT AND OF THE COUNCIL amending Directives 2006/43/EC, 2013/34/EU, (EU) 2022/2464 and (EU) 2024/1760 as regards certain corporate sustainability reporting and due diligence requirements</w:t>
      </w:r>
      <w:r>
        <w:t>. 2025. Accessed: Mar. 18, 2025. [Online]. Available: https://eur-lex.europa.eu/legal-content/EN/TXT/?uri=celex%3A52025PC0081</w:t>
      </w:r>
    </w:p>
    <w:p w14:paraId="562C2B29" w14:textId="77777777" w:rsidR="00275872" w:rsidRDefault="00275872" w:rsidP="00275872">
      <w:pPr>
        <w:pStyle w:val="Bibliography"/>
      </w:pPr>
      <w:r>
        <w:t>[15]</w:t>
      </w:r>
      <w:r>
        <w:tab/>
      </w:r>
      <w:r>
        <w:rPr>
          <w:i/>
          <w:iCs/>
        </w:rPr>
        <w:t>Proposal for a REGULATION OF THE EUROPEAN PARLIAMENT AND OF THE COUNCIL amending Regulation (EU) 2023/956 as regards simplifying and strengthening the carbon border adjustment mechanism</w:t>
      </w:r>
      <w:r>
        <w:t>. 2025. Accessed: Mar. 18, 2025. [Online]. Available: https://eur-lex.europa.eu/legal-content/EN/TXT/?uri=celex%3A52025PC0087</w:t>
      </w:r>
    </w:p>
    <w:p w14:paraId="77809E08" w14:textId="77777777" w:rsidR="00275872" w:rsidRDefault="00275872" w:rsidP="00275872">
      <w:pPr>
        <w:pStyle w:val="Bibliography"/>
      </w:pPr>
      <w:r>
        <w:t>[16]</w:t>
      </w:r>
      <w:r>
        <w:tab/>
        <w:t xml:space="preserve">K. Calvin </w:t>
      </w:r>
      <w:r>
        <w:rPr>
          <w:i/>
          <w:iCs/>
        </w:rPr>
        <w:t>et al.</w:t>
      </w:r>
      <w:r>
        <w:t>, ‘IPCC, 2023: Climate Change 2023: Synthesis Report. Contribution of Working Groups I, II and III to the Sixth Assessment Report of the Intergovernmental Panel on Climate Change [Core Writing Team, H. Lee and J. Romero (eds.)]. IPCC, Geneva, Switzerland.’, Intergovernmental Panel on Climate Change (IPCC), Jul. 2023. doi: 10.59327/IPCC/AR6-9789291691647.</w:t>
      </w:r>
    </w:p>
    <w:p w14:paraId="1C3B8674" w14:textId="77777777" w:rsidR="00275872" w:rsidRDefault="00275872" w:rsidP="00275872">
      <w:pPr>
        <w:pStyle w:val="Bibliography"/>
      </w:pPr>
      <w:r>
        <w:t>[17]</w:t>
      </w:r>
      <w:r>
        <w:tab/>
        <w:t xml:space="preserve">European Investment Bank. and Ipsos Public Affairs., </w:t>
      </w:r>
      <w:r>
        <w:rPr>
          <w:i/>
          <w:iCs/>
        </w:rPr>
        <w:t>EIB investment survey 2021: European Union overview.</w:t>
      </w:r>
      <w:r>
        <w:t xml:space="preserve"> LU: Publications Office, 2021. Accessed: Mar. 20, 2025. [Online]. Available: https://data.europa.eu/doi/10.2867/282464</w:t>
      </w:r>
    </w:p>
    <w:p w14:paraId="32A1D932" w14:textId="77777777" w:rsidR="00275872" w:rsidRDefault="00275872" w:rsidP="00275872">
      <w:pPr>
        <w:pStyle w:val="Bibliography"/>
      </w:pPr>
      <w:r>
        <w:t>[18]</w:t>
      </w:r>
      <w:r>
        <w:tab/>
        <w:t>Aurelia Britsch, Nneka Chike-Obi, and Jonathon Smith, ‘ESG Ratings Insights: Use of Proceeds in Instrument RatingsShortfalls in Alignment to Sustainability Impact, Transparency and Climate Adaptation’, Sustainable Finance ESG Ratings Global, Jul. 2023. Accessed: Mar. 20, 2025. [Online]. Available: https://www.sustainablefitch.com/corporate-finance/esg-ratings-insights-bond-use-of-proceeds-07-08-2023?sFWebAccessReportValidation=true&amp;mkt_tok=NzMyLUNLSC03NjcAAAGZUuf6d9opeRWvjpjn2Oj1WkF6-GVnwoVwkFi0UBsAO45g83_swd9tXfzgn7tK6UNJ2mWQrcN4EjCfeTsbyAE1oSO_pT9UHOoCSDYIsUSO_3AmdTD_B6QE</w:t>
      </w:r>
    </w:p>
    <w:p w14:paraId="061630D4" w14:textId="77777777" w:rsidR="00275872" w:rsidRDefault="00275872" w:rsidP="00275872">
      <w:pPr>
        <w:pStyle w:val="Bibliography"/>
      </w:pPr>
      <w:r>
        <w:t>[19]</w:t>
      </w:r>
      <w:r>
        <w:tab/>
        <w:t xml:space="preserve">S. Fatica and R. Panzica, ‘Green bonds as a tool against climate change?’, </w:t>
      </w:r>
      <w:r>
        <w:rPr>
          <w:i/>
          <w:iCs/>
        </w:rPr>
        <w:t>Bus Strat Env</w:t>
      </w:r>
      <w:r>
        <w:t>, vol. 30, no. 5, pp. 2688–2701, Jul. 2021, doi: 10.1002/bse.2771.</w:t>
      </w:r>
    </w:p>
    <w:p w14:paraId="1C5BEA71" w14:textId="77777777" w:rsidR="00275872" w:rsidRDefault="00275872" w:rsidP="00275872">
      <w:pPr>
        <w:pStyle w:val="Bibliography"/>
      </w:pPr>
      <w:r>
        <w:t>[20]</w:t>
      </w:r>
      <w:r>
        <w:tab/>
        <w:t xml:space="preserve">S. Fatica, R. Panzica, and M. Rancan, ‘The pricing of green bonds: Are financial institutions special?’, </w:t>
      </w:r>
      <w:r>
        <w:rPr>
          <w:i/>
          <w:iCs/>
        </w:rPr>
        <w:t>Journal of Financial Stability</w:t>
      </w:r>
      <w:r>
        <w:t>, vol. 54, p. 100873, Jun. 2021, doi: 10.1016/j.jfs.2021.100873.</w:t>
      </w:r>
    </w:p>
    <w:p w14:paraId="0D3DB816" w14:textId="77777777" w:rsidR="00275872" w:rsidRDefault="00275872" w:rsidP="00275872">
      <w:pPr>
        <w:pStyle w:val="Bibliography"/>
      </w:pPr>
      <w:r>
        <w:t>[21]</w:t>
      </w:r>
      <w:r>
        <w:tab/>
        <w:t xml:space="preserve">G. Cheng, T. Ehlers, F. Packer, and Y. Xiao, </w:t>
      </w:r>
      <w:r>
        <w:rPr>
          <w:i/>
          <w:iCs/>
        </w:rPr>
        <w:t>Sovereign Green Bonds: A Catalyst for Sustainable Debt Market Development?</w:t>
      </w:r>
      <w:r>
        <w:t xml:space="preserve"> in IMF Working Papers. Washington, D.C: International Monetary Fund, 2024. doi: 10.5089/9798400277030.001.</w:t>
      </w:r>
    </w:p>
    <w:p w14:paraId="13CBDEF7" w14:textId="77777777" w:rsidR="00275872" w:rsidRDefault="00275872" w:rsidP="00275872">
      <w:pPr>
        <w:pStyle w:val="Bibliography"/>
      </w:pPr>
      <w:r>
        <w:t>[22]</w:t>
      </w:r>
      <w:r>
        <w:tab/>
        <w:t>Mario Draghi, ‘The future of European competitiveness - A competitiveness strategy for Europe (Part A)’. Accessed: Mar. 20, 2025. [Online]. Available: https://commission.europa.eu/topics/eu-competitiveness/draghi-report_en</w:t>
      </w:r>
    </w:p>
    <w:p w14:paraId="0F355B56" w14:textId="77777777" w:rsidR="00275872" w:rsidRDefault="00275872" w:rsidP="00275872">
      <w:pPr>
        <w:pStyle w:val="Bibliography"/>
      </w:pPr>
      <w:r>
        <w:t>[23]</w:t>
      </w:r>
      <w:r>
        <w:tab/>
        <w:t>Enrico Letta, ‘Much more than a market – Speed, Security, Solidarity’, Jacques Delors Institute, Apr. 2024. Accessed: Mar. 20, 2025. [Online]. Available: https://circulareconomy.europa.eu/platform/en/knowledge/much-more-market-speed-security-solidarity</w:t>
      </w:r>
    </w:p>
    <w:p w14:paraId="0CFDAF2A" w14:textId="77777777" w:rsidR="00275872" w:rsidRDefault="00275872" w:rsidP="00275872">
      <w:pPr>
        <w:pStyle w:val="Bibliography"/>
      </w:pPr>
      <w:r>
        <w:t>[24]</w:t>
      </w:r>
      <w:r>
        <w:tab/>
        <w:t xml:space="preserve">P. Feldhütter, K. Halskov, and A. Krebbers, ‘Pricing of sustainability-linked bonds’, </w:t>
      </w:r>
      <w:r>
        <w:rPr>
          <w:i/>
          <w:iCs/>
        </w:rPr>
        <w:t>Journal of Financial Economics</w:t>
      </w:r>
      <w:r>
        <w:t>, vol. 162, p. 103944, Dec. 2024, doi: 10.1016/j.jfineco.2024.103944.</w:t>
      </w:r>
    </w:p>
    <w:p w14:paraId="7B358538" w14:textId="77777777" w:rsidR="00275872" w:rsidRDefault="00275872" w:rsidP="00275872">
      <w:pPr>
        <w:pStyle w:val="Bibliography"/>
      </w:pPr>
      <w:r>
        <w:t>[25]</w:t>
      </w:r>
      <w:r>
        <w:tab/>
        <w:t xml:space="preserve">F. Polzin and M. Sanders, ‘How to finance the transition to low-carbon energy in Europe?’, </w:t>
      </w:r>
      <w:r>
        <w:rPr>
          <w:i/>
          <w:iCs/>
        </w:rPr>
        <w:t>Energy Policy</w:t>
      </w:r>
      <w:r>
        <w:t>, vol. 147, p. 111863, Dec. 2020, doi: 10.1016/j.enpol.2020.111863.</w:t>
      </w:r>
    </w:p>
    <w:p w14:paraId="4F44A091" w14:textId="77777777" w:rsidR="00275872" w:rsidRDefault="00275872" w:rsidP="00275872">
      <w:pPr>
        <w:pStyle w:val="Bibliography"/>
      </w:pPr>
      <w:r>
        <w:t>[26]</w:t>
      </w:r>
      <w:r>
        <w:tab/>
        <w:t xml:space="preserve">N. Arnold, G. Claveres, and J. Frie, </w:t>
      </w:r>
      <w:r>
        <w:rPr>
          <w:i/>
          <w:iCs/>
        </w:rPr>
        <w:t>Stepping Up Venture Capital to Finance Innovation in Europe</w:t>
      </w:r>
      <w:r>
        <w:t>. in IMF Working Papers. Washington, D.C: International Monetary Fund, 2024. doi: 10.5089/9798400280771.001.</w:t>
      </w:r>
    </w:p>
    <w:p w14:paraId="16D0B1D2" w14:textId="77777777" w:rsidR="00275872" w:rsidRDefault="00275872" w:rsidP="00275872">
      <w:pPr>
        <w:pStyle w:val="Bibliography"/>
      </w:pPr>
      <w:r>
        <w:t>[27]</w:t>
      </w:r>
      <w:r>
        <w:tab/>
        <w:t xml:space="preserve">A. Bellucci, S. Fatica, A. Georgakaki, G. Gucciardi, S. Letout, and F. Pasimeni, ‘Venture Capital Financing and Green Patenting’, </w:t>
      </w:r>
      <w:r>
        <w:rPr>
          <w:i/>
          <w:iCs/>
        </w:rPr>
        <w:t>Industry and Innovation</w:t>
      </w:r>
      <w:r>
        <w:t>, vol. 30, no. 7, pp. 947–983, Aug. 2023, doi: 10.1080/13662716.2023.2228717.</w:t>
      </w:r>
    </w:p>
    <w:p w14:paraId="5F428247" w14:textId="77777777" w:rsidR="00275872" w:rsidRDefault="00275872" w:rsidP="00275872">
      <w:pPr>
        <w:pStyle w:val="Bibliography"/>
      </w:pPr>
      <w:r>
        <w:t>[28]</w:t>
      </w:r>
      <w:r>
        <w:tab/>
        <w:t>‘Tracking finance flows towards assessing their consistency with climate objectives’, OECD Environment Working Papers 146, Mar. 2019. doi: 10.1787/82cc3a4c-en.</w:t>
      </w:r>
    </w:p>
    <w:p w14:paraId="158CD874" w14:textId="77777777" w:rsidR="00275872" w:rsidRDefault="00275872" w:rsidP="00275872">
      <w:pPr>
        <w:pStyle w:val="Bibliography"/>
      </w:pPr>
      <w:r>
        <w:t>[29]</w:t>
      </w:r>
      <w:r>
        <w:tab/>
        <w:t xml:space="preserve">Directorate-General for Environment                                        (European Commission) </w:t>
      </w:r>
      <w:r>
        <w:rPr>
          <w:i/>
          <w:iCs/>
        </w:rPr>
        <w:t>et al.</w:t>
      </w:r>
      <w:r>
        <w:t>, ‘Environmental claims in the EU: inventory and reliability assessment</w:t>
      </w:r>
      <w:r>
        <w:rPr>
          <w:rFonts w:ascii="Arial" w:hAnsi="Arial" w:cs="Arial"/>
        </w:rPr>
        <w:t> </w:t>
      </w:r>
      <w:r>
        <w:t>: final report</w:t>
      </w:r>
      <w:r>
        <w:rPr>
          <w:rFonts w:cs="EC Square Sans Pro"/>
        </w:rPr>
        <w:t>’</w:t>
      </w:r>
      <w:r>
        <w:t>, Publications Office of the European Union, 2024. Accessed: Mar. 18, 2025. [Online]. Available: https://data.europa.eu/doi/10.2779/83089</w:t>
      </w:r>
    </w:p>
    <w:p w14:paraId="57589AE1" w14:textId="77777777" w:rsidR="00275872" w:rsidRDefault="00275872" w:rsidP="00275872">
      <w:pPr>
        <w:pStyle w:val="Bibliography"/>
      </w:pPr>
      <w:r>
        <w:t>[30]</w:t>
      </w:r>
      <w:r>
        <w:tab/>
        <w:t>Platform on Sustainable Finance, ‘Financing a Clean and Competitive Transition Monitoring Capital Flows to Sustainable Investments’, Mar. 2025. Accessed: Mar. 18, 2025. [Online]. Available: https://finance.ec.europa.eu/document/download/87c48ab4-34d2-4cd7-997e-efc1310e62c5_en?filename=250311-sustainable-finance-platform-report-capital-flows_en.pdf</w:t>
      </w:r>
    </w:p>
    <w:p w14:paraId="7D3A812D" w14:textId="77777777" w:rsidR="00275872" w:rsidRDefault="00275872" w:rsidP="00275872">
      <w:pPr>
        <w:pStyle w:val="Bibliography"/>
      </w:pPr>
      <w:r>
        <w:t>[31]</w:t>
      </w:r>
      <w:r>
        <w:tab/>
        <w:t xml:space="preserve">ICMA, </w:t>
      </w:r>
      <w:r>
        <w:rPr>
          <w:i/>
          <w:iCs/>
        </w:rPr>
        <w:t>Handbook: Harmonised Framework for Impact Reporting</w:t>
      </w:r>
      <w:r>
        <w:t>. 2022. Accessed: Mar. 20, 2025. [Online]. Available: https://www.greenfinanceplatform.org/guidance/handbook-harmonised-framework-impact-reporting</w:t>
      </w:r>
    </w:p>
    <w:p w14:paraId="487A9A93" w14:textId="77777777" w:rsidR="00275872" w:rsidRDefault="00275872" w:rsidP="00275872">
      <w:pPr>
        <w:pStyle w:val="Bibliography"/>
      </w:pPr>
      <w:r>
        <w:t>[32]</w:t>
      </w:r>
      <w:r>
        <w:tab/>
        <w:t>ROBECO, ‘2024 Global Climate Investing Survey. Realism on the transition journey: Insights from investors’, May 2024.</w:t>
      </w:r>
    </w:p>
    <w:p w14:paraId="2288E3BA" w14:textId="77777777" w:rsidR="00275872" w:rsidRDefault="00275872" w:rsidP="00275872">
      <w:pPr>
        <w:pStyle w:val="Bibliography"/>
      </w:pPr>
      <w:r>
        <w:t>[33]</w:t>
      </w:r>
      <w:r>
        <w:tab/>
      </w:r>
      <w:r>
        <w:rPr>
          <w:i/>
          <w:iCs/>
        </w:rPr>
        <w:t>Commission Delegated Regulation (EU) 2023/2772 of 31</w:t>
      </w:r>
      <w:r>
        <w:rPr>
          <w:rFonts w:ascii="Calibri" w:hAnsi="Calibri" w:cs="Calibri"/>
          <w:i/>
          <w:iCs/>
        </w:rPr>
        <w:t> </w:t>
      </w:r>
      <w:r>
        <w:rPr>
          <w:i/>
          <w:iCs/>
        </w:rPr>
        <w:t>July 2023 supplementing Directive</w:t>
      </w:r>
      <w:r>
        <w:rPr>
          <w:rFonts w:ascii="Calibri" w:hAnsi="Calibri" w:cs="Calibri"/>
          <w:i/>
          <w:iCs/>
        </w:rPr>
        <w:t> </w:t>
      </w:r>
      <w:r>
        <w:rPr>
          <w:i/>
          <w:iCs/>
        </w:rPr>
        <w:t>2013/34/EU of the European Parliament and of the Council as regards sustainability reporting standards</w:t>
      </w:r>
      <w:r>
        <w:t>. 2023. Accessed: Mar. 20, 2025. [Online]. Available: http://data.europa.eu/eli/reg_del/2023/2772/oj/eng</w:t>
      </w:r>
    </w:p>
    <w:p w14:paraId="789526BE" w14:textId="77777777" w:rsidR="00275872" w:rsidRDefault="00275872" w:rsidP="00275872">
      <w:pPr>
        <w:pStyle w:val="Bibliography"/>
      </w:pPr>
      <w:r>
        <w:t>[34]</w:t>
      </w:r>
      <w:r>
        <w:tab/>
        <w:t>Network for Greening the Financial System, ‘Network for Greening the Financial System: Transition Plan Package’, Apr. 2024.</w:t>
      </w:r>
    </w:p>
    <w:p w14:paraId="0CFC2E81" w14:textId="77777777" w:rsidR="00275872" w:rsidRDefault="00275872" w:rsidP="00275872">
      <w:pPr>
        <w:pStyle w:val="Bibliography"/>
      </w:pPr>
      <w:r>
        <w:t>[35]</w:t>
      </w:r>
      <w:r>
        <w:tab/>
        <w:t>European Central Bank, ‘Good practices on climate-related and environmental risk management: observations from the 2022 thematic review’, Publications Office of the European Union, 2022. Accessed: Mar. 19, 2025. [Online]. Available: https://data.europa.eu/doi/10.2866/417808</w:t>
      </w:r>
    </w:p>
    <w:p w14:paraId="4190B87F" w14:textId="77777777" w:rsidR="00275872" w:rsidRDefault="00275872" w:rsidP="00275872">
      <w:pPr>
        <w:pStyle w:val="Bibliography"/>
      </w:pPr>
      <w:r>
        <w:t>[36]</w:t>
      </w:r>
      <w:r>
        <w:tab/>
        <w:t xml:space="preserve">S. Dikau, N. Robins, A. Smoleńska, J. van’t Klooster, and U. Volz, ‘Prudential net zero transition plans: the potential of a new regulatory instrument’, </w:t>
      </w:r>
      <w:r>
        <w:rPr>
          <w:i/>
          <w:iCs/>
        </w:rPr>
        <w:t>J Bank Regul</w:t>
      </w:r>
      <w:r>
        <w:t>, vol. 26, no. 1, pp. 85–99, Mar. 2025, doi: 10.1057/s41261-024-00247-w.</w:t>
      </w:r>
    </w:p>
    <w:p w14:paraId="6802AB5D" w14:textId="77777777" w:rsidR="00275872" w:rsidRPr="00275872" w:rsidRDefault="00275872" w:rsidP="00275872">
      <w:pPr>
        <w:pStyle w:val="Bibliography"/>
        <w:rPr>
          <w:lang w:val="fr-FR"/>
        </w:rPr>
      </w:pPr>
      <w:r>
        <w:t>[37]</w:t>
      </w:r>
      <w:r>
        <w:tab/>
        <w:t xml:space="preserve">European Banking Authority, ‘Guidelines on the management of environmental, social and governance (ESG) risks - Final Report’, EBA/GL/2025/01, Aug. 2025. </w:t>
      </w:r>
      <w:r w:rsidRPr="00275872">
        <w:rPr>
          <w:lang w:val="fr-FR"/>
        </w:rPr>
        <w:t>[Online]. Available: https://www.eba.europa.eu/sites/default/files/2025-01/fb22982a-d69d-42cc-9d62-1023497ad58a/Final%20Guidelines%20on%20the%20management%20of%20ESG%20risks.pdf</w:t>
      </w:r>
    </w:p>
    <w:p w14:paraId="4974F6B6" w14:textId="77777777" w:rsidR="00275872" w:rsidRDefault="00275872" w:rsidP="00275872">
      <w:pPr>
        <w:pStyle w:val="Bibliography"/>
      </w:pPr>
      <w:r>
        <w:t>[38]</w:t>
      </w:r>
      <w:r>
        <w:tab/>
        <w:t>EIOPA, ‘Final Report on the Prudential Treatment of Sustainability Risks for Insurers’, EIOPA-BoS-24/372, Jul. 2024. Accessed: Mar. 19, 2025. [Online]. Available: https://www.eiopa.europa.eu/publications/final-report-prudential-treatment-sustainability-risks-insurers_en</w:t>
      </w:r>
    </w:p>
    <w:p w14:paraId="27297B7C" w14:textId="77777777" w:rsidR="00275872" w:rsidRPr="00275872" w:rsidRDefault="00275872" w:rsidP="00275872">
      <w:pPr>
        <w:pStyle w:val="Bibliography"/>
        <w:rPr>
          <w:lang w:val="fr-FR"/>
        </w:rPr>
      </w:pPr>
      <w:r>
        <w:t>[39]</w:t>
      </w:r>
      <w:r>
        <w:tab/>
        <w:t xml:space="preserve">EFRAG, ‘Implementation Guidance [draft] Transition Plan for Climate Change Mitigation’, Nov. 2024. Accessed: Mar. 19, 2025. [Online]. </w:t>
      </w:r>
      <w:r w:rsidRPr="00275872">
        <w:rPr>
          <w:lang w:val="fr-FR"/>
        </w:rPr>
        <w:t>Available: https://www.efrag.org/system/files/sites/webpublishing/Meeting%20Documents/2410151235139050/04-02%20-%20Transition%20Plan%20IG%20V1.7.5.pdf</w:t>
      </w:r>
    </w:p>
    <w:p w14:paraId="7D7315F1" w14:textId="77777777" w:rsidR="00275872" w:rsidRDefault="00275872" w:rsidP="00275872">
      <w:pPr>
        <w:pStyle w:val="Bibliography"/>
      </w:pPr>
      <w:r>
        <w:t>[40]</w:t>
      </w:r>
      <w:r>
        <w:tab/>
        <w:t>Platform on Sustainable Finance, ‘A Compendium of Market Practices How the EU’s Taxonomy and sustainable finance framework are helping financial and non-financial actors transition to net zero.’ Accessed: Mar. 19, 2025. [Online]. Available: https://finance.ec.europa.eu/publications/platform-sustainable-finance-report-compendium-market-practices_en</w:t>
      </w:r>
    </w:p>
    <w:p w14:paraId="431DACD8" w14:textId="77777777" w:rsidR="00275872" w:rsidRDefault="00275872" w:rsidP="00275872">
      <w:pPr>
        <w:pStyle w:val="Bibliography"/>
      </w:pPr>
      <w:r>
        <w:t>[41]</w:t>
      </w:r>
      <w:r>
        <w:tab/>
        <w:t xml:space="preserve">OECD, </w:t>
      </w:r>
      <w:r>
        <w:rPr>
          <w:i/>
          <w:iCs/>
        </w:rPr>
        <w:t>OECD Guidance on Transition Finance: Ensuring Credibility of Corporate Climate Transition Plans</w:t>
      </w:r>
      <w:r>
        <w:t>. in Green Finance and Investment. OECD, 2022. doi: 10.1787/7c68a1ee-en.</w:t>
      </w:r>
    </w:p>
    <w:p w14:paraId="647CC2B1" w14:textId="77777777" w:rsidR="00275872" w:rsidRDefault="00275872" w:rsidP="00275872">
      <w:pPr>
        <w:pStyle w:val="Bibliography"/>
      </w:pPr>
      <w:r>
        <w:t>[42]</w:t>
      </w:r>
      <w:r>
        <w:tab/>
        <w:t>EBF, ‘AN EU FRAMEWORK FOR FINANCING THE TRANSITION’, Feb. 2023. Accessed: Mar. 19, 2025. [Online]. Available: https://www.ebf.eu/ebf-media-centre/an-eu-framework-for-financing-the-transition/</w:t>
      </w:r>
    </w:p>
    <w:p w14:paraId="2145F38B" w14:textId="77777777" w:rsidR="00275872" w:rsidRDefault="00275872" w:rsidP="00275872">
      <w:pPr>
        <w:pStyle w:val="Bibliography"/>
      </w:pPr>
      <w:r>
        <w:t>[43]</w:t>
      </w:r>
      <w:r>
        <w:tab/>
        <w:t>PRI, ‘2030 EU POLICY ROADMAP ACCELERATING PRIVATE INVESTMENT FOR THE ECONOMIC TRANSITION’, May 2024. Accessed: Mar. 19, 2025. [Online]. Available: https://www.unpri.org/eu-policy/pris-2030-eu-policy-roadmap/12165.article</w:t>
      </w:r>
    </w:p>
    <w:p w14:paraId="139CDCE9" w14:textId="77777777" w:rsidR="00275872" w:rsidRDefault="00275872" w:rsidP="00275872">
      <w:pPr>
        <w:pStyle w:val="Bibliography"/>
      </w:pPr>
      <w:r>
        <w:t>[44]</w:t>
      </w:r>
      <w:r>
        <w:tab/>
        <w:t>IIGCC, ‘IIGCC Call to Action for the next EU political cycle A green and competitive Europe - Investor priorities for 2024-2029’. Accessed: Mar. 19, 2025. [Online]. Available: https://www.iigcc.org/resources/eu-call-action</w:t>
      </w:r>
    </w:p>
    <w:p w14:paraId="03D3A014" w14:textId="77777777" w:rsidR="00275872" w:rsidRDefault="00275872" w:rsidP="00275872">
      <w:pPr>
        <w:pStyle w:val="Bibliography"/>
      </w:pPr>
      <w:r>
        <w:t>[45]</w:t>
      </w:r>
      <w:r>
        <w:tab/>
        <w:t xml:space="preserve">G. N. Pickard </w:t>
      </w:r>
      <w:r>
        <w:rPr>
          <w:i/>
          <w:iCs/>
        </w:rPr>
        <w:t>et al.</w:t>
      </w:r>
      <w:r>
        <w:t>, ‘Credible company transition plans for climate change mitigation: a geographical dependency assessment’, 2024. Accessed: Mar. 19, 2025. [Online]. Available: https://publications.jrc.ec.europa.eu/repository/handle/JRC139084</w:t>
      </w:r>
    </w:p>
    <w:p w14:paraId="68B0D30A" w14:textId="77777777" w:rsidR="00275872" w:rsidRDefault="00275872" w:rsidP="00275872">
      <w:pPr>
        <w:pStyle w:val="Bibliography"/>
      </w:pPr>
      <w:r>
        <w:t>[46]</w:t>
      </w:r>
      <w:r>
        <w:tab/>
        <w:t xml:space="preserve">Directorate-General for Communication                                        (European Commission) and U. von der Leyen, </w:t>
      </w:r>
      <w:r>
        <w:rPr>
          <w:i/>
          <w:iCs/>
        </w:rPr>
        <w:t>Europe’s choice: political guidelines for the next European Commission 2024−2029</w:t>
      </w:r>
      <w:r>
        <w:t>. Publications Office of the European Union, 2024. Accessed: Mar. 19, 2025. [Online]. Available: https://data.europa.eu/doi/10.2775/260104</w:t>
      </w:r>
    </w:p>
    <w:p w14:paraId="629D142D" w14:textId="77777777" w:rsidR="00275872" w:rsidRDefault="00275872" w:rsidP="00275872">
      <w:pPr>
        <w:pStyle w:val="Bibliography"/>
      </w:pPr>
      <w:r>
        <w:t>[47]</w:t>
      </w:r>
      <w:r>
        <w:tab/>
        <w:t>S. Stout, ‘Unlocking Private Sector Adaptation Finance’, Climate Policy Initiative.</w:t>
      </w:r>
    </w:p>
    <w:p w14:paraId="3F1BF19E" w14:textId="77777777" w:rsidR="00275872" w:rsidRDefault="00275872" w:rsidP="00275872">
      <w:pPr>
        <w:pStyle w:val="Bibliography"/>
      </w:pPr>
      <w:r>
        <w:t>[48]</w:t>
      </w:r>
      <w:r>
        <w:tab/>
        <w:t xml:space="preserve">B. Buchner </w:t>
      </w:r>
      <w:r>
        <w:rPr>
          <w:i/>
          <w:iCs/>
        </w:rPr>
        <w:t>et al.</w:t>
      </w:r>
      <w:r>
        <w:t>, ‘Global landscape of climate finance’, 2023. doi: 10.1201/9781003396949-21.</w:t>
      </w:r>
    </w:p>
    <w:p w14:paraId="2E110A20" w14:textId="77777777" w:rsidR="00275872" w:rsidRDefault="00275872" w:rsidP="00275872">
      <w:pPr>
        <w:pStyle w:val="Bibliography"/>
      </w:pPr>
      <w:r>
        <w:t>[49]</w:t>
      </w:r>
      <w:r>
        <w:tab/>
        <w:t>European Commission. Directorate General for the Budget., ‘NGEU green bonds allocation and impact report 2024.’, Publications Office, LU, 2024. Accessed: Mar. 19, 2025. [Online]. Available: https://data.europa.eu/doi/10.2761/5785036</w:t>
      </w:r>
    </w:p>
    <w:p w14:paraId="5EBE2B4A" w14:textId="77777777" w:rsidR="00275872" w:rsidRDefault="00275872" w:rsidP="00275872">
      <w:pPr>
        <w:pStyle w:val="Bibliography"/>
      </w:pPr>
      <w:r>
        <w:t>[50]</w:t>
      </w:r>
      <w:r>
        <w:tab/>
        <w:t xml:space="preserve">European Court of Auditors., </w:t>
      </w:r>
      <w:r>
        <w:rPr>
          <w:i/>
          <w:iCs/>
        </w:rPr>
        <w:t>Absorption of funds from the Recovery and Resilience Facility: progressing with delays and risks remain regarding the completion of measures and therefore the achievement of RRF objectives. Special report 13, 2024.</w:t>
      </w:r>
      <w:r>
        <w:t xml:space="preserve"> LU: Publications Office, 2024. Accessed: Mar. 19, 2025. [Online]. Available: https://data.europa.eu/doi/10.2865/207321</w:t>
      </w:r>
    </w:p>
    <w:p w14:paraId="408FA287" w14:textId="77777777" w:rsidR="00275872" w:rsidRDefault="00275872" w:rsidP="00275872">
      <w:pPr>
        <w:pStyle w:val="Bibliography"/>
      </w:pPr>
      <w:r>
        <w:t>[51]</w:t>
      </w:r>
      <w:r>
        <w:tab/>
      </w:r>
      <w:r>
        <w:rPr>
          <w:i/>
          <w:iCs/>
        </w:rPr>
        <w:t>Regulation (EU) 2020/852 of the European Parliament and of the Council of 18 June 2020 on the establishment of a framework to facilitate sustainable investment, and amending Regulation (EU) 2019/2088 (Text with EEA relevance)</w:t>
      </w:r>
      <w:r>
        <w:t>, vol. 198. 2020. Accessed: Nov. 29, 2023. [Online]. Available: http://data.europa.eu/eli/reg/2020/852/oj/eng</w:t>
      </w:r>
    </w:p>
    <w:p w14:paraId="615AFD6B" w14:textId="77777777" w:rsidR="00275872" w:rsidRDefault="00275872" w:rsidP="00275872">
      <w:pPr>
        <w:pStyle w:val="Bibliography"/>
      </w:pPr>
      <w:r>
        <w:t>[52]</w:t>
      </w:r>
      <w:r>
        <w:tab/>
        <w:t>European Commission. Joint Research Centre., ‘The implementation of the “Do No Significant Harm” principle in selected EU instruments: a comparative analysis.’, Publications Office, LU, 2023. Accessed: Mar. 19, 2025. [Online]. Available: https://data.europa.eu/doi/10.2760/18850</w:t>
      </w:r>
    </w:p>
    <w:p w14:paraId="7AB8CCAE" w14:textId="77777777" w:rsidR="00275872" w:rsidRDefault="00275872" w:rsidP="00275872">
      <w:pPr>
        <w:pStyle w:val="Bibliography"/>
      </w:pPr>
      <w:r>
        <w:t>[53]</w:t>
      </w:r>
      <w:r>
        <w:tab/>
      </w:r>
      <w:r>
        <w:rPr>
          <w:i/>
          <w:iCs/>
        </w:rPr>
        <w:t>Commission Notice</w:t>
      </w:r>
      <w:r>
        <w:rPr>
          <w:rFonts w:ascii="Calibri" w:hAnsi="Calibri" w:cs="Calibri"/>
          <w:i/>
          <w:iCs/>
        </w:rPr>
        <w:t> </w:t>
      </w:r>
      <w:r>
        <w:rPr>
          <w:rFonts w:cs="EC Square Sans Pro"/>
          <w:i/>
          <w:iCs/>
        </w:rPr>
        <w:t>–</w:t>
      </w:r>
      <w:r>
        <w:rPr>
          <w:i/>
          <w:iCs/>
        </w:rPr>
        <w:t xml:space="preserve"> Technical guidance on the application of do no significant harm under the Recovery and Resilience Facility Regulation</w:t>
      </w:r>
      <w:r>
        <w:t>. 2023. Accessed: Mar. 19, 2025. [Online]. Available: http://data.europa.eu/eli/C/2023/111/oj/eng</w:t>
      </w:r>
    </w:p>
    <w:p w14:paraId="1E91351C" w14:textId="77777777" w:rsidR="00275872" w:rsidRDefault="00275872" w:rsidP="00275872">
      <w:pPr>
        <w:pStyle w:val="Bibliography"/>
      </w:pPr>
      <w:r>
        <w:t>[54]</w:t>
      </w:r>
      <w:r>
        <w:tab/>
      </w:r>
      <w:r>
        <w:rPr>
          <w:i/>
          <w:iCs/>
        </w:rPr>
        <w:t>COMMISSION NOTICE Technical guidance on applying the ‘do no significant harm’ principle under the Social Climate Fund Regulation</w:t>
      </w:r>
      <w:r>
        <w:t>. 202AD. Accessed: Mar. 19, 2025. [Online]. Available: https://eur-lex.europa.eu/legal-content/EN/TXT/?uri=PI_COM:C(2025)880</w:t>
      </w:r>
    </w:p>
    <w:p w14:paraId="43AF3D6D" w14:textId="77777777" w:rsidR="00275872" w:rsidRDefault="00275872" w:rsidP="00275872">
      <w:pPr>
        <w:pStyle w:val="Bibliography"/>
      </w:pPr>
      <w:r>
        <w:t>[55]</w:t>
      </w:r>
      <w:r>
        <w:tab/>
        <w:t>M. Draghi, ‘The future of European competitiveness (Part B) – In-depth analysis and recommendations’. European Commission, Sep. 2024. [Online]. Available: https://commission.europa.eu/document/download/ec1409c1-d4b4-4882-8bdd-3519f86bbb92_en?filename=The%20future%20of%20European%20competitiveness_%20In-depth%20analysis%20and%20recommendations_0.pdf</w:t>
      </w:r>
    </w:p>
    <w:p w14:paraId="593A549C" w14:textId="1C36DD90" w:rsidR="00C80D1A" w:rsidRPr="001C6F95" w:rsidRDefault="00AD6810" w:rsidP="00C80D1A">
      <w:pPr>
        <w:spacing w:before="60" w:after="60"/>
      </w:pPr>
      <w:r w:rsidRPr="001C6F95">
        <w:fldChar w:fldCharType="end"/>
      </w:r>
    </w:p>
    <w:sectPr w:rsidR="00C80D1A" w:rsidRPr="001C6F95">
      <w:footerReference w:type="default" r:id="rId20"/>
      <w:type w:val="oddPage"/>
      <w:pgSz w:w="11906" w:h="16838"/>
      <w:pgMar w:top="1417" w:right="1417" w:bottom="1417" w:left="1417" w:header="708" w:footer="708" w:gutter="0"/>
      <w:pgNumType w:start="1"/>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CB715D" w16cex:dateUtc="2025-03-18T15:54:00Z"/>
  <w16cex:commentExtensible w16cex:durableId="45B44F52" w16cex:dateUtc="2025-03-18T16:21:00Z"/>
  <w16cex:commentExtensible w16cex:durableId="5D72CB75" w16cex:dateUtc="2025-03-18T16:32:00Z"/>
  <w16cex:commentExtensible w16cex:durableId="48359E7C" w16cex:dateUtc="2025-03-19T14:58:00Z"/>
  <w16cex:commentExtensible w16cex:durableId="07809CC5" w16cex:dateUtc="2025-03-19T14:57:00Z"/>
  <w16cex:commentExtensible w16cex:durableId="4A61D892" w16cex:dateUtc="2025-03-19T14:56:00Z"/>
  <w16cex:commentExtensible w16cex:durableId="6F0B5D2F" w16cex:dateUtc="2025-03-19T14:45:00Z"/>
  <w16cex:commentExtensible w16cex:durableId="332CDA0B" w16cex:dateUtc="2025-03-19T14:47:00Z"/>
  <w16cex:commentExtensible w16cex:durableId="734F6932" w16cex:dateUtc="2025-03-19T15:43:00Z"/>
  <w16cex:commentExtensible w16cex:durableId="5F850F84" w16cex:dateUtc="2025-03-19T15:43:00Z"/>
  <w16cex:commentExtensible w16cex:durableId="64B5443F" w16cex:dateUtc="2025-03-19T16:25:00Z"/>
  <w16cex:commentExtensible w16cex:durableId="4756EBC9" w16cex:dateUtc="2025-03-20T15:50:00Z"/>
  <w16cex:commentExtensible w16cex:durableId="02AB9EE6" w16cex:dateUtc="2025-04-14T17:08:00.342Z"/>
  <w16cex:commentExtensible w16cex:durableId="1631F058" w16cex:dateUtc="2025-04-14T17:10:01.444Z"/>
  <w16cex:commentExtensible w16cex:durableId="0965092E" w16cex:dateUtc="2025-04-14T17:11:53.203Z"/>
  <w16cex:commentExtensible w16cex:durableId="59B45454" w16cex:dateUtc="2025-04-14T17:17:09.272Z"/>
</w16cex:commentsExtensible>
</file>

<file path=word/commentsIds.xml><?xml version="1.0" encoding="utf-8"?>
<w16cid:commentsIds xmlns:mc="http://schemas.openxmlformats.org/markup-compatibility/2006" xmlns:w16cid="http://schemas.microsoft.com/office/word/2016/wordml/cid" mc:Ignorable="w16cid">
  <w16cid:commentId w16cid:paraId="071852C2" w16cid:durableId="78CB715D"/>
  <w16cid:commentId w16cid:paraId="0A2556B9" w16cid:durableId="0A2556B9"/>
  <w16cid:commentId w16cid:paraId="77DB1E80" w16cid:durableId="45B44F52"/>
  <w16cid:commentId w16cid:paraId="0D8C7EE3" w16cid:durableId="0D8C7EE3"/>
  <w16cid:commentId w16cid:paraId="6478D034" w16cid:durableId="5D72CB75"/>
  <w16cid:commentId w16cid:paraId="6B37D949" w16cid:durableId="6B37D949"/>
  <w16cid:commentId w16cid:paraId="5792D087" w16cid:durableId="48359E7C"/>
  <w16cid:commentId w16cid:paraId="14902C07" w16cid:durableId="07809CC5"/>
  <w16cid:commentId w16cid:paraId="19777E20" w16cid:durableId="19777E20"/>
  <w16cid:commentId w16cid:paraId="5D62877E" w16cid:durableId="4A61D892"/>
  <w16cid:commentId w16cid:paraId="2E38F7F9" w16cid:durableId="2E38F7F9"/>
  <w16cid:commentId w16cid:paraId="6D60BA5B" w16cid:durableId="6F0B5D2F"/>
  <w16cid:commentId w16cid:paraId="06937AF8" w16cid:durableId="06937AF8"/>
  <w16cid:commentId w16cid:paraId="4603A9E6" w16cid:durableId="332CDA0B"/>
  <w16cid:commentId w16cid:paraId="6C0ED71E" w16cid:durableId="6C0ED71E"/>
  <w16cid:commentId w16cid:paraId="697E1CD2" w16cid:durableId="734F6932"/>
  <w16cid:commentId w16cid:paraId="4E33340B" w16cid:durableId="4E33340B"/>
  <w16cid:commentId w16cid:paraId="5821310D" w16cid:durableId="5F850F84"/>
  <w16cid:commentId w16cid:paraId="47BEEC82" w16cid:durableId="64B5443F"/>
  <w16cid:commentId w16cid:paraId="5D81E44A" w16cid:durableId="5D81E44A"/>
  <w16cid:commentId w16cid:paraId="69ACC3D0" w16cid:durableId="4756EBC9"/>
  <w16cid:commentId w16cid:paraId="7E3F2D96" w16cid:durableId="02AB9EE6"/>
  <w16cid:commentId w16cid:paraId="132C22A8" w16cid:durableId="1631F058"/>
  <w16cid:commentId w16cid:paraId="7FC49A57" w16cid:durableId="0965092E"/>
  <w16cid:commentId w16cid:paraId="117F1EBD" w16cid:durableId="59B4545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BFA897" w14:textId="77777777" w:rsidR="00621F80" w:rsidRDefault="00621F80" w:rsidP="00F7732B">
      <w:pPr>
        <w:spacing w:before="0" w:after="0"/>
      </w:pPr>
      <w:r>
        <w:separator/>
      </w:r>
    </w:p>
  </w:endnote>
  <w:endnote w:type="continuationSeparator" w:id="0">
    <w:p w14:paraId="0DEE32B5" w14:textId="77777777" w:rsidR="00621F80" w:rsidRDefault="00621F80" w:rsidP="00F7732B">
      <w:pPr>
        <w:spacing w:before="0" w:after="0"/>
      </w:pPr>
      <w:r>
        <w:continuationSeparator/>
      </w:r>
    </w:p>
  </w:endnote>
  <w:endnote w:type="continuationNotice" w:id="1">
    <w:p w14:paraId="793F0414" w14:textId="77777777" w:rsidR="00621F80" w:rsidRDefault="00621F8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EC Square Sans Pro">
    <w:panose1 w:val="020B0506040000020004"/>
    <w:charset w:val="00"/>
    <w:family w:val="swiss"/>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EC Square Sans Cond Pro">
    <w:panose1 w:val="020B0506040000020004"/>
    <w:charset w:val="00"/>
    <w:family w:val="swiss"/>
    <w:pitch w:val="variable"/>
    <w:sig w:usb0="20000287" w:usb1="00000001" w:usb2="00000000" w:usb3="00000000" w:csb0="0000019F" w:csb1="00000000"/>
  </w:font>
  <w:font w:name="Yu Mincho">
    <w:altName w:val="游明朝"/>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EC Square Sans Pro Light">
    <w:panose1 w:val="020B0506000000020004"/>
    <w:charset w:val="00"/>
    <w:family w:val="swiss"/>
    <w:pitch w:val="variable"/>
    <w:sig w:usb0="20000287" w:usb1="00000001"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8100377"/>
      <w:docPartObj>
        <w:docPartGallery w:val="Page Numbers (Bottom of Page)"/>
        <w:docPartUnique/>
      </w:docPartObj>
    </w:sdtPr>
    <w:sdtEndPr>
      <w:rPr>
        <w:noProof/>
      </w:rPr>
    </w:sdtEndPr>
    <w:sdtContent>
      <w:p w14:paraId="5099E559" w14:textId="76686D39" w:rsidR="00621F80" w:rsidRDefault="00621F80">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3D7FFE">
          <w:rPr>
            <w:noProof/>
          </w:rPr>
          <w:t>i</w:t>
        </w:r>
        <w:r>
          <w:rPr>
            <w:color w:val="2B579A"/>
            <w:shd w:val="clear" w:color="auto" w:fill="E6E6E6"/>
          </w:rPr>
          <w:fldChar w:fldCharType="end"/>
        </w:r>
      </w:p>
    </w:sdtContent>
  </w:sdt>
  <w:p w14:paraId="3B005F86" w14:textId="77777777" w:rsidR="00621F80" w:rsidRPr="00546D06" w:rsidRDefault="00621F8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594514"/>
      <w:docPartObj>
        <w:docPartGallery w:val="Page Numbers (Bottom of Page)"/>
        <w:docPartUnique/>
      </w:docPartObj>
    </w:sdtPr>
    <w:sdtEndPr>
      <w:rPr>
        <w:noProof/>
      </w:rPr>
    </w:sdtEndPr>
    <w:sdtContent>
      <w:p w14:paraId="52A53AD3" w14:textId="77777777" w:rsidR="00621F80" w:rsidRDefault="00621F80">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t>1</w:t>
        </w:r>
        <w:r>
          <w:rPr>
            <w:color w:val="2B579A"/>
            <w:shd w:val="clear" w:color="auto" w:fill="E6E6E6"/>
          </w:rPr>
          <w:fldChar w:fldCharType="end"/>
        </w:r>
      </w:p>
    </w:sdtContent>
  </w:sdt>
  <w:p w14:paraId="27CE9D00" w14:textId="77777777" w:rsidR="00621F80" w:rsidRDefault="00621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6202789"/>
      <w:docPartObj>
        <w:docPartGallery w:val="Page Numbers (Bottom of Page)"/>
        <w:docPartUnique/>
      </w:docPartObj>
    </w:sdtPr>
    <w:sdtEndPr>
      <w:rPr>
        <w:noProof/>
      </w:rPr>
    </w:sdtEndPr>
    <w:sdtContent>
      <w:p w14:paraId="34B219E2" w14:textId="4748DA4B" w:rsidR="00621F80" w:rsidRDefault="00621F80">
        <w:pPr>
          <w:pStyle w:val="Footer"/>
          <w:jc w:val="center"/>
        </w:pPr>
        <w:r>
          <w:fldChar w:fldCharType="begin"/>
        </w:r>
        <w:r>
          <w:instrText xml:space="preserve"> PAGE   \* MERGEFORMAT </w:instrText>
        </w:r>
        <w:r>
          <w:fldChar w:fldCharType="separate"/>
        </w:r>
        <w:r w:rsidR="003D7FFE">
          <w:rPr>
            <w:noProof/>
          </w:rPr>
          <w:t>1</w:t>
        </w:r>
        <w:r>
          <w:rPr>
            <w:noProof/>
          </w:rPr>
          <w:fldChar w:fldCharType="end"/>
        </w:r>
      </w:p>
    </w:sdtContent>
  </w:sdt>
  <w:p w14:paraId="7D9BDDB4" w14:textId="77777777" w:rsidR="00621F80" w:rsidRDefault="00621F8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19ABED" w14:textId="77777777" w:rsidR="00621F80" w:rsidRDefault="00621F80" w:rsidP="00F7732B">
      <w:pPr>
        <w:spacing w:before="0" w:after="0"/>
      </w:pPr>
      <w:r>
        <w:separator/>
      </w:r>
    </w:p>
  </w:footnote>
  <w:footnote w:type="continuationSeparator" w:id="0">
    <w:p w14:paraId="4E9A6E1F" w14:textId="77777777" w:rsidR="00621F80" w:rsidRDefault="00621F80" w:rsidP="00F7732B">
      <w:pPr>
        <w:spacing w:before="0" w:after="0"/>
      </w:pPr>
      <w:r>
        <w:continuationSeparator/>
      </w:r>
    </w:p>
  </w:footnote>
  <w:footnote w:type="continuationNotice" w:id="1">
    <w:p w14:paraId="57B3417C" w14:textId="77777777" w:rsidR="00621F80" w:rsidRDefault="00621F80">
      <w:pPr>
        <w:spacing w:before="0" w:after="0"/>
      </w:pPr>
    </w:p>
  </w:footnote>
  <w:footnote w:id="2">
    <w:p w14:paraId="66E48DDA" w14:textId="7B18D78E" w:rsidR="00621F80" w:rsidRDefault="00621F80" w:rsidP="000C0D8F">
      <w:pPr>
        <w:pStyle w:val="FootnoteText"/>
      </w:pPr>
      <w:r>
        <w:rPr>
          <w:rStyle w:val="FootnoteReference"/>
        </w:rPr>
        <w:footnoteRef/>
      </w:r>
      <w:r>
        <w:t xml:space="preserve"> </w:t>
      </w:r>
      <w:r w:rsidR="001F217C">
        <w:tab/>
      </w:r>
      <w:hyperlink r:id="rId1" w:history="1">
        <w:r>
          <w:rPr>
            <w:rStyle w:val="Hyperlink"/>
          </w:rPr>
          <w:t>ITPN launches at COP29 | International Transition Plan Network</w:t>
        </w:r>
      </w:hyperlink>
      <w:r>
        <w:rPr>
          <w:rStyle w:val="Hyperlink"/>
        </w:rPr>
        <w:t>.</w:t>
      </w:r>
    </w:p>
  </w:footnote>
  <w:footnote w:id="3">
    <w:p w14:paraId="75656AFD" w14:textId="2A55324D" w:rsidR="00621F80" w:rsidRPr="00416D19" w:rsidRDefault="00621F80" w:rsidP="000C0D8F">
      <w:pPr>
        <w:pStyle w:val="FootnoteText"/>
        <w:rPr>
          <w:u w:val="single"/>
        </w:rPr>
      </w:pPr>
      <w:r>
        <w:rPr>
          <w:rStyle w:val="FootnoteReference"/>
        </w:rPr>
        <w:footnoteRef/>
      </w:r>
      <w:r>
        <w:t xml:space="preserve"> </w:t>
      </w:r>
      <w:r>
        <w:tab/>
      </w:r>
      <w:r w:rsidRPr="1D71F885">
        <w:t xml:space="preserve">ESRS E1-1 defines transition plans for climate change mitigation as </w:t>
      </w:r>
      <w:r w:rsidRPr="1D71F885">
        <w:rPr>
          <w:rFonts w:eastAsia="Calibri" w:cs="Calibri"/>
          <w:i/>
          <w:iCs/>
        </w:rPr>
        <w:t>”an aspect of an undertaking’s overall strategy that lays out the undertaking’s targets, actions and resources for its transition towards a lower-carbon economy, including actions such as reducing its GHG emissions with regard to the objective of limiting global warming to 1.5°C and climate neutrality</w:t>
      </w:r>
      <w:r>
        <w:t xml:space="preserve">” </w:t>
      </w:r>
      <w:r>
        <w:fldChar w:fldCharType="begin"/>
      </w:r>
      <w:r>
        <w:instrText xml:space="preserve"> ADDIN ZOTERO_ITEM CSL_CITATION {"citationID":"DSmH1hty","properties":{"formattedCitation":"[33]","plainCitation":"[33]","noteIndex":2},"citationItems":[{"id":1153,"uris":["http://zotero.org/groups/5272309/items/WW8YIIRS"],"itemData":{"id":1153,"type":"legislation","language":"en","note":"Legislative Body: COM, FISMA","title":"Commission Delegated Regulation (EU) 2023/2772 of 31</w:instrText>
      </w:r>
      <w:r>
        <w:rPr>
          <w:rFonts w:ascii="Calibri" w:hAnsi="Calibri" w:cs="Calibri"/>
        </w:rPr>
        <w:instrText> </w:instrText>
      </w:r>
      <w:r>
        <w:instrText>July 2023 supplementing Directive</w:instrText>
      </w:r>
      <w:r>
        <w:rPr>
          <w:rFonts w:ascii="Calibri" w:hAnsi="Calibri" w:cs="Calibri"/>
        </w:rPr>
        <w:instrText> </w:instrText>
      </w:r>
      <w:r>
        <w:instrText xml:space="preserve">2013/34/EU of the European Parliament and of the Council as regards sustainability reporting standards","URL":"http://data.europa.eu/eli/reg_del/2023/2772/oj/eng","accessed":{"date-parts":[["2025",3,20]]},"issued":{"date-parts":[["2023",7,31]]}}}],"schema":"https://github.com/citation-style-language/schema/raw/master/csl-citation.json"} </w:instrText>
      </w:r>
      <w:r>
        <w:fldChar w:fldCharType="separate"/>
      </w:r>
      <w:r w:rsidRPr="00872B10">
        <w:t>[33]</w:t>
      </w:r>
      <w:r>
        <w:fldChar w:fldCharType="end"/>
      </w:r>
      <w:r>
        <w:t>.</w:t>
      </w:r>
    </w:p>
  </w:footnote>
  <w:footnote w:id="4">
    <w:p w14:paraId="19D8EEED" w14:textId="722527FB" w:rsidR="00621F80" w:rsidRPr="00C52E71" w:rsidRDefault="00621F80" w:rsidP="000C0D8F">
      <w:pPr>
        <w:pStyle w:val="FootnoteText"/>
      </w:pPr>
      <w:r w:rsidRPr="00C52E71">
        <w:rPr>
          <w:rStyle w:val="FootnoteReference"/>
        </w:rPr>
        <w:footnoteRef/>
      </w:r>
      <w:r w:rsidRPr="00C52E71">
        <w:t xml:space="preserve"> </w:t>
      </w:r>
      <w:r w:rsidRPr="00C52E71">
        <w:tab/>
      </w:r>
      <w:r w:rsidRPr="00984A33">
        <w:t>EBA ‘Guidelines on the management of environmental, social and governance (ESG) risks</w:t>
      </w:r>
      <w:r>
        <w:t xml:space="preserve"> </w:t>
      </w:r>
      <w:r>
        <w:fldChar w:fldCharType="begin"/>
      </w:r>
      <w:r w:rsidR="001F217C">
        <w:instrText xml:space="preserve"> ADDIN ZOTERO_ITEM CSL_CITATION {"citationID":"GWLJ3TRJ","properties":{"formattedCitation":"[37]","plainCitation":"[37]","noteIndex":3},"citationItems":[{"id":1123,"uris":["http://zotero.org/groups/5272309/items/LW73NEJP"],"itemData":{"id":1123,"type":"report","number":"EBA/GL/2025/01","title":"Guidelines on the management of environmental, social and governance (ESG) risks - Final Report","URL":"https://www.eba.europa.eu/sites/default/files/2025-01/fb22982a-d69d-42cc-9d62-1023497ad58a/Final%20Guidelines%20on%20the%20management%20of%20ESG%20risks.pdf","author":[{"literal":"European Banking Authority"}],"issued":{"date-parts":[["2025",8,1]]}}}],"schema":"https://github.com/citation-style-language/schema/raw/master/csl-citation.json"} </w:instrText>
      </w:r>
      <w:r>
        <w:fldChar w:fldCharType="separate"/>
      </w:r>
      <w:r w:rsidRPr="007D0404">
        <w:t>[37]</w:t>
      </w:r>
      <w:r>
        <w:fldChar w:fldCharType="end"/>
      </w:r>
      <w:r w:rsidRPr="00C52E71">
        <w:t>; The EBA is mandated under Article 87a(5) of CRD6 to issue Guidelines on the identification, measurement, management and monitoring of ESG risks, including by specifying the content of plans to be prepared by institutions in accordance with Article 76(2) of the CRD to monitor and address the financial risks stemming from ESG factors in the short, medium and long term.</w:t>
      </w:r>
    </w:p>
  </w:footnote>
  <w:footnote w:id="5">
    <w:p w14:paraId="2E746DB1" w14:textId="39DE0EAD" w:rsidR="00621F80" w:rsidRPr="00C52E71" w:rsidRDefault="00621F80" w:rsidP="000C0D8F">
      <w:pPr>
        <w:pStyle w:val="FootnoteText"/>
      </w:pPr>
      <w:r w:rsidRPr="00C52E71">
        <w:rPr>
          <w:rStyle w:val="FootnoteReference"/>
        </w:rPr>
        <w:footnoteRef/>
      </w:r>
      <w:r w:rsidRPr="00C52E71">
        <w:t xml:space="preserve"> Business Europe, </w:t>
      </w:r>
      <w:hyperlink r:id="rId2" w:history="1">
        <w:r w:rsidRPr="00C52E71">
          <w:rPr>
            <w:rStyle w:val="Hyperlink"/>
            <w:iCs/>
            <w:lang w:val="en-IE"/>
          </w:rPr>
          <w:t>P</w:t>
        </w:r>
      </w:hyperlink>
      <w:hyperlink r:id="rId3" w:history="1">
        <w:r w:rsidRPr="00C52E71">
          <w:rPr>
            <w:rStyle w:val="Hyperlink"/>
            <w:iCs/>
            <w:lang w:val="en-IE"/>
          </w:rPr>
          <w:t>o</w:t>
        </w:r>
      </w:hyperlink>
      <w:hyperlink r:id="rId4" w:history="1">
        <w:r w:rsidRPr="00C52E71">
          <w:rPr>
            <w:rStyle w:val="Hyperlink"/>
            <w:iCs/>
            <w:lang w:val="en-IE"/>
          </w:rPr>
          <w:t>licy priorities on sustainable finance for 2024-2029</w:t>
        </w:r>
      </w:hyperlink>
    </w:p>
  </w:footnote>
  <w:footnote w:id="6">
    <w:p w14:paraId="43A0F518" w14:textId="77777777" w:rsidR="00621F80" w:rsidRPr="00C52E71" w:rsidRDefault="00621F80" w:rsidP="000C0D8F">
      <w:pPr>
        <w:pStyle w:val="FootnoteText"/>
      </w:pPr>
      <w:r w:rsidRPr="00C52E71">
        <w:rPr>
          <w:rStyle w:val="FootnoteReference"/>
        </w:rPr>
        <w:footnoteRef/>
      </w:r>
      <w:r w:rsidRPr="00C52E71">
        <w:t xml:space="preserve"> </w:t>
      </w:r>
      <w:hyperlink r:id="rId5" w:history="1">
        <w:r w:rsidRPr="00C52E71">
          <w:rPr>
            <w:rStyle w:val="Hyperlink"/>
          </w:rPr>
          <w:t>https://base-empreinte.ademe.fr/</w:t>
        </w:r>
      </w:hyperlink>
    </w:p>
  </w:footnote>
  <w:footnote w:id="7">
    <w:p w14:paraId="10E772BD" w14:textId="3D927BFE" w:rsidR="00621F80" w:rsidRPr="00613B23" w:rsidRDefault="00621F80" w:rsidP="000C0D8F">
      <w:pPr>
        <w:pStyle w:val="FootnoteText"/>
        <w:rPr>
          <w:u w:val="single"/>
        </w:rPr>
      </w:pPr>
      <w:r w:rsidRPr="00C52E71">
        <w:rPr>
          <w:rStyle w:val="FootnoteReference"/>
        </w:rPr>
        <w:footnoteRef/>
      </w:r>
      <w:r w:rsidRPr="00C52E71">
        <w:t xml:space="preserve"> </w:t>
      </w:r>
      <w:hyperlink r:id="rId6" w:history="1">
        <w:r w:rsidRPr="00277068">
          <w:rPr>
            <w:rStyle w:val="Hyperlink"/>
          </w:rPr>
          <w:t>https://co2</w:t>
        </w:r>
        <w:r w:rsidRPr="00277068">
          <w:rPr>
            <w:rStyle w:val="Hyperlink"/>
          </w:rPr>
          <w:t>emissiefactoren.nl/</w:t>
        </w:r>
      </w:hyperlink>
      <w:r w:rsidR="001F217C" w:rsidRPr="001F217C">
        <w:rPr>
          <w:rStyle w:val="Hyperlink"/>
          <w:u w:val="none"/>
        </w:rPr>
        <w:t xml:space="preserve"> </w:t>
      </w:r>
    </w:p>
  </w:footnote>
  <w:footnote w:id="8">
    <w:p w14:paraId="1A29680C" w14:textId="77777777" w:rsidR="00621F80" w:rsidRPr="00C52E71" w:rsidRDefault="00621F80" w:rsidP="000C0D8F">
      <w:pPr>
        <w:pStyle w:val="FootnoteText"/>
      </w:pPr>
      <w:r w:rsidRPr="00C52E71">
        <w:rPr>
          <w:rStyle w:val="FootnoteReference"/>
        </w:rPr>
        <w:footnoteRef/>
      </w:r>
      <w:r w:rsidRPr="00C52E71">
        <w:t xml:space="preserve"> </w:t>
      </w:r>
      <w:hyperlink r:id="rId7" w:history="1">
        <w:r w:rsidRPr="00C52E71">
          <w:rPr>
            <w:rStyle w:val="Hyperlink"/>
          </w:rPr>
          <w:t>https://www.epa.gov/climateleadership/simplified-ghg-emissions-calculator</w:t>
        </w:r>
      </w:hyperlink>
    </w:p>
  </w:footnote>
  <w:footnote w:id="9">
    <w:p w14:paraId="4AD43995" w14:textId="71A6AD77" w:rsidR="00621F80" w:rsidRDefault="00621F80" w:rsidP="000C0D8F">
      <w:pPr>
        <w:pStyle w:val="FootnoteText"/>
        <w:keepLines/>
        <w:ind w:left="284" w:hanging="284"/>
      </w:pPr>
      <w:r>
        <w:rPr>
          <w:rStyle w:val="FootnoteReference"/>
        </w:rPr>
        <w:footnoteRef/>
      </w:r>
      <w:r>
        <w:t xml:space="preserve"> </w:t>
      </w:r>
      <w:r>
        <w:tab/>
      </w:r>
      <w:r w:rsidRPr="00251B98">
        <w:t xml:space="preserve">“Transition finance means financing of </w:t>
      </w:r>
      <w:r w:rsidRPr="00D1111C">
        <w:t>investments</w:t>
      </w:r>
      <w:r w:rsidRPr="00251B98">
        <w:t xml:space="preserve"> compatible with and contributing to the transition, that avoids lock-ins, including: … </w:t>
      </w:r>
      <w:r w:rsidRPr="005560C9">
        <w:rPr>
          <w:spacing w:val="-2"/>
        </w:rPr>
        <w:t>(c) investments in undertakings or economic activities with a credible transition plan at the level of the undertaking or at activity level…”</w:t>
      </w:r>
      <w:r>
        <w:rPr>
          <w:spacing w:val="-2"/>
        </w:rPr>
        <w:t xml:space="preserve"> </w:t>
      </w:r>
      <w:r>
        <w:rPr>
          <w:spacing w:val="-2"/>
        </w:rPr>
        <w:fldChar w:fldCharType="begin"/>
      </w:r>
      <w:r w:rsidR="001F217C">
        <w:rPr>
          <w:spacing w:val="-2"/>
        </w:rPr>
        <w:instrText xml:space="preserve"> ADDIN ZOTERO_ITEM CSL_CITATION {"citationID":"J8IdSohx","properties":{"formattedCitation":"[12]","plainCitation":"[12]","noteIndex":8},"citationItems":[{"id":1108,"uris":["http://zotero.org/groups/5272309/items/MDKT5WFV"],"itemData":{"id":1108,"type":"report","language":"en","note":"volume: 174\ncontainer-title: OJ L\nLegislative Body: COM, FISMA","source":"EUR-Lex","title":"Commission Recommendation (EU) 2023/1425 of 27</w:instrText>
      </w:r>
      <w:r w:rsidR="001F217C">
        <w:rPr>
          <w:rFonts w:ascii="Calibri" w:hAnsi="Calibri" w:cs="Calibri"/>
          <w:spacing w:val="-2"/>
        </w:rPr>
        <w:instrText> </w:instrText>
      </w:r>
      <w:r w:rsidR="001F217C">
        <w:rPr>
          <w:spacing w:val="-2"/>
        </w:rPr>
        <w:instrText xml:space="preserve">June 2023 on facilitating finance for the transition to a sustainable economy","URL":"http://data.europa.eu/eli/reco/2023/1425/oj/eng","accessed":{"date-parts":[["2025",3,18]]},"issued":{"date-parts":[["2023",6,27]]}}}],"schema":"https://github.com/citation-style-language/schema/raw/master/csl-citation.json"} </w:instrText>
      </w:r>
      <w:r>
        <w:rPr>
          <w:spacing w:val="-2"/>
        </w:rPr>
        <w:fldChar w:fldCharType="separate"/>
      </w:r>
      <w:r w:rsidRPr="00E42CE5">
        <w:t>[12]</w:t>
      </w:r>
      <w:r>
        <w:rPr>
          <w:spacing w:val="-2"/>
        </w:rPr>
        <w:fldChar w:fldCharType="end"/>
      </w:r>
    </w:p>
  </w:footnote>
  <w:footnote w:id="10">
    <w:p w14:paraId="4AB1E045" w14:textId="77777777" w:rsidR="00621F80" w:rsidRPr="00AC1C86" w:rsidRDefault="00621F80" w:rsidP="000C0D8F">
      <w:pPr>
        <w:pStyle w:val="FootnoteText"/>
        <w:rPr>
          <w:rFonts w:eastAsia="EC Square Sans Pro" w:cs="EC Square Sans Pro"/>
        </w:rPr>
      </w:pPr>
      <w:r w:rsidRPr="00723CE0">
        <w:rPr>
          <w:vertAlign w:val="superscript"/>
        </w:rPr>
        <w:footnoteRef/>
      </w:r>
      <w:r w:rsidRPr="00723CE0">
        <w:rPr>
          <w:vertAlign w:val="superscript"/>
        </w:rPr>
        <w:t xml:space="preserve"> </w:t>
      </w:r>
      <w:r>
        <w:tab/>
      </w:r>
      <w:r w:rsidRPr="464B6355">
        <w:rPr>
          <w:rFonts w:eastAsia="EC Square Sans Pro" w:cs="EC Square Sans Pro"/>
        </w:rPr>
        <w:t>Based on BNEF data, retrieved in April 2024.</w:t>
      </w:r>
    </w:p>
  </w:footnote>
  <w:footnote w:id="11">
    <w:p w14:paraId="7D31F586" w14:textId="77777777" w:rsidR="00621F80" w:rsidRPr="005B3FE9" w:rsidRDefault="00621F80" w:rsidP="000C0D8F">
      <w:pPr>
        <w:pStyle w:val="FootnoteText"/>
        <w:rPr>
          <w:u w:val="single"/>
        </w:rPr>
      </w:pPr>
      <w:r>
        <w:rPr>
          <w:rStyle w:val="FootnoteReference"/>
        </w:rPr>
        <w:footnoteRef/>
      </w:r>
      <w:r>
        <w:t xml:space="preserve"> </w:t>
      </w:r>
      <w:r>
        <w:tab/>
        <w:t>A</w:t>
      </w:r>
      <w:r w:rsidRPr="00EE5C2F">
        <w:t xml:space="preserve"> company may depend on several external local factors to meet their emission reduction targets (‘geographical dependencies’): e.g. physical resource availability at the locations where the company has assets (e.g. decarbonised grids, H2 availability, CCS infrastructure), and the associated non-physical impediments or opportunities to transition in different regions (e.g. policy support, economic conditions)</w:t>
      </w:r>
    </w:p>
  </w:footnote>
  <w:footnote w:id="12">
    <w:p w14:paraId="2054B474" w14:textId="7977CFB0" w:rsidR="00621F80" w:rsidRDefault="00621F80" w:rsidP="005C1A6F">
      <w:pPr>
        <w:pStyle w:val="FootnoteText"/>
      </w:pPr>
      <w:r>
        <w:rPr>
          <w:rStyle w:val="FootnoteReference"/>
        </w:rPr>
        <w:footnoteRef/>
      </w:r>
      <w:r>
        <w:t xml:space="preserve"> </w:t>
      </w:r>
      <w:r w:rsidRPr="00BE3745">
        <w:t xml:space="preserve">As reflected in the Political Guidelines for the next European Commission 2024−2029 </w:t>
      </w:r>
      <w:r w:rsidRPr="00BE3745">
        <w:fldChar w:fldCharType="begin"/>
      </w:r>
      <w:r w:rsidR="001F217C">
        <w:instrText xml:space="preserve"> ADDIN ZOTERO_ITEM CSL_CITATION {"citationID":"d5COimuV","properties":{"formattedCitation":"[46]","plainCitation":"[46]","noteIndex":11},"citationItems":[{"id":1130,"uris":["http://zotero.org/groups/5272309/items/H9HXN8ZJ"],"itemData":{"id":1130,"type":"book","abstract":"Campaigning across Europe ahead of this year’s European elections was a reminder of what makes our Union what it is. Almost 500 million people with such disparate cultures, complex histories and differing perspectives all coming together at the same time to articulate their wish for an entire Union of 27 countries. In casting their vote they also help to build a shared European identity – all of this bound together by our rich and varied cultural tapestry. This is Europe’s greatest strength. It makes Europe more than a construct or a project. Europe is our home: unique in design and united in diversity. From the record number of first-time voters to those who have voted in every European election, people expressed hopes and aspirations for a healthier and more prosperous future. But they also pointed to the fact that we are in an era of anxiety and uncertainty. Europeans have real doubts and concerns about the instabilities and insecurities we face – from the cost of living, housing and doing business to the way issues such as migration are handled. From our security at home to the wars in Ukraine and the Middle East. They also worry that Europe is often not fast enough; that it can be either too distant or too burdensome. All of these expectations and concerns are real, legitimate and must be responded to. For that reason, I believe it is essential that the democratic centre in Europe holds. But if that centre is to hold it must live up to the scale of the concerns and the challenges that people face in their lives. Failure to do so would fuel resentment and polarisation and leave a fertile ground for those who peddle simplistic solutions but in reality want to destabilise our societies. This is the backdrop to what is an era of profound change – for our society and our security, our planet and our economy. The speed of change can be destabilising and, for some, can lead to a sense of loss for the world as it used to be and a worry for the world as it will be.","call-number":"NA-09-24-611-EN-N","ISBN":"978-92-68-19516-1","language":"eng","publisher":"Publications Office of the European Union","source":"Publications Office of the European Union","title":"Europe’s choice: political guidelines for the next European Commission 2024−2029","title-short":"Europe’s choice","URL":"https://data.europa.eu/doi/10.2775/260104","author":[{"literal":"Directorate-General for Communication\n                \n                        (European Commission)"},{"family":"Leyen","given":"Ursula","dropping-particle":"von der"}],"accessed":{"date-parts":[["2025",3,19]]},"issued":{"date-parts":[["2024"]]}}}],"schema":"https://github.com/citation-style-language/schema/raw/master/csl-citation.json"} </w:instrText>
      </w:r>
      <w:r w:rsidRPr="00BE3745">
        <w:fldChar w:fldCharType="separate"/>
      </w:r>
      <w:r w:rsidRPr="007D0404">
        <w:t>[46]</w:t>
      </w:r>
      <w:r w:rsidRPr="00BE3745">
        <w:fldChar w:fldCharType="end"/>
      </w:r>
      <w:r>
        <w:t>.</w:t>
      </w:r>
    </w:p>
  </w:footnote>
  <w:footnote w:id="13">
    <w:p w14:paraId="257E1E16" w14:textId="7B86F940" w:rsidR="00621F80" w:rsidRDefault="00621F80" w:rsidP="005C1A6F">
      <w:pPr>
        <w:pStyle w:val="FootnoteText"/>
      </w:pPr>
      <w:r w:rsidRPr="00B56D02">
        <w:rPr>
          <w:rStyle w:val="FootnoteReference"/>
          <w:sz w:val="18"/>
        </w:rPr>
        <w:footnoteRef/>
      </w:r>
      <w:r w:rsidRPr="00B56D02">
        <w:t xml:space="preserve"> </w:t>
      </w:r>
      <w:r>
        <w:tab/>
      </w:r>
      <w:r w:rsidRPr="00B56D02">
        <w:t xml:space="preserve">See </w:t>
      </w:r>
      <w:r w:rsidRPr="00B56D02">
        <w:rPr>
          <w:color w:val="2B579A"/>
          <w:shd w:val="clear" w:color="auto" w:fill="E6E6E6"/>
        </w:rPr>
        <w:fldChar w:fldCharType="begin" w:fldLock="1"/>
      </w:r>
      <w:r w:rsidR="001F217C">
        <w:instrText xml:space="preserve"> ADDIN ZOTERO_ITEM CSL_CITATION {"citationID":"HVGOiwb6","properties":{"formattedCitation":"[47]","plainCitation":"[47]","noteIndex":12},"citationItems":[{"id":"H86w6Ooz/787qwIjg","uris":["http://www.mendeley.com/documents/?uuid=04922567-d403-4bd4-8a74-67c238f31067","http://www.mendeley.com/documents/?uuid=c0ce110b-ff76-441e-91f6-16bfebf85f70"],"itemData":{"author":[{"dropping-particle":"","family":"Stout","given":"Sean","non-dropping-particle":"","parse-names":false,"suffix":""}],"container-title":"Climate Policy Initiative","id":"ITEM-1","issued":{"date-parts":[["2022"]]},"title":"Unlocking Private Sector Adaptation Finance","type":"webpage"}}],"schema":"https://github.com/citation-style-language/schema/raw/master/csl-citation.json"} </w:instrText>
      </w:r>
      <w:r w:rsidRPr="00B56D02">
        <w:rPr>
          <w:color w:val="2B579A"/>
          <w:shd w:val="clear" w:color="auto" w:fill="E6E6E6"/>
        </w:rPr>
        <w:fldChar w:fldCharType="separate"/>
      </w:r>
      <w:r w:rsidRPr="007D0404">
        <w:t>[47]</w:t>
      </w:r>
      <w:r w:rsidRPr="00B56D02">
        <w:rPr>
          <w:color w:val="2B579A"/>
          <w:shd w:val="clear" w:color="auto" w:fill="E6E6E6"/>
        </w:rPr>
        <w:fldChar w:fldCharType="end"/>
      </w:r>
      <w:r w:rsidRPr="00B56D02">
        <w:t xml:space="preserve"> for a complete discussions of the barriers and potential solutions.</w:t>
      </w:r>
    </w:p>
  </w:footnote>
  <w:footnote w:id="14">
    <w:p w14:paraId="72550157" w14:textId="77777777" w:rsidR="00621F80" w:rsidRDefault="00621F80" w:rsidP="005C1A6F">
      <w:pPr>
        <w:pStyle w:val="FootnoteText"/>
      </w:pPr>
      <w:r w:rsidRPr="3AB2B1CF">
        <w:rPr>
          <w:rStyle w:val="FootnoteReference"/>
        </w:rPr>
        <w:footnoteRef/>
      </w:r>
      <w:r>
        <w:t xml:space="preserve"> </w:t>
      </w:r>
      <w:r>
        <w:tab/>
        <w:t xml:space="preserve">Though the EU has not set any target for the EU budget relating to clean air, tracking these expenditures is a requirement arising from Article this methodology is needed to comply with the reporting requirements laid down in Article 11(1)(c) of the Directive (EU) 2016/2284 of the European Parliament and of the Council. </w:t>
      </w:r>
    </w:p>
  </w:footnote>
  <w:footnote w:id="15">
    <w:p w14:paraId="42214E28" w14:textId="77777777" w:rsidR="00621F80" w:rsidRPr="00D148DC" w:rsidRDefault="00621F80" w:rsidP="005C1A6F">
      <w:pPr>
        <w:pStyle w:val="FootnoteText"/>
        <w:rPr>
          <w:lang w:val="en-IE"/>
        </w:rPr>
      </w:pPr>
      <w:r>
        <w:rPr>
          <w:rStyle w:val="FootnoteReference"/>
        </w:rPr>
        <w:footnoteRef/>
      </w:r>
      <w:r>
        <w:t xml:space="preserve"> </w:t>
      </w:r>
      <w:r>
        <w:tab/>
        <w:t>The six environmental objectives include: 1) climate change mitigation; 2) climate change adaptation; 3) he sustainable use and protection of water and marine resources; 4) the transition to a circular economy; 5) pollution prevention and control; and 6) the protection and restoration of biodiversity and ecosystems.</w:t>
      </w:r>
    </w:p>
  </w:footnote>
  <w:footnote w:id="16">
    <w:p w14:paraId="71EDC21D" w14:textId="77777777" w:rsidR="00621F80" w:rsidRDefault="00621F80" w:rsidP="005C1A6F">
      <w:pPr>
        <w:pStyle w:val="FootnoteText"/>
      </w:pPr>
      <w:r w:rsidRPr="3AB2B1CF">
        <w:rPr>
          <w:rStyle w:val="FootnoteReference"/>
        </w:rPr>
        <w:footnoteRef/>
      </w:r>
      <w:r>
        <w:t xml:space="preserve"> </w:t>
      </w:r>
      <w:r>
        <w:tab/>
      </w:r>
      <w:hyperlink r:id="rId8">
        <w:r w:rsidRPr="3AB2B1CF">
          <w:rPr>
            <w:rStyle w:val="Hyperlink"/>
          </w:rPr>
          <w:t>https://commission.europa.eu/strategy-</w:t>
        </w:r>
        <w:r w:rsidRPr="00BE3745">
          <w:rPr>
            <w:rStyle w:val="Hyperlink"/>
            <w:u w:val="none"/>
          </w:rPr>
          <w:t>and</w:t>
        </w:r>
        <w:r w:rsidRPr="3AB2B1CF">
          <w:rPr>
            <w:rStyle w:val="Hyperlink"/>
          </w:rPr>
          <w:t>-policy/eu-budget/performance-and-reporting/horizontal-priorities/green-budgeting_en</w:t>
        </w:r>
      </w:hyperlink>
      <w:r>
        <w:t xml:space="preserve"> </w:t>
      </w:r>
    </w:p>
  </w:footnote>
  <w:footnote w:id="17">
    <w:p w14:paraId="493CB6B7" w14:textId="77777777" w:rsidR="00621F80" w:rsidRDefault="00621F80" w:rsidP="005C1A6F">
      <w:pPr>
        <w:pStyle w:val="FootnoteText"/>
      </w:pPr>
      <w:r>
        <w:rPr>
          <w:rStyle w:val="FootnoteReference"/>
        </w:rPr>
        <w:footnoteRef/>
      </w:r>
      <w:r>
        <w:t xml:space="preserve"> </w:t>
      </w:r>
      <w:r>
        <w:tab/>
        <w:t xml:space="preserve">Examples of performance indicators used by the LIFE programme for other objectives beyond climate change mitigation include the </w:t>
      </w:r>
      <w:r w:rsidRPr="00D33BBC">
        <w:t>‘volume of water where efficiency is improving’ or the ‘amount of waste which management is improving’.</w:t>
      </w:r>
    </w:p>
  </w:footnote>
  <w:footnote w:id="18">
    <w:p w14:paraId="393A5EC7" w14:textId="3137AEA4" w:rsidR="00621F80" w:rsidRPr="003015FC" w:rsidRDefault="00621F80" w:rsidP="005C1A6F">
      <w:pPr>
        <w:pStyle w:val="FootnoteText"/>
        <w:rPr>
          <w:u w:val="single"/>
        </w:rPr>
      </w:pPr>
      <w:r>
        <w:rPr>
          <w:rStyle w:val="FootnoteReference"/>
        </w:rPr>
        <w:footnoteRef/>
      </w:r>
      <w:r>
        <w:t xml:space="preserve"> </w:t>
      </w:r>
      <w:r>
        <w:tab/>
        <w:t>For instance, the European Court of Auditors has identified the u</w:t>
      </w:r>
      <w:r w:rsidRPr="006A4480">
        <w:t xml:space="preserve">ncertainties on </w:t>
      </w:r>
      <w:r>
        <w:t xml:space="preserve">the implementing rules for the DNSH principle as one of the reasons causing delays in the implementation of the RRF </w:t>
      </w:r>
      <w:r>
        <w:fldChar w:fldCharType="begin"/>
      </w:r>
      <w:r w:rsidR="001F217C">
        <w:instrText xml:space="preserve"> ADDIN ZOTERO_ITEM CSL_CITATION {"citationID":"lUPEz96O","properties":{"formattedCitation":"[50]","plainCitation":"[50]","noteIndex":17},"citationItems":[{"id":1133,"uris":["http://zotero.org/groups/5272309/items/K6FCPBBU"],"itemData":{"id":1133,"type":"book","event-place":"LU","language":"eng","publisher":"Publications Office","publisher-place":"LU","source":"DOI.org (CSL JSON)","title":"Absorption of funds from the Recovery and Resilience Facility: progressing with delays and risks remain regarding the completion of measures and therefore the achievement of RRF objectives. Special report 13, 2024.","title-short":"Absorption of funds from the Recovery and Resilience Facility","URL":"https://data.europa.eu/doi/10.2865/207321","author":[{"literal":"European Court of Auditors."}],"accessed":{"date-parts":[["2025",3,19]]},"issued":{"date-parts":[["2024"]]}}}],"schema":"https://github.com/citation-style-language/schema/raw/master/csl-citation.json"} </w:instrText>
      </w:r>
      <w:r>
        <w:fldChar w:fldCharType="separate"/>
      </w:r>
      <w:r w:rsidRPr="007D0404">
        <w:t>[50]</w:t>
      </w:r>
      <w:r>
        <w:fldChar w:fldCharType="end"/>
      </w:r>
      <w:r>
        <w:t>.</w:t>
      </w:r>
    </w:p>
  </w:footnote>
  <w:footnote w:id="19">
    <w:p w14:paraId="0F52B909" w14:textId="4BF89A01" w:rsidR="00621F80" w:rsidRPr="00BC61DF" w:rsidRDefault="00621F80" w:rsidP="005C1A6F">
      <w:pPr>
        <w:pStyle w:val="FootnoteText"/>
        <w:rPr>
          <w:u w:val="single"/>
        </w:rPr>
      </w:pPr>
      <w:r>
        <w:rPr>
          <w:rStyle w:val="FootnoteReference"/>
        </w:rPr>
        <w:footnoteRef/>
      </w:r>
      <w:r>
        <w:t xml:space="preserve"> </w:t>
      </w:r>
      <w:r>
        <w:tab/>
        <w:t>C</w:t>
      </w:r>
      <w:r w:rsidRPr="00B03804">
        <w:t>limate change mitigation, climate change adaptation, water, circular economy, pollution prevention and control and biodiversity and ecosystems.</w:t>
      </w:r>
      <w:r>
        <w:t xml:space="preserve"> </w:t>
      </w:r>
      <w:r w:rsidR="001F217C">
        <w:fldChar w:fldCharType="begin"/>
      </w:r>
      <w:r w:rsidR="001F217C">
        <w:instrText xml:space="preserve"> ADDIN ZOTERO_ITEM CSL_CITATION {"citationID":"cbSPgoaX","properties":{"formattedCitation":"[51]","plainCitation":"[51]","noteIndex":18},"citationItems":[{"id":71,"uris":["http://zotero.org/groups/5272309/items/ZH26TJ7R"],"itemData":{"id":71,"type":"legislation","container-title":"OJ L","language":"en","note":"Legislative Body: CONSIL, EP","title":"Regulation (EU) 2020/852 of the European Parliament and of the Council of 18 June 2020 on the establishment of a framework to facilitate sustainable investment, and amending Regulation (EU) 2019/2088 (Text with EEA relevance)","title-short":"Regulation (EU) 2020/852","URL":"http://data.europa.eu/eli/reg/2020/852/oj/eng","volume":"198","accessed":{"date-parts":[["2023",11,29]]},"issued":{"date-parts":[["2020",6,18]]}}}],"schema":"https://github.com/citation-style-language/schema/raw/master/csl-citation.json"} </w:instrText>
      </w:r>
      <w:r w:rsidR="001F217C">
        <w:fldChar w:fldCharType="separate"/>
      </w:r>
      <w:r w:rsidR="001F217C" w:rsidRPr="001F217C">
        <w:t>[51]</w:t>
      </w:r>
      <w:r w:rsidR="001F217C">
        <w:fldChar w:fldCharType="end"/>
      </w:r>
    </w:p>
  </w:footnote>
  <w:footnote w:id="20">
    <w:p w14:paraId="26381233" w14:textId="2E49F569" w:rsidR="00621F80" w:rsidRPr="00AB6CBF" w:rsidRDefault="00621F80" w:rsidP="005C1A6F">
      <w:pPr>
        <w:pStyle w:val="FootnoteText"/>
        <w:rPr>
          <w:u w:val="single"/>
        </w:rPr>
      </w:pPr>
      <w:r>
        <w:rPr>
          <w:rStyle w:val="FootnoteReference"/>
        </w:rPr>
        <w:footnoteRef/>
      </w:r>
      <w:r>
        <w:t xml:space="preserve"> </w:t>
      </w:r>
      <w:r>
        <w:tab/>
        <w:t>Regulation (EU, Euratom) 2024/2509 of the European Parliament and of the Council of 23 September 2024 on the financial rules applicable to the general budget of the Union (recast).</w:t>
      </w:r>
    </w:p>
  </w:footnote>
  <w:footnote w:id="21">
    <w:p w14:paraId="4E497595" w14:textId="77777777" w:rsidR="00621F80" w:rsidRPr="00A20F3C" w:rsidRDefault="00621F80" w:rsidP="005C1A6F">
      <w:pPr>
        <w:pStyle w:val="FootnoteText"/>
      </w:pPr>
      <w:r>
        <w:rPr>
          <w:rStyle w:val="FootnoteReference"/>
        </w:rPr>
        <w:footnoteRef/>
      </w:r>
      <w:r w:rsidRPr="008A7067">
        <w:t xml:space="preserve"> </w:t>
      </w:r>
      <w:r w:rsidRPr="008A7067">
        <w:tab/>
        <w:t xml:space="preserve">European Commission (2024). </w:t>
      </w:r>
      <w:r>
        <w:t xml:space="preserve">Call for Evidence. Social Climate Fund – guidance on applying the ‘do no significant harm’ principle. </w:t>
      </w:r>
      <w:hyperlink r:id="rId9" w:history="1">
        <w:r w:rsidRPr="00A20F3C">
          <w:rPr>
            <w:rStyle w:val="Hyperlink"/>
          </w:rPr>
          <w:t>https://ec.europa.eu/info/law/</w:t>
        </w:r>
        <w:r w:rsidRPr="0081160C">
          <w:rPr>
            <w:rStyle w:val="Hyperlink"/>
            <w:u w:val="none"/>
          </w:rPr>
          <w:t>better</w:t>
        </w:r>
        <w:r w:rsidRPr="00A20F3C">
          <w:rPr>
            <w:rStyle w:val="Hyperlink"/>
          </w:rPr>
          <w:t>-regulation/have-your-say/initiatives/14240-Social-Climate-Fund-guidance-on-applying-the-do-no-significant-harm-principle_en</w:t>
        </w:r>
      </w:hyperlink>
      <w:r w:rsidRPr="00A20F3C">
        <w:t xml:space="preserve"> </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25A5"/>
    <w:multiLevelType w:val="hybridMultilevel"/>
    <w:tmpl w:val="ED580D1E"/>
    <w:lvl w:ilvl="0" w:tplc="DB805A3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AF3A4D"/>
    <w:multiLevelType w:val="hybridMultilevel"/>
    <w:tmpl w:val="FF54D748"/>
    <w:lvl w:ilvl="0" w:tplc="A0EE43A2">
      <w:start w:val="1"/>
      <w:numFmt w:val="bullet"/>
      <w:pStyle w:val="JRCTextbulletedlist1"/>
      <w:lvlText w:val="—"/>
      <w:lvlJc w:val="left"/>
      <w:pPr>
        <w:ind w:left="360" w:hanging="360"/>
      </w:pPr>
      <w:rPr>
        <w:rFonts w:ascii="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A21BA5"/>
    <w:multiLevelType w:val="hybridMultilevel"/>
    <w:tmpl w:val="BB9E406E"/>
    <w:lvl w:ilvl="0" w:tplc="A0EE43A2">
      <w:start w:val="1"/>
      <w:numFmt w:val="bullet"/>
      <w:lvlText w:val="—"/>
      <w:lvlJc w:val="left"/>
      <w:pPr>
        <w:ind w:left="360" w:hanging="360"/>
      </w:pPr>
      <w:rPr>
        <w:rFonts w:ascii="Times New Roman" w:hAnsi="Times New Roman" w:cs="Times New Roman" w:hint="default"/>
      </w:rPr>
    </w:lvl>
    <w:lvl w:ilvl="1" w:tplc="4480544E">
      <w:start w:val="1"/>
      <w:numFmt w:val="bullet"/>
      <w:pStyle w:val="JRCTextbulletedlist2"/>
      <w:lvlText w:val="●"/>
      <w:lvlJc w:val="left"/>
      <w:pPr>
        <w:ind w:left="1080" w:hanging="360"/>
      </w:pPr>
      <w:rPr>
        <w:rFonts w:ascii="Verdana" w:hAnsi="Verdana"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1EA7D2A"/>
    <w:multiLevelType w:val="hybridMultilevel"/>
    <w:tmpl w:val="15247274"/>
    <w:lvl w:ilvl="0" w:tplc="54E0AC7A">
      <w:start w:val="1"/>
      <w:numFmt w:val="bullet"/>
      <w:pStyle w:val="JRCBoxbulletlis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140437"/>
    <w:multiLevelType w:val="multilevel"/>
    <w:tmpl w:val="42A04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697730"/>
    <w:multiLevelType w:val="multilevel"/>
    <w:tmpl w:val="7B1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34042"/>
    <w:multiLevelType w:val="hybridMultilevel"/>
    <w:tmpl w:val="B1163D66"/>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CF124E"/>
    <w:multiLevelType w:val="hybridMultilevel"/>
    <w:tmpl w:val="58A8BFDE"/>
    <w:lvl w:ilvl="0" w:tplc="44B8DD18">
      <w:start w:val="1"/>
      <w:numFmt w:val="decimal"/>
      <w:pStyle w:val="JRCTextnumberedlist1"/>
      <w:lvlText w:val="%1."/>
      <w:lvlJc w:val="left"/>
      <w:pPr>
        <w:ind w:left="720" w:hanging="360"/>
      </w:pPr>
    </w:lvl>
    <w:lvl w:ilvl="1" w:tplc="4F049BF6">
      <w:start w:val="1"/>
      <w:numFmt w:val="lowerLetter"/>
      <w:pStyle w:val="JRCTextnumberedlist2"/>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CF7DB0"/>
    <w:multiLevelType w:val="multilevel"/>
    <w:tmpl w:val="13E21784"/>
    <w:lvl w:ilvl="0">
      <w:start w:val="2"/>
      <w:numFmt w:val="decimal"/>
      <w:lvlText w:val="%1."/>
      <w:lvlJc w:val="left"/>
      <w:pPr>
        <w:ind w:left="432" w:hanging="432"/>
      </w:pPr>
      <w:rPr>
        <w:rFonts w:hint="default"/>
        <w:b/>
        <w:color w:val="6CA644"/>
      </w:rPr>
    </w:lvl>
    <w:lvl w:ilvl="1">
      <w:start w:val="1"/>
      <w:numFmt w:val="decimal"/>
      <w:lvlText w:val="%1.%2"/>
      <w:lvlJc w:val="left"/>
      <w:pPr>
        <w:ind w:left="1427" w:hanging="576"/>
      </w:pPr>
      <w:rPr>
        <w:rFonts w:hint="default"/>
        <w:b/>
        <w:color w:val="6CA644"/>
      </w:rPr>
    </w:lvl>
    <w:lvl w:ilvl="2">
      <w:numFmt w:val="none"/>
      <w:lvlText w:val=""/>
      <w:lvlJc w:val="left"/>
      <w:pPr>
        <w:tabs>
          <w:tab w:val="num" w:pos="360"/>
        </w:tabs>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B6C09FF"/>
    <w:multiLevelType w:val="hybridMultilevel"/>
    <w:tmpl w:val="316C7C4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3CD2E4A"/>
    <w:multiLevelType w:val="hybridMultilevel"/>
    <w:tmpl w:val="FFFFFFFF"/>
    <w:lvl w:ilvl="0" w:tplc="6DA8433E">
      <w:start w:val="1"/>
      <w:numFmt w:val="bullet"/>
      <w:lvlText w:val="-"/>
      <w:lvlJc w:val="left"/>
      <w:pPr>
        <w:ind w:left="720" w:hanging="360"/>
      </w:pPr>
      <w:rPr>
        <w:rFonts w:ascii="Aptos" w:hAnsi="Aptos" w:hint="default"/>
      </w:rPr>
    </w:lvl>
    <w:lvl w:ilvl="1" w:tplc="22EC3D34">
      <w:start w:val="1"/>
      <w:numFmt w:val="bullet"/>
      <w:lvlText w:val="o"/>
      <w:lvlJc w:val="left"/>
      <w:pPr>
        <w:ind w:left="1440" w:hanging="360"/>
      </w:pPr>
      <w:rPr>
        <w:rFonts w:ascii="Courier New" w:hAnsi="Courier New" w:hint="default"/>
      </w:rPr>
    </w:lvl>
    <w:lvl w:ilvl="2" w:tplc="71B0C884">
      <w:start w:val="1"/>
      <w:numFmt w:val="bullet"/>
      <w:lvlText w:val=""/>
      <w:lvlJc w:val="left"/>
      <w:pPr>
        <w:ind w:left="2160" w:hanging="360"/>
      </w:pPr>
      <w:rPr>
        <w:rFonts w:ascii="Wingdings" w:hAnsi="Wingdings" w:hint="default"/>
      </w:rPr>
    </w:lvl>
    <w:lvl w:ilvl="3" w:tplc="0A9C55A4">
      <w:start w:val="1"/>
      <w:numFmt w:val="bullet"/>
      <w:lvlText w:val=""/>
      <w:lvlJc w:val="left"/>
      <w:pPr>
        <w:ind w:left="2880" w:hanging="360"/>
      </w:pPr>
      <w:rPr>
        <w:rFonts w:ascii="Symbol" w:hAnsi="Symbol" w:hint="default"/>
      </w:rPr>
    </w:lvl>
    <w:lvl w:ilvl="4" w:tplc="CB7C0C58">
      <w:start w:val="1"/>
      <w:numFmt w:val="bullet"/>
      <w:lvlText w:val="o"/>
      <w:lvlJc w:val="left"/>
      <w:pPr>
        <w:ind w:left="3600" w:hanging="360"/>
      </w:pPr>
      <w:rPr>
        <w:rFonts w:ascii="Courier New" w:hAnsi="Courier New" w:hint="default"/>
      </w:rPr>
    </w:lvl>
    <w:lvl w:ilvl="5" w:tplc="FA0A0F46">
      <w:start w:val="1"/>
      <w:numFmt w:val="bullet"/>
      <w:lvlText w:val=""/>
      <w:lvlJc w:val="left"/>
      <w:pPr>
        <w:ind w:left="4320" w:hanging="360"/>
      </w:pPr>
      <w:rPr>
        <w:rFonts w:ascii="Wingdings" w:hAnsi="Wingdings" w:hint="default"/>
      </w:rPr>
    </w:lvl>
    <w:lvl w:ilvl="6" w:tplc="62A00AEA">
      <w:start w:val="1"/>
      <w:numFmt w:val="bullet"/>
      <w:lvlText w:val=""/>
      <w:lvlJc w:val="left"/>
      <w:pPr>
        <w:ind w:left="5040" w:hanging="360"/>
      </w:pPr>
      <w:rPr>
        <w:rFonts w:ascii="Symbol" w:hAnsi="Symbol" w:hint="default"/>
      </w:rPr>
    </w:lvl>
    <w:lvl w:ilvl="7" w:tplc="269C93CE">
      <w:start w:val="1"/>
      <w:numFmt w:val="bullet"/>
      <w:lvlText w:val="o"/>
      <w:lvlJc w:val="left"/>
      <w:pPr>
        <w:ind w:left="5760" w:hanging="360"/>
      </w:pPr>
      <w:rPr>
        <w:rFonts w:ascii="Courier New" w:hAnsi="Courier New" w:hint="default"/>
      </w:rPr>
    </w:lvl>
    <w:lvl w:ilvl="8" w:tplc="DD56C674">
      <w:start w:val="1"/>
      <w:numFmt w:val="bullet"/>
      <w:lvlText w:val=""/>
      <w:lvlJc w:val="left"/>
      <w:pPr>
        <w:ind w:left="6480" w:hanging="360"/>
      </w:pPr>
      <w:rPr>
        <w:rFonts w:ascii="Wingdings" w:hAnsi="Wingdings" w:hint="default"/>
      </w:rPr>
    </w:lvl>
  </w:abstractNum>
  <w:abstractNum w:abstractNumId="11" w15:restartNumberingAfterBreak="0">
    <w:nsid w:val="35360FF5"/>
    <w:multiLevelType w:val="hybridMultilevel"/>
    <w:tmpl w:val="B46E762A"/>
    <w:lvl w:ilvl="0" w:tplc="8E1A0564">
      <w:start w:val="1"/>
      <w:numFmt w:val="bullet"/>
      <w:lvlText w:val="•"/>
      <w:lvlJc w:val="left"/>
      <w:pPr>
        <w:tabs>
          <w:tab w:val="num" w:pos="720"/>
        </w:tabs>
        <w:ind w:left="720" w:hanging="360"/>
      </w:pPr>
      <w:rPr>
        <w:rFonts w:ascii="Arial" w:hAnsi="Arial" w:hint="default"/>
      </w:rPr>
    </w:lvl>
    <w:lvl w:ilvl="1" w:tplc="3ACC12A4" w:tentative="1">
      <w:start w:val="1"/>
      <w:numFmt w:val="bullet"/>
      <w:lvlText w:val="•"/>
      <w:lvlJc w:val="left"/>
      <w:pPr>
        <w:tabs>
          <w:tab w:val="num" w:pos="1440"/>
        </w:tabs>
        <w:ind w:left="1440" w:hanging="360"/>
      </w:pPr>
      <w:rPr>
        <w:rFonts w:ascii="Arial" w:hAnsi="Arial" w:hint="default"/>
      </w:rPr>
    </w:lvl>
    <w:lvl w:ilvl="2" w:tplc="80E8DFBA" w:tentative="1">
      <w:start w:val="1"/>
      <w:numFmt w:val="bullet"/>
      <w:lvlText w:val="•"/>
      <w:lvlJc w:val="left"/>
      <w:pPr>
        <w:tabs>
          <w:tab w:val="num" w:pos="2160"/>
        </w:tabs>
        <w:ind w:left="2160" w:hanging="360"/>
      </w:pPr>
      <w:rPr>
        <w:rFonts w:ascii="Arial" w:hAnsi="Arial" w:hint="default"/>
      </w:rPr>
    </w:lvl>
    <w:lvl w:ilvl="3" w:tplc="7C1A7EFC" w:tentative="1">
      <w:start w:val="1"/>
      <w:numFmt w:val="bullet"/>
      <w:lvlText w:val="•"/>
      <w:lvlJc w:val="left"/>
      <w:pPr>
        <w:tabs>
          <w:tab w:val="num" w:pos="2880"/>
        </w:tabs>
        <w:ind w:left="2880" w:hanging="360"/>
      </w:pPr>
      <w:rPr>
        <w:rFonts w:ascii="Arial" w:hAnsi="Arial" w:hint="default"/>
      </w:rPr>
    </w:lvl>
    <w:lvl w:ilvl="4" w:tplc="2B56F99A" w:tentative="1">
      <w:start w:val="1"/>
      <w:numFmt w:val="bullet"/>
      <w:lvlText w:val="•"/>
      <w:lvlJc w:val="left"/>
      <w:pPr>
        <w:tabs>
          <w:tab w:val="num" w:pos="3600"/>
        </w:tabs>
        <w:ind w:left="3600" w:hanging="360"/>
      </w:pPr>
      <w:rPr>
        <w:rFonts w:ascii="Arial" w:hAnsi="Arial" w:hint="default"/>
      </w:rPr>
    </w:lvl>
    <w:lvl w:ilvl="5" w:tplc="3DA8A14A" w:tentative="1">
      <w:start w:val="1"/>
      <w:numFmt w:val="bullet"/>
      <w:lvlText w:val="•"/>
      <w:lvlJc w:val="left"/>
      <w:pPr>
        <w:tabs>
          <w:tab w:val="num" w:pos="4320"/>
        </w:tabs>
        <w:ind w:left="4320" w:hanging="360"/>
      </w:pPr>
      <w:rPr>
        <w:rFonts w:ascii="Arial" w:hAnsi="Arial" w:hint="default"/>
      </w:rPr>
    </w:lvl>
    <w:lvl w:ilvl="6" w:tplc="1924CA04" w:tentative="1">
      <w:start w:val="1"/>
      <w:numFmt w:val="bullet"/>
      <w:lvlText w:val="•"/>
      <w:lvlJc w:val="left"/>
      <w:pPr>
        <w:tabs>
          <w:tab w:val="num" w:pos="5040"/>
        </w:tabs>
        <w:ind w:left="5040" w:hanging="360"/>
      </w:pPr>
      <w:rPr>
        <w:rFonts w:ascii="Arial" w:hAnsi="Arial" w:hint="default"/>
      </w:rPr>
    </w:lvl>
    <w:lvl w:ilvl="7" w:tplc="9AD083E0" w:tentative="1">
      <w:start w:val="1"/>
      <w:numFmt w:val="bullet"/>
      <w:lvlText w:val="•"/>
      <w:lvlJc w:val="left"/>
      <w:pPr>
        <w:tabs>
          <w:tab w:val="num" w:pos="5760"/>
        </w:tabs>
        <w:ind w:left="5760" w:hanging="360"/>
      </w:pPr>
      <w:rPr>
        <w:rFonts w:ascii="Arial" w:hAnsi="Arial" w:hint="default"/>
      </w:rPr>
    </w:lvl>
    <w:lvl w:ilvl="8" w:tplc="B06E20C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FC1354"/>
    <w:multiLevelType w:val="hybridMultilevel"/>
    <w:tmpl w:val="44500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E919CC"/>
    <w:multiLevelType w:val="multilevel"/>
    <w:tmpl w:val="400A4C86"/>
    <w:lvl w:ilvl="0">
      <w:start w:val="6"/>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1FC199F"/>
    <w:multiLevelType w:val="hybridMultilevel"/>
    <w:tmpl w:val="45009C08"/>
    <w:lvl w:ilvl="0" w:tplc="18090017">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518FB709"/>
    <w:multiLevelType w:val="hybridMultilevel"/>
    <w:tmpl w:val="FFFFFFFF"/>
    <w:lvl w:ilvl="0" w:tplc="2CECAED0">
      <w:start w:val="1"/>
      <w:numFmt w:val="bullet"/>
      <w:lvlText w:val=""/>
      <w:lvlJc w:val="left"/>
      <w:pPr>
        <w:ind w:left="720" w:hanging="360"/>
      </w:pPr>
      <w:rPr>
        <w:rFonts w:ascii="Symbol" w:hAnsi="Symbol" w:hint="default"/>
      </w:rPr>
    </w:lvl>
    <w:lvl w:ilvl="1" w:tplc="EF226A3C">
      <w:start w:val="1"/>
      <w:numFmt w:val="bullet"/>
      <w:lvlText w:val="o"/>
      <w:lvlJc w:val="left"/>
      <w:pPr>
        <w:ind w:left="1440" w:hanging="360"/>
      </w:pPr>
      <w:rPr>
        <w:rFonts w:ascii="Courier New" w:hAnsi="Courier New" w:hint="default"/>
      </w:rPr>
    </w:lvl>
    <w:lvl w:ilvl="2" w:tplc="EE0CF36C">
      <w:start w:val="1"/>
      <w:numFmt w:val="bullet"/>
      <w:lvlText w:val=""/>
      <w:lvlJc w:val="left"/>
      <w:pPr>
        <w:ind w:left="2160" w:hanging="360"/>
      </w:pPr>
      <w:rPr>
        <w:rFonts w:ascii="Wingdings" w:hAnsi="Wingdings" w:hint="default"/>
      </w:rPr>
    </w:lvl>
    <w:lvl w:ilvl="3" w:tplc="287EC6A0">
      <w:start w:val="1"/>
      <w:numFmt w:val="bullet"/>
      <w:lvlText w:val=""/>
      <w:lvlJc w:val="left"/>
      <w:pPr>
        <w:ind w:left="2880" w:hanging="360"/>
      </w:pPr>
      <w:rPr>
        <w:rFonts w:ascii="Symbol" w:hAnsi="Symbol" w:hint="default"/>
      </w:rPr>
    </w:lvl>
    <w:lvl w:ilvl="4" w:tplc="7C1CC5E6">
      <w:start w:val="1"/>
      <w:numFmt w:val="bullet"/>
      <w:lvlText w:val="o"/>
      <w:lvlJc w:val="left"/>
      <w:pPr>
        <w:ind w:left="3600" w:hanging="360"/>
      </w:pPr>
      <w:rPr>
        <w:rFonts w:ascii="Courier New" w:hAnsi="Courier New" w:hint="default"/>
      </w:rPr>
    </w:lvl>
    <w:lvl w:ilvl="5" w:tplc="BA9EB8A2">
      <w:start w:val="1"/>
      <w:numFmt w:val="bullet"/>
      <w:lvlText w:val=""/>
      <w:lvlJc w:val="left"/>
      <w:pPr>
        <w:ind w:left="4320" w:hanging="360"/>
      </w:pPr>
      <w:rPr>
        <w:rFonts w:ascii="Wingdings" w:hAnsi="Wingdings" w:hint="default"/>
      </w:rPr>
    </w:lvl>
    <w:lvl w:ilvl="6" w:tplc="D0749054">
      <w:start w:val="1"/>
      <w:numFmt w:val="bullet"/>
      <w:lvlText w:val=""/>
      <w:lvlJc w:val="left"/>
      <w:pPr>
        <w:ind w:left="5040" w:hanging="360"/>
      </w:pPr>
      <w:rPr>
        <w:rFonts w:ascii="Symbol" w:hAnsi="Symbol" w:hint="default"/>
      </w:rPr>
    </w:lvl>
    <w:lvl w:ilvl="7" w:tplc="8522CBA4">
      <w:start w:val="1"/>
      <w:numFmt w:val="bullet"/>
      <w:lvlText w:val="o"/>
      <w:lvlJc w:val="left"/>
      <w:pPr>
        <w:ind w:left="5760" w:hanging="360"/>
      </w:pPr>
      <w:rPr>
        <w:rFonts w:ascii="Courier New" w:hAnsi="Courier New" w:hint="default"/>
      </w:rPr>
    </w:lvl>
    <w:lvl w:ilvl="8" w:tplc="059C6D5E">
      <w:start w:val="1"/>
      <w:numFmt w:val="bullet"/>
      <w:lvlText w:val=""/>
      <w:lvlJc w:val="left"/>
      <w:pPr>
        <w:ind w:left="6480" w:hanging="360"/>
      </w:pPr>
      <w:rPr>
        <w:rFonts w:ascii="Wingdings" w:hAnsi="Wingdings" w:hint="default"/>
      </w:rPr>
    </w:lvl>
  </w:abstractNum>
  <w:abstractNum w:abstractNumId="16" w15:restartNumberingAfterBreak="0">
    <w:nsid w:val="52541A67"/>
    <w:multiLevelType w:val="multilevel"/>
    <w:tmpl w:val="400A4C86"/>
    <w:lvl w:ilvl="0">
      <w:start w:val="5"/>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59F50CD7"/>
    <w:multiLevelType w:val="hybridMultilevel"/>
    <w:tmpl w:val="A6A47DB2"/>
    <w:lvl w:ilvl="0" w:tplc="A5C03CC4">
      <w:start w:val="1"/>
      <w:numFmt w:val="bullet"/>
      <w:lvlText w:val=""/>
      <w:lvlJc w:val="left"/>
      <w:pPr>
        <w:ind w:left="720" w:hanging="360"/>
      </w:pPr>
      <w:rPr>
        <w:rFonts w:ascii="Symbol" w:hAnsi="Symbol" w:hint="default"/>
      </w:rPr>
    </w:lvl>
    <w:lvl w:ilvl="1" w:tplc="A858BF48">
      <w:start w:val="1"/>
      <w:numFmt w:val="bullet"/>
      <w:lvlText w:val="o"/>
      <w:lvlJc w:val="left"/>
      <w:pPr>
        <w:ind w:left="1440" w:hanging="360"/>
      </w:pPr>
      <w:rPr>
        <w:rFonts w:ascii="Courier New" w:hAnsi="Courier New" w:hint="default"/>
      </w:rPr>
    </w:lvl>
    <w:lvl w:ilvl="2" w:tplc="BE3447DE">
      <w:start w:val="1"/>
      <w:numFmt w:val="bullet"/>
      <w:lvlText w:val=""/>
      <w:lvlJc w:val="left"/>
      <w:pPr>
        <w:ind w:left="2160" w:hanging="360"/>
      </w:pPr>
      <w:rPr>
        <w:rFonts w:ascii="Wingdings" w:hAnsi="Wingdings" w:hint="default"/>
      </w:rPr>
    </w:lvl>
    <w:lvl w:ilvl="3" w:tplc="69928090">
      <w:start w:val="1"/>
      <w:numFmt w:val="bullet"/>
      <w:lvlText w:val=""/>
      <w:lvlJc w:val="left"/>
      <w:pPr>
        <w:ind w:left="2880" w:hanging="360"/>
      </w:pPr>
      <w:rPr>
        <w:rFonts w:ascii="Symbol" w:hAnsi="Symbol" w:hint="default"/>
      </w:rPr>
    </w:lvl>
    <w:lvl w:ilvl="4" w:tplc="84BA32A4">
      <w:start w:val="1"/>
      <w:numFmt w:val="bullet"/>
      <w:lvlText w:val="o"/>
      <w:lvlJc w:val="left"/>
      <w:pPr>
        <w:ind w:left="3600" w:hanging="360"/>
      </w:pPr>
      <w:rPr>
        <w:rFonts w:ascii="Courier New" w:hAnsi="Courier New" w:hint="default"/>
      </w:rPr>
    </w:lvl>
    <w:lvl w:ilvl="5" w:tplc="3F68FEA6">
      <w:start w:val="1"/>
      <w:numFmt w:val="bullet"/>
      <w:lvlText w:val=""/>
      <w:lvlJc w:val="left"/>
      <w:pPr>
        <w:ind w:left="4320" w:hanging="360"/>
      </w:pPr>
      <w:rPr>
        <w:rFonts w:ascii="Wingdings" w:hAnsi="Wingdings" w:hint="default"/>
      </w:rPr>
    </w:lvl>
    <w:lvl w:ilvl="6" w:tplc="D8BE92CE">
      <w:start w:val="1"/>
      <w:numFmt w:val="bullet"/>
      <w:lvlText w:val=""/>
      <w:lvlJc w:val="left"/>
      <w:pPr>
        <w:ind w:left="5040" w:hanging="360"/>
      </w:pPr>
      <w:rPr>
        <w:rFonts w:ascii="Symbol" w:hAnsi="Symbol" w:hint="default"/>
      </w:rPr>
    </w:lvl>
    <w:lvl w:ilvl="7" w:tplc="4D04FCF4">
      <w:start w:val="1"/>
      <w:numFmt w:val="bullet"/>
      <w:lvlText w:val="o"/>
      <w:lvlJc w:val="left"/>
      <w:pPr>
        <w:ind w:left="5760" w:hanging="360"/>
      </w:pPr>
      <w:rPr>
        <w:rFonts w:ascii="Courier New" w:hAnsi="Courier New" w:hint="default"/>
      </w:rPr>
    </w:lvl>
    <w:lvl w:ilvl="8" w:tplc="C6DC8584">
      <w:start w:val="1"/>
      <w:numFmt w:val="bullet"/>
      <w:lvlText w:val=""/>
      <w:lvlJc w:val="left"/>
      <w:pPr>
        <w:ind w:left="6480" w:hanging="360"/>
      </w:pPr>
      <w:rPr>
        <w:rFonts w:ascii="Wingdings" w:hAnsi="Wingdings" w:hint="default"/>
      </w:rPr>
    </w:lvl>
  </w:abstractNum>
  <w:abstractNum w:abstractNumId="18" w15:restartNumberingAfterBreak="0">
    <w:nsid w:val="64995AE8"/>
    <w:multiLevelType w:val="hybridMultilevel"/>
    <w:tmpl w:val="145EC432"/>
    <w:lvl w:ilvl="0" w:tplc="58CABB7E">
      <w:start w:val="1"/>
      <w:numFmt w:val="bullet"/>
      <w:lvlText w:val="·"/>
      <w:lvlJc w:val="left"/>
      <w:pPr>
        <w:ind w:left="720" w:hanging="360"/>
      </w:pPr>
      <w:rPr>
        <w:rFonts w:ascii="Symbol" w:hAnsi="Symbol" w:hint="default"/>
      </w:rPr>
    </w:lvl>
    <w:lvl w:ilvl="1" w:tplc="5BD45338">
      <w:start w:val="1"/>
      <w:numFmt w:val="bullet"/>
      <w:lvlText w:val="o"/>
      <w:lvlJc w:val="left"/>
      <w:pPr>
        <w:ind w:left="1440" w:hanging="360"/>
      </w:pPr>
      <w:rPr>
        <w:rFonts w:ascii="Courier New" w:hAnsi="Courier New" w:hint="default"/>
      </w:rPr>
    </w:lvl>
    <w:lvl w:ilvl="2" w:tplc="0436E5FA">
      <w:start w:val="1"/>
      <w:numFmt w:val="bullet"/>
      <w:lvlText w:val=""/>
      <w:lvlJc w:val="left"/>
      <w:pPr>
        <w:ind w:left="2160" w:hanging="360"/>
      </w:pPr>
      <w:rPr>
        <w:rFonts w:ascii="Wingdings" w:hAnsi="Wingdings" w:hint="default"/>
      </w:rPr>
    </w:lvl>
    <w:lvl w:ilvl="3" w:tplc="56126538">
      <w:start w:val="1"/>
      <w:numFmt w:val="bullet"/>
      <w:lvlText w:val=""/>
      <w:lvlJc w:val="left"/>
      <w:pPr>
        <w:ind w:left="2880" w:hanging="360"/>
      </w:pPr>
      <w:rPr>
        <w:rFonts w:ascii="Symbol" w:hAnsi="Symbol" w:hint="default"/>
      </w:rPr>
    </w:lvl>
    <w:lvl w:ilvl="4" w:tplc="9EEE9438">
      <w:start w:val="1"/>
      <w:numFmt w:val="bullet"/>
      <w:lvlText w:val="o"/>
      <w:lvlJc w:val="left"/>
      <w:pPr>
        <w:ind w:left="3600" w:hanging="360"/>
      </w:pPr>
      <w:rPr>
        <w:rFonts w:ascii="Courier New" w:hAnsi="Courier New" w:hint="default"/>
      </w:rPr>
    </w:lvl>
    <w:lvl w:ilvl="5" w:tplc="AB8A3BA0">
      <w:start w:val="1"/>
      <w:numFmt w:val="bullet"/>
      <w:lvlText w:val=""/>
      <w:lvlJc w:val="left"/>
      <w:pPr>
        <w:ind w:left="4320" w:hanging="360"/>
      </w:pPr>
      <w:rPr>
        <w:rFonts w:ascii="Wingdings" w:hAnsi="Wingdings" w:hint="default"/>
      </w:rPr>
    </w:lvl>
    <w:lvl w:ilvl="6" w:tplc="F36AD182">
      <w:start w:val="1"/>
      <w:numFmt w:val="bullet"/>
      <w:lvlText w:val=""/>
      <w:lvlJc w:val="left"/>
      <w:pPr>
        <w:ind w:left="5040" w:hanging="360"/>
      </w:pPr>
      <w:rPr>
        <w:rFonts w:ascii="Symbol" w:hAnsi="Symbol" w:hint="default"/>
      </w:rPr>
    </w:lvl>
    <w:lvl w:ilvl="7" w:tplc="05E6B800">
      <w:start w:val="1"/>
      <w:numFmt w:val="bullet"/>
      <w:lvlText w:val="o"/>
      <w:lvlJc w:val="left"/>
      <w:pPr>
        <w:ind w:left="5760" w:hanging="360"/>
      </w:pPr>
      <w:rPr>
        <w:rFonts w:ascii="Courier New" w:hAnsi="Courier New" w:hint="default"/>
      </w:rPr>
    </w:lvl>
    <w:lvl w:ilvl="8" w:tplc="5EE02FD8">
      <w:start w:val="1"/>
      <w:numFmt w:val="bullet"/>
      <w:lvlText w:val=""/>
      <w:lvlJc w:val="left"/>
      <w:pPr>
        <w:ind w:left="6480" w:hanging="360"/>
      </w:pPr>
      <w:rPr>
        <w:rFonts w:ascii="Wingdings" w:hAnsi="Wingdings" w:hint="default"/>
      </w:rPr>
    </w:lvl>
  </w:abstractNum>
  <w:abstractNum w:abstractNumId="19" w15:restartNumberingAfterBreak="0">
    <w:nsid w:val="666D414F"/>
    <w:multiLevelType w:val="hybridMultilevel"/>
    <w:tmpl w:val="6560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6C79D1"/>
    <w:multiLevelType w:val="hybridMultilevel"/>
    <w:tmpl w:val="10D2C330"/>
    <w:lvl w:ilvl="0" w:tplc="8B107CD8">
      <w:start w:val="1"/>
      <w:numFmt w:val="bullet"/>
      <w:lvlText w:val="•"/>
      <w:lvlJc w:val="left"/>
      <w:pPr>
        <w:tabs>
          <w:tab w:val="num" w:pos="720"/>
        </w:tabs>
        <w:ind w:left="720" w:hanging="360"/>
      </w:pPr>
      <w:rPr>
        <w:rFonts w:ascii="Arial" w:hAnsi="Arial" w:hint="default"/>
      </w:rPr>
    </w:lvl>
    <w:lvl w:ilvl="1" w:tplc="0CCC2A1C" w:tentative="1">
      <w:start w:val="1"/>
      <w:numFmt w:val="bullet"/>
      <w:lvlText w:val="•"/>
      <w:lvlJc w:val="left"/>
      <w:pPr>
        <w:tabs>
          <w:tab w:val="num" w:pos="1440"/>
        </w:tabs>
        <w:ind w:left="1440" w:hanging="360"/>
      </w:pPr>
      <w:rPr>
        <w:rFonts w:ascii="Arial" w:hAnsi="Arial" w:hint="default"/>
      </w:rPr>
    </w:lvl>
    <w:lvl w:ilvl="2" w:tplc="01E298C0" w:tentative="1">
      <w:start w:val="1"/>
      <w:numFmt w:val="bullet"/>
      <w:lvlText w:val="•"/>
      <w:lvlJc w:val="left"/>
      <w:pPr>
        <w:tabs>
          <w:tab w:val="num" w:pos="2160"/>
        </w:tabs>
        <w:ind w:left="2160" w:hanging="360"/>
      </w:pPr>
      <w:rPr>
        <w:rFonts w:ascii="Arial" w:hAnsi="Arial" w:hint="default"/>
      </w:rPr>
    </w:lvl>
    <w:lvl w:ilvl="3" w:tplc="8362A99C" w:tentative="1">
      <w:start w:val="1"/>
      <w:numFmt w:val="bullet"/>
      <w:lvlText w:val="•"/>
      <w:lvlJc w:val="left"/>
      <w:pPr>
        <w:tabs>
          <w:tab w:val="num" w:pos="2880"/>
        </w:tabs>
        <w:ind w:left="2880" w:hanging="360"/>
      </w:pPr>
      <w:rPr>
        <w:rFonts w:ascii="Arial" w:hAnsi="Arial" w:hint="default"/>
      </w:rPr>
    </w:lvl>
    <w:lvl w:ilvl="4" w:tplc="666A522A" w:tentative="1">
      <w:start w:val="1"/>
      <w:numFmt w:val="bullet"/>
      <w:lvlText w:val="•"/>
      <w:lvlJc w:val="left"/>
      <w:pPr>
        <w:tabs>
          <w:tab w:val="num" w:pos="3600"/>
        </w:tabs>
        <w:ind w:left="3600" w:hanging="360"/>
      </w:pPr>
      <w:rPr>
        <w:rFonts w:ascii="Arial" w:hAnsi="Arial" w:hint="default"/>
      </w:rPr>
    </w:lvl>
    <w:lvl w:ilvl="5" w:tplc="AEDA69D4" w:tentative="1">
      <w:start w:val="1"/>
      <w:numFmt w:val="bullet"/>
      <w:lvlText w:val="•"/>
      <w:lvlJc w:val="left"/>
      <w:pPr>
        <w:tabs>
          <w:tab w:val="num" w:pos="4320"/>
        </w:tabs>
        <w:ind w:left="4320" w:hanging="360"/>
      </w:pPr>
      <w:rPr>
        <w:rFonts w:ascii="Arial" w:hAnsi="Arial" w:hint="default"/>
      </w:rPr>
    </w:lvl>
    <w:lvl w:ilvl="6" w:tplc="43183BCC" w:tentative="1">
      <w:start w:val="1"/>
      <w:numFmt w:val="bullet"/>
      <w:lvlText w:val="•"/>
      <w:lvlJc w:val="left"/>
      <w:pPr>
        <w:tabs>
          <w:tab w:val="num" w:pos="5040"/>
        </w:tabs>
        <w:ind w:left="5040" w:hanging="360"/>
      </w:pPr>
      <w:rPr>
        <w:rFonts w:ascii="Arial" w:hAnsi="Arial" w:hint="default"/>
      </w:rPr>
    </w:lvl>
    <w:lvl w:ilvl="7" w:tplc="7774FECC" w:tentative="1">
      <w:start w:val="1"/>
      <w:numFmt w:val="bullet"/>
      <w:lvlText w:val="•"/>
      <w:lvlJc w:val="left"/>
      <w:pPr>
        <w:tabs>
          <w:tab w:val="num" w:pos="5760"/>
        </w:tabs>
        <w:ind w:left="5760" w:hanging="360"/>
      </w:pPr>
      <w:rPr>
        <w:rFonts w:ascii="Arial" w:hAnsi="Arial" w:hint="default"/>
      </w:rPr>
    </w:lvl>
    <w:lvl w:ilvl="8" w:tplc="831660C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8813C9C"/>
    <w:multiLevelType w:val="hybridMultilevel"/>
    <w:tmpl w:val="D90C4CE0"/>
    <w:lvl w:ilvl="0" w:tplc="B95ED37C">
      <w:start w:val="1"/>
      <w:numFmt w:val="bullet"/>
      <w:lvlText w:val="•"/>
      <w:lvlJc w:val="left"/>
      <w:pPr>
        <w:tabs>
          <w:tab w:val="num" w:pos="720"/>
        </w:tabs>
        <w:ind w:left="720" w:hanging="360"/>
      </w:pPr>
      <w:rPr>
        <w:rFonts w:ascii="Arial" w:hAnsi="Arial" w:hint="default"/>
      </w:rPr>
    </w:lvl>
    <w:lvl w:ilvl="1" w:tplc="F24A85E2" w:tentative="1">
      <w:start w:val="1"/>
      <w:numFmt w:val="bullet"/>
      <w:lvlText w:val="•"/>
      <w:lvlJc w:val="left"/>
      <w:pPr>
        <w:tabs>
          <w:tab w:val="num" w:pos="1440"/>
        </w:tabs>
        <w:ind w:left="1440" w:hanging="360"/>
      </w:pPr>
      <w:rPr>
        <w:rFonts w:ascii="Arial" w:hAnsi="Arial" w:hint="default"/>
      </w:rPr>
    </w:lvl>
    <w:lvl w:ilvl="2" w:tplc="C9E86A74" w:tentative="1">
      <w:start w:val="1"/>
      <w:numFmt w:val="bullet"/>
      <w:lvlText w:val="•"/>
      <w:lvlJc w:val="left"/>
      <w:pPr>
        <w:tabs>
          <w:tab w:val="num" w:pos="2160"/>
        </w:tabs>
        <w:ind w:left="2160" w:hanging="360"/>
      </w:pPr>
      <w:rPr>
        <w:rFonts w:ascii="Arial" w:hAnsi="Arial" w:hint="default"/>
      </w:rPr>
    </w:lvl>
    <w:lvl w:ilvl="3" w:tplc="7084D6CE" w:tentative="1">
      <w:start w:val="1"/>
      <w:numFmt w:val="bullet"/>
      <w:lvlText w:val="•"/>
      <w:lvlJc w:val="left"/>
      <w:pPr>
        <w:tabs>
          <w:tab w:val="num" w:pos="2880"/>
        </w:tabs>
        <w:ind w:left="2880" w:hanging="360"/>
      </w:pPr>
      <w:rPr>
        <w:rFonts w:ascii="Arial" w:hAnsi="Arial" w:hint="default"/>
      </w:rPr>
    </w:lvl>
    <w:lvl w:ilvl="4" w:tplc="351E41C4" w:tentative="1">
      <w:start w:val="1"/>
      <w:numFmt w:val="bullet"/>
      <w:lvlText w:val="•"/>
      <w:lvlJc w:val="left"/>
      <w:pPr>
        <w:tabs>
          <w:tab w:val="num" w:pos="3600"/>
        </w:tabs>
        <w:ind w:left="3600" w:hanging="360"/>
      </w:pPr>
      <w:rPr>
        <w:rFonts w:ascii="Arial" w:hAnsi="Arial" w:hint="default"/>
      </w:rPr>
    </w:lvl>
    <w:lvl w:ilvl="5" w:tplc="71A4FBEA" w:tentative="1">
      <w:start w:val="1"/>
      <w:numFmt w:val="bullet"/>
      <w:lvlText w:val="•"/>
      <w:lvlJc w:val="left"/>
      <w:pPr>
        <w:tabs>
          <w:tab w:val="num" w:pos="4320"/>
        </w:tabs>
        <w:ind w:left="4320" w:hanging="360"/>
      </w:pPr>
      <w:rPr>
        <w:rFonts w:ascii="Arial" w:hAnsi="Arial" w:hint="default"/>
      </w:rPr>
    </w:lvl>
    <w:lvl w:ilvl="6" w:tplc="FCD4E620" w:tentative="1">
      <w:start w:val="1"/>
      <w:numFmt w:val="bullet"/>
      <w:lvlText w:val="•"/>
      <w:lvlJc w:val="left"/>
      <w:pPr>
        <w:tabs>
          <w:tab w:val="num" w:pos="5040"/>
        </w:tabs>
        <w:ind w:left="5040" w:hanging="360"/>
      </w:pPr>
      <w:rPr>
        <w:rFonts w:ascii="Arial" w:hAnsi="Arial" w:hint="default"/>
      </w:rPr>
    </w:lvl>
    <w:lvl w:ilvl="7" w:tplc="18D85BE0" w:tentative="1">
      <w:start w:val="1"/>
      <w:numFmt w:val="bullet"/>
      <w:lvlText w:val="•"/>
      <w:lvlJc w:val="left"/>
      <w:pPr>
        <w:tabs>
          <w:tab w:val="num" w:pos="5760"/>
        </w:tabs>
        <w:ind w:left="5760" w:hanging="360"/>
      </w:pPr>
      <w:rPr>
        <w:rFonts w:ascii="Arial" w:hAnsi="Arial" w:hint="default"/>
      </w:rPr>
    </w:lvl>
    <w:lvl w:ilvl="8" w:tplc="3C20FBDA" w:tentative="1">
      <w:start w:val="1"/>
      <w:numFmt w:val="bullet"/>
      <w:lvlText w:val="•"/>
      <w:lvlJc w:val="left"/>
      <w:pPr>
        <w:tabs>
          <w:tab w:val="num" w:pos="6480"/>
        </w:tabs>
        <w:ind w:left="6480" w:hanging="360"/>
      </w:pPr>
      <w:rPr>
        <w:rFonts w:ascii="Arial" w:hAnsi="Arial" w:hint="default"/>
      </w:rPr>
    </w:lvl>
  </w:abstractNum>
  <w:num w:numId="1">
    <w:abstractNumId w:val="18"/>
  </w:num>
  <w:num w:numId="2">
    <w:abstractNumId w:val="3"/>
  </w:num>
  <w:num w:numId="3">
    <w:abstractNumId w:val="1"/>
  </w:num>
  <w:num w:numId="4">
    <w:abstractNumId w:val="2"/>
  </w:num>
  <w:num w:numId="5">
    <w:abstractNumId w:val="7"/>
  </w:num>
  <w:num w:numId="6">
    <w:abstractNumId w:val="15"/>
  </w:num>
  <w:num w:numId="7">
    <w:abstractNumId w:val="10"/>
  </w:num>
  <w:num w:numId="8">
    <w:abstractNumId w:val="11"/>
  </w:num>
  <w:num w:numId="9">
    <w:abstractNumId w:val="21"/>
  </w:num>
  <w:num w:numId="10">
    <w:abstractNumId w:val="20"/>
  </w:num>
  <w:num w:numId="11">
    <w:abstractNumId w:val="12"/>
  </w:num>
  <w:num w:numId="12">
    <w:abstractNumId w:val="19"/>
  </w:num>
  <w:num w:numId="13">
    <w:abstractNumId w:val="6"/>
  </w:num>
  <w:num w:numId="14">
    <w:abstractNumId w:val="0"/>
  </w:num>
  <w:num w:numId="15">
    <w:abstractNumId w:val="4"/>
  </w:num>
  <w:num w:numId="16">
    <w:abstractNumId w:val="17"/>
  </w:num>
  <w:num w:numId="17">
    <w:abstractNumId w:val="5"/>
  </w:num>
  <w:num w:numId="18">
    <w:abstractNumId w:val="9"/>
  </w:num>
  <w:num w:numId="19">
    <w:abstractNumId w:val="14"/>
  </w:num>
  <w:num w:numId="20">
    <w:abstractNumId w:val="8"/>
  </w:num>
  <w:num w:numId="21">
    <w:abstractNumId w:val="16"/>
  </w:num>
  <w:num w:numId="22">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it-IT" w:vendorID="64" w:dllVersion="0" w:nlCheck="1" w:checkStyle="0"/>
  <w:activeWritingStyle w:appName="MSWord" w:lang="en-GB" w:vendorID="64" w:dllVersion="131078" w:nlCheck="1" w:checkStyle="1"/>
  <w:activeWritingStyle w:appName="MSWord" w:lang="it-IT" w:vendorID="64" w:dllVersion="131078" w:nlCheck="1" w:checkStyle="0"/>
  <w:activeWritingStyle w:appName="MSWord" w:lang="fr-FR" w:vendorID="64" w:dllVersion="131078" w:nlCheck="1" w:checkStyle="0"/>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151F"/>
    <w:rsid w:val="00001EF9"/>
    <w:rsid w:val="00003989"/>
    <w:rsid w:val="00003A52"/>
    <w:rsid w:val="00003FBC"/>
    <w:rsid w:val="00004C97"/>
    <w:rsid w:val="00004E4D"/>
    <w:rsid w:val="00004F3D"/>
    <w:rsid w:val="0000548D"/>
    <w:rsid w:val="00005780"/>
    <w:rsid w:val="00005B80"/>
    <w:rsid w:val="0000606E"/>
    <w:rsid w:val="00006E06"/>
    <w:rsid w:val="000070E4"/>
    <w:rsid w:val="000073A3"/>
    <w:rsid w:val="0000790F"/>
    <w:rsid w:val="0000BEB3"/>
    <w:rsid w:val="00010A9B"/>
    <w:rsid w:val="00010DB5"/>
    <w:rsid w:val="00011551"/>
    <w:rsid w:val="00011756"/>
    <w:rsid w:val="00012150"/>
    <w:rsid w:val="000121BE"/>
    <w:rsid w:val="000123B8"/>
    <w:rsid w:val="00012D10"/>
    <w:rsid w:val="00013812"/>
    <w:rsid w:val="00013818"/>
    <w:rsid w:val="00014E32"/>
    <w:rsid w:val="00015396"/>
    <w:rsid w:val="0001645F"/>
    <w:rsid w:val="0001673A"/>
    <w:rsid w:val="0001673F"/>
    <w:rsid w:val="0001720A"/>
    <w:rsid w:val="000173CB"/>
    <w:rsid w:val="00017616"/>
    <w:rsid w:val="00017A73"/>
    <w:rsid w:val="00020457"/>
    <w:rsid w:val="00020D1D"/>
    <w:rsid w:val="00021ED4"/>
    <w:rsid w:val="00022B71"/>
    <w:rsid w:val="00022C89"/>
    <w:rsid w:val="00023D90"/>
    <w:rsid w:val="00024011"/>
    <w:rsid w:val="00024B71"/>
    <w:rsid w:val="00025643"/>
    <w:rsid w:val="00025E6B"/>
    <w:rsid w:val="00030188"/>
    <w:rsid w:val="000307D6"/>
    <w:rsid w:val="00031A08"/>
    <w:rsid w:val="00031C85"/>
    <w:rsid w:val="000327D3"/>
    <w:rsid w:val="0003351E"/>
    <w:rsid w:val="000343E4"/>
    <w:rsid w:val="00034B84"/>
    <w:rsid w:val="00034E51"/>
    <w:rsid w:val="000350A8"/>
    <w:rsid w:val="000364B0"/>
    <w:rsid w:val="00037303"/>
    <w:rsid w:val="0004065C"/>
    <w:rsid w:val="00040947"/>
    <w:rsid w:val="00040B0C"/>
    <w:rsid w:val="00040B31"/>
    <w:rsid w:val="000410F0"/>
    <w:rsid w:val="000431C3"/>
    <w:rsid w:val="00043B5C"/>
    <w:rsid w:val="0004563E"/>
    <w:rsid w:val="000470EB"/>
    <w:rsid w:val="00047322"/>
    <w:rsid w:val="00050B70"/>
    <w:rsid w:val="00050FE2"/>
    <w:rsid w:val="000512B3"/>
    <w:rsid w:val="000550C8"/>
    <w:rsid w:val="00055ED4"/>
    <w:rsid w:val="000566AB"/>
    <w:rsid w:val="00056919"/>
    <w:rsid w:val="0005714C"/>
    <w:rsid w:val="000577BF"/>
    <w:rsid w:val="00057D59"/>
    <w:rsid w:val="00060CC5"/>
    <w:rsid w:val="00061235"/>
    <w:rsid w:val="00062389"/>
    <w:rsid w:val="000623C7"/>
    <w:rsid w:val="00062945"/>
    <w:rsid w:val="000639D4"/>
    <w:rsid w:val="00064779"/>
    <w:rsid w:val="000656F5"/>
    <w:rsid w:val="00065E7F"/>
    <w:rsid w:val="00065F6B"/>
    <w:rsid w:val="0006767B"/>
    <w:rsid w:val="00067930"/>
    <w:rsid w:val="000707A7"/>
    <w:rsid w:val="000707D5"/>
    <w:rsid w:val="00070A12"/>
    <w:rsid w:val="00070FEF"/>
    <w:rsid w:val="00071489"/>
    <w:rsid w:val="00071CA2"/>
    <w:rsid w:val="000721CB"/>
    <w:rsid w:val="00072330"/>
    <w:rsid w:val="0007433F"/>
    <w:rsid w:val="00074450"/>
    <w:rsid w:val="00074B59"/>
    <w:rsid w:val="000759F6"/>
    <w:rsid w:val="00076F15"/>
    <w:rsid w:val="00077153"/>
    <w:rsid w:val="00080541"/>
    <w:rsid w:val="0008061D"/>
    <w:rsid w:val="0008284C"/>
    <w:rsid w:val="00082E3E"/>
    <w:rsid w:val="0008315E"/>
    <w:rsid w:val="00085E6E"/>
    <w:rsid w:val="00086140"/>
    <w:rsid w:val="0008647E"/>
    <w:rsid w:val="000875A7"/>
    <w:rsid w:val="0009261F"/>
    <w:rsid w:val="000928A3"/>
    <w:rsid w:val="00094B6F"/>
    <w:rsid w:val="00095469"/>
    <w:rsid w:val="000966CA"/>
    <w:rsid w:val="00096802"/>
    <w:rsid w:val="00096BEF"/>
    <w:rsid w:val="00096F61"/>
    <w:rsid w:val="00097A83"/>
    <w:rsid w:val="00097E57"/>
    <w:rsid w:val="000A0121"/>
    <w:rsid w:val="000A0361"/>
    <w:rsid w:val="000A037A"/>
    <w:rsid w:val="000A071D"/>
    <w:rsid w:val="000A25A1"/>
    <w:rsid w:val="000A2FFF"/>
    <w:rsid w:val="000A3B62"/>
    <w:rsid w:val="000A40CA"/>
    <w:rsid w:val="000A5385"/>
    <w:rsid w:val="000A5D39"/>
    <w:rsid w:val="000A75F2"/>
    <w:rsid w:val="000A7EE4"/>
    <w:rsid w:val="000B3239"/>
    <w:rsid w:val="000B3571"/>
    <w:rsid w:val="000B47BD"/>
    <w:rsid w:val="000B50F7"/>
    <w:rsid w:val="000B572D"/>
    <w:rsid w:val="000B6581"/>
    <w:rsid w:val="000B6EA8"/>
    <w:rsid w:val="000C0D8F"/>
    <w:rsid w:val="000C1C6A"/>
    <w:rsid w:val="000C2453"/>
    <w:rsid w:val="000C25CE"/>
    <w:rsid w:val="000C2961"/>
    <w:rsid w:val="000C305F"/>
    <w:rsid w:val="000C3398"/>
    <w:rsid w:val="000C364C"/>
    <w:rsid w:val="000C3D3D"/>
    <w:rsid w:val="000C4D4A"/>
    <w:rsid w:val="000C5A65"/>
    <w:rsid w:val="000C6141"/>
    <w:rsid w:val="000C7004"/>
    <w:rsid w:val="000D052F"/>
    <w:rsid w:val="000D05CF"/>
    <w:rsid w:val="000D11FD"/>
    <w:rsid w:val="000D1AF3"/>
    <w:rsid w:val="000D1D0F"/>
    <w:rsid w:val="000D2AE5"/>
    <w:rsid w:val="000D363F"/>
    <w:rsid w:val="000D4185"/>
    <w:rsid w:val="000D486F"/>
    <w:rsid w:val="000D4F34"/>
    <w:rsid w:val="000D6498"/>
    <w:rsid w:val="000D67F8"/>
    <w:rsid w:val="000D68CD"/>
    <w:rsid w:val="000D716D"/>
    <w:rsid w:val="000D7E23"/>
    <w:rsid w:val="000E01EF"/>
    <w:rsid w:val="000E0881"/>
    <w:rsid w:val="000E0D7C"/>
    <w:rsid w:val="000E1A8B"/>
    <w:rsid w:val="000E1C60"/>
    <w:rsid w:val="000E232C"/>
    <w:rsid w:val="000E406A"/>
    <w:rsid w:val="000E7805"/>
    <w:rsid w:val="000E79D0"/>
    <w:rsid w:val="000E7A04"/>
    <w:rsid w:val="000E7F33"/>
    <w:rsid w:val="000E7FE1"/>
    <w:rsid w:val="000EAAA6"/>
    <w:rsid w:val="000ED187"/>
    <w:rsid w:val="000F07AC"/>
    <w:rsid w:val="000F101E"/>
    <w:rsid w:val="000F10CE"/>
    <w:rsid w:val="000F1449"/>
    <w:rsid w:val="000F1471"/>
    <w:rsid w:val="000F1887"/>
    <w:rsid w:val="000F1964"/>
    <w:rsid w:val="000F298F"/>
    <w:rsid w:val="000F2CE5"/>
    <w:rsid w:val="000F4007"/>
    <w:rsid w:val="000F4134"/>
    <w:rsid w:val="000F5939"/>
    <w:rsid w:val="000F72C4"/>
    <w:rsid w:val="000F760C"/>
    <w:rsid w:val="0010013A"/>
    <w:rsid w:val="001010BB"/>
    <w:rsid w:val="001014DE"/>
    <w:rsid w:val="00101E32"/>
    <w:rsid w:val="00102870"/>
    <w:rsid w:val="00102F79"/>
    <w:rsid w:val="00104AE6"/>
    <w:rsid w:val="00105A52"/>
    <w:rsid w:val="00105C51"/>
    <w:rsid w:val="0010697B"/>
    <w:rsid w:val="00106D7F"/>
    <w:rsid w:val="00106E60"/>
    <w:rsid w:val="00107655"/>
    <w:rsid w:val="0010D34A"/>
    <w:rsid w:val="00110E29"/>
    <w:rsid w:val="00111D3E"/>
    <w:rsid w:val="0011271D"/>
    <w:rsid w:val="00112BEC"/>
    <w:rsid w:val="00112EEA"/>
    <w:rsid w:val="001131FB"/>
    <w:rsid w:val="0011367C"/>
    <w:rsid w:val="00113C87"/>
    <w:rsid w:val="0011457A"/>
    <w:rsid w:val="00114777"/>
    <w:rsid w:val="001157AF"/>
    <w:rsid w:val="001158E5"/>
    <w:rsid w:val="00115C33"/>
    <w:rsid w:val="00116F7B"/>
    <w:rsid w:val="001178CB"/>
    <w:rsid w:val="0012034B"/>
    <w:rsid w:val="00120B78"/>
    <w:rsid w:val="001214A8"/>
    <w:rsid w:val="00122421"/>
    <w:rsid w:val="0012280F"/>
    <w:rsid w:val="001244E6"/>
    <w:rsid w:val="0012466D"/>
    <w:rsid w:val="0012485E"/>
    <w:rsid w:val="00125A4B"/>
    <w:rsid w:val="0012674D"/>
    <w:rsid w:val="001302FA"/>
    <w:rsid w:val="001308E5"/>
    <w:rsid w:val="001314E1"/>
    <w:rsid w:val="00131DFB"/>
    <w:rsid w:val="00132A25"/>
    <w:rsid w:val="00132CA7"/>
    <w:rsid w:val="00133959"/>
    <w:rsid w:val="00135CD5"/>
    <w:rsid w:val="00136441"/>
    <w:rsid w:val="00137054"/>
    <w:rsid w:val="00137309"/>
    <w:rsid w:val="00137ED9"/>
    <w:rsid w:val="00140B60"/>
    <w:rsid w:val="00140C43"/>
    <w:rsid w:val="00140F1E"/>
    <w:rsid w:val="00140F74"/>
    <w:rsid w:val="0014148A"/>
    <w:rsid w:val="0014282F"/>
    <w:rsid w:val="00143CFF"/>
    <w:rsid w:val="00144800"/>
    <w:rsid w:val="001449DD"/>
    <w:rsid w:val="00144D97"/>
    <w:rsid w:val="00145151"/>
    <w:rsid w:val="00145D2D"/>
    <w:rsid w:val="00146402"/>
    <w:rsid w:val="00146E09"/>
    <w:rsid w:val="001473D7"/>
    <w:rsid w:val="00147791"/>
    <w:rsid w:val="00147F5F"/>
    <w:rsid w:val="00150793"/>
    <w:rsid w:val="00150F57"/>
    <w:rsid w:val="001514FE"/>
    <w:rsid w:val="001520AD"/>
    <w:rsid w:val="00152595"/>
    <w:rsid w:val="00152650"/>
    <w:rsid w:val="00152672"/>
    <w:rsid w:val="00152BE7"/>
    <w:rsid w:val="00154D05"/>
    <w:rsid w:val="0015540C"/>
    <w:rsid w:val="0015600B"/>
    <w:rsid w:val="00156176"/>
    <w:rsid w:val="00156181"/>
    <w:rsid w:val="00156C02"/>
    <w:rsid w:val="00157141"/>
    <w:rsid w:val="00157EFA"/>
    <w:rsid w:val="00161890"/>
    <w:rsid w:val="00161AD8"/>
    <w:rsid w:val="00161FF6"/>
    <w:rsid w:val="001620C8"/>
    <w:rsid w:val="001628EC"/>
    <w:rsid w:val="0016303E"/>
    <w:rsid w:val="001634E6"/>
    <w:rsid w:val="00163F75"/>
    <w:rsid w:val="00165679"/>
    <w:rsid w:val="00165DCC"/>
    <w:rsid w:val="00166E05"/>
    <w:rsid w:val="001701F3"/>
    <w:rsid w:val="00170B73"/>
    <w:rsid w:val="00170DA1"/>
    <w:rsid w:val="0017229E"/>
    <w:rsid w:val="00173F4A"/>
    <w:rsid w:val="00174FAD"/>
    <w:rsid w:val="0017546A"/>
    <w:rsid w:val="00175AB7"/>
    <w:rsid w:val="00175CDC"/>
    <w:rsid w:val="00176002"/>
    <w:rsid w:val="00183850"/>
    <w:rsid w:val="00183FE5"/>
    <w:rsid w:val="001853E6"/>
    <w:rsid w:val="001857FC"/>
    <w:rsid w:val="00186B4B"/>
    <w:rsid w:val="00191AC2"/>
    <w:rsid w:val="0019350A"/>
    <w:rsid w:val="00193D25"/>
    <w:rsid w:val="00194C0F"/>
    <w:rsid w:val="0019593A"/>
    <w:rsid w:val="00197118"/>
    <w:rsid w:val="00197B6A"/>
    <w:rsid w:val="001A02C0"/>
    <w:rsid w:val="001A1056"/>
    <w:rsid w:val="001A107C"/>
    <w:rsid w:val="001A1920"/>
    <w:rsid w:val="001A246D"/>
    <w:rsid w:val="001A379D"/>
    <w:rsid w:val="001A4402"/>
    <w:rsid w:val="001A510A"/>
    <w:rsid w:val="001A53CF"/>
    <w:rsid w:val="001A5BBB"/>
    <w:rsid w:val="001A6237"/>
    <w:rsid w:val="001A62D8"/>
    <w:rsid w:val="001A635F"/>
    <w:rsid w:val="001A7450"/>
    <w:rsid w:val="001A7D2F"/>
    <w:rsid w:val="001B0294"/>
    <w:rsid w:val="001B0900"/>
    <w:rsid w:val="001B12C7"/>
    <w:rsid w:val="001B3997"/>
    <w:rsid w:val="001B4B9A"/>
    <w:rsid w:val="001B4EDA"/>
    <w:rsid w:val="001B59E5"/>
    <w:rsid w:val="001B64CD"/>
    <w:rsid w:val="001B6B40"/>
    <w:rsid w:val="001B6C6A"/>
    <w:rsid w:val="001C1940"/>
    <w:rsid w:val="001C1EF9"/>
    <w:rsid w:val="001C2B01"/>
    <w:rsid w:val="001C3DBE"/>
    <w:rsid w:val="001C4069"/>
    <w:rsid w:val="001C4575"/>
    <w:rsid w:val="001C4749"/>
    <w:rsid w:val="001C4F9A"/>
    <w:rsid w:val="001C598E"/>
    <w:rsid w:val="001C6336"/>
    <w:rsid w:val="001C638E"/>
    <w:rsid w:val="001C67FF"/>
    <w:rsid w:val="001C6961"/>
    <w:rsid w:val="001C6F95"/>
    <w:rsid w:val="001C7B7C"/>
    <w:rsid w:val="001D0259"/>
    <w:rsid w:val="001D025E"/>
    <w:rsid w:val="001D0891"/>
    <w:rsid w:val="001D23DF"/>
    <w:rsid w:val="001D27B4"/>
    <w:rsid w:val="001D2BBF"/>
    <w:rsid w:val="001D3114"/>
    <w:rsid w:val="001D35EC"/>
    <w:rsid w:val="001D43AB"/>
    <w:rsid w:val="001D459C"/>
    <w:rsid w:val="001D4D43"/>
    <w:rsid w:val="001D51E0"/>
    <w:rsid w:val="001D59BC"/>
    <w:rsid w:val="001D6B68"/>
    <w:rsid w:val="001D712B"/>
    <w:rsid w:val="001D791B"/>
    <w:rsid w:val="001E0DDB"/>
    <w:rsid w:val="001E1D9E"/>
    <w:rsid w:val="001E2121"/>
    <w:rsid w:val="001E2932"/>
    <w:rsid w:val="001E30E0"/>
    <w:rsid w:val="001E359A"/>
    <w:rsid w:val="001E4104"/>
    <w:rsid w:val="001E494A"/>
    <w:rsid w:val="001E4D6A"/>
    <w:rsid w:val="001E5973"/>
    <w:rsid w:val="001E5C0B"/>
    <w:rsid w:val="001E6380"/>
    <w:rsid w:val="001E68F7"/>
    <w:rsid w:val="001E7708"/>
    <w:rsid w:val="001E7ABE"/>
    <w:rsid w:val="001F10CE"/>
    <w:rsid w:val="001F1AEF"/>
    <w:rsid w:val="001F217C"/>
    <w:rsid w:val="001F2750"/>
    <w:rsid w:val="001F2CFB"/>
    <w:rsid w:val="001F309C"/>
    <w:rsid w:val="001F347E"/>
    <w:rsid w:val="001F3D4A"/>
    <w:rsid w:val="001F55EF"/>
    <w:rsid w:val="001F5D20"/>
    <w:rsid w:val="001F6967"/>
    <w:rsid w:val="001F7D83"/>
    <w:rsid w:val="001FED37"/>
    <w:rsid w:val="00200BAF"/>
    <w:rsid w:val="00200D05"/>
    <w:rsid w:val="0020216E"/>
    <w:rsid w:val="00203F24"/>
    <w:rsid w:val="00205545"/>
    <w:rsid w:val="002058EF"/>
    <w:rsid w:val="00206489"/>
    <w:rsid w:val="002070EE"/>
    <w:rsid w:val="00207AF5"/>
    <w:rsid w:val="0021002E"/>
    <w:rsid w:val="00210E56"/>
    <w:rsid w:val="0021216C"/>
    <w:rsid w:val="0021371B"/>
    <w:rsid w:val="00214839"/>
    <w:rsid w:val="00214CCF"/>
    <w:rsid w:val="00214FA6"/>
    <w:rsid w:val="002150C7"/>
    <w:rsid w:val="002158A5"/>
    <w:rsid w:val="00215EEF"/>
    <w:rsid w:val="00216733"/>
    <w:rsid w:val="00217A46"/>
    <w:rsid w:val="002200E2"/>
    <w:rsid w:val="00221226"/>
    <w:rsid w:val="00221940"/>
    <w:rsid w:val="002237C3"/>
    <w:rsid w:val="00224BB9"/>
    <w:rsid w:val="00225D21"/>
    <w:rsid w:val="00227038"/>
    <w:rsid w:val="002271AA"/>
    <w:rsid w:val="00227A65"/>
    <w:rsid w:val="00227A70"/>
    <w:rsid w:val="00230B02"/>
    <w:rsid w:val="0023107C"/>
    <w:rsid w:val="0023235A"/>
    <w:rsid w:val="002328EB"/>
    <w:rsid w:val="00232D33"/>
    <w:rsid w:val="00233585"/>
    <w:rsid w:val="00233DC2"/>
    <w:rsid w:val="00235124"/>
    <w:rsid w:val="00236830"/>
    <w:rsid w:val="00237880"/>
    <w:rsid w:val="002403D4"/>
    <w:rsid w:val="00240DB9"/>
    <w:rsid w:val="0024121C"/>
    <w:rsid w:val="00241457"/>
    <w:rsid w:val="00241B0E"/>
    <w:rsid w:val="00241B8A"/>
    <w:rsid w:val="0024296F"/>
    <w:rsid w:val="0024351F"/>
    <w:rsid w:val="002439B9"/>
    <w:rsid w:val="002454E3"/>
    <w:rsid w:val="00245862"/>
    <w:rsid w:val="00246C29"/>
    <w:rsid w:val="00247B1D"/>
    <w:rsid w:val="00250504"/>
    <w:rsid w:val="002506F7"/>
    <w:rsid w:val="00250B8E"/>
    <w:rsid w:val="00251AAA"/>
    <w:rsid w:val="0025274E"/>
    <w:rsid w:val="00252819"/>
    <w:rsid w:val="00253638"/>
    <w:rsid w:val="002539EC"/>
    <w:rsid w:val="00253C3A"/>
    <w:rsid w:val="00254B42"/>
    <w:rsid w:val="00254E22"/>
    <w:rsid w:val="0025520C"/>
    <w:rsid w:val="002553AE"/>
    <w:rsid w:val="0025572A"/>
    <w:rsid w:val="00256AB7"/>
    <w:rsid w:val="00260C5C"/>
    <w:rsid w:val="00262214"/>
    <w:rsid w:val="00262C76"/>
    <w:rsid w:val="00263086"/>
    <w:rsid w:val="002634C7"/>
    <w:rsid w:val="002635D4"/>
    <w:rsid w:val="00264088"/>
    <w:rsid w:val="00265270"/>
    <w:rsid w:val="002658E7"/>
    <w:rsid w:val="00265E2F"/>
    <w:rsid w:val="00266415"/>
    <w:rsid w:val="00266C28"/>
    <w:rsid w:val="002715F5"/>
    <w:rsid w:val="002717B3"/>
    <w:rsid w:val="00271A3A"/>
    <w:rsid w:val="00272BB8"/>
    <w:rsid w:val="00273B98"/>
    <w:rsid w:val="00274677"/>
    <w:rsid w:val="00274D25"/>
    <w:rsid w:val="00275872"/>
    <w:rsid w:val="00276E5D"/>
    <w:rsid w:val="0027720F"/>
    <w:rsid w:val="00277820"/>
    <w:rsid w:val="0028003E"/>
    <w:rsid w:val="00280969"/>
    <w:rsid w:val="002809F6"/>
    <w:rsid w:val="002814BC"/>
    <w:rsid w:val="002823DD"/>
    <w:rsid w:val="00282B8A"/>
    <w:rsid w:val="002838C4"/>
    <w:rsid w:val="00283AFD"/>
    <w:rsid w:val="00283E74"/>
    <w:rsid w:val="00284F58"/>
    <w:rsid w:val="00285342"/>
    <w:rsid w:val="002854FF"/>
    <w:rsid w:val="00285867"/>
    <w:rsid w:val="002865DA"/>
    <w:rsid w:val="002866A0"/>
    <w:rsid w:val="0028679B"/>
    <w:rsid w:val="00287982"/>
    <w:rsid w:val="00290A2F"/>
    <w:rsid w:val="0029131E"/>
    <w:rsid w:val="00292280"/>
    <w:rsid w:val="00292BAC"/>
    <w:rsid w:val="00292F98"/>
    <w:rsid w:val="0029332A"/>
    <w:rsid w:val="002934FB"/>
    <w:rsid w:val="00295181"/>
    <w:rsid w:val="00296179"/>
    <w:rsid w:val="0029649F"/>
    <w:rsid w:val="0029654A"/>
    <w:rsid w:val="002969CA"/>
    <w:rsid w:val="00296E3C"/>
    <w:rsid w:val="00297165"/>
    <w:rsid w:val="002974A9"/>
    <w:rsid w:val="00297548"/>
    <w:rsid w:val="002977C3"/>
    <w:rsid w:val="0029781C"/>
    <w:rsid w:val="002978E1"/>
    <w:rsid w:val="002A008F"/>
    <w:rsid w:val="002A050C"/>
    <w:rsid w:val="002A079B"/>
    <w:rsid w:val="002A1747"/>
    <w:rsid w:val="002A24E2"/>
    <w:rsid w:val="002A46CF"/>
    <w:rsid w:val="002A4D21"/>
    <w:rsid w:val="002A54FF"/>
    <w:rsid w:val="002A7090"/>
    <w:rsid w:val="002A79B0"/>
    <w:rsid w:val="002A7D0D"/>
    <w:rsid w:val="002B17F3"/>
    <w:rsid w:val="002B1BDD"/>
    <w:rsid w:val="002B1D9C"/>
    <w:rsid w:val="002B2992"/>
    <w:rsid w:val="002B376A"/>
    <w:rsid w:val="002B3919"/>
    <w:rsid w:val="002B39BC"/>
    <w:rsid w:val="002B477A"/>
    <w:rsid w:val="002B4E1B"/>
    <w:rsid w:val="002B687F"/>
    <w:rsid w:val="002B6BCD"/>
    <w:rsid w:val="002B6D0E"/>
    <w:rsid w:val="002B71B0"/>
    <w:rsid w:val="002B74A1"/>
    <w:rsid w:val="002B772F"/>
    <w:rsid w:val="002B7C11"/>
    <w:rsid w:val="002B7FD5"/>
    <w:rsid w:val="002C16B7"/>
    <w:rsid w:val="002C3707"/>
    <w:rsid w:val="002C407E"/>
    <w:rsid w:val="002C4141"/>
    <w:rsid w:val="002C4AD7"/>
    <w:rsid w:val="002C4DE2"/>
    <w:rsid w:val="002C5107"/>
    <w:rsid w:val="002C5B4D"/>
    <w:rsid w:val="002C5BD8"/>
    <w:rsid w:val="002C69E1"/>
    <w:rsid w:val="002C6E7A"/>
    <w:rsid w:val="002C72BB"/>
    <w:rsid w:val="002C7EDA"/>
    <w:rsid w:val="002C7F7D"/>
    <w:rsid w:val="002D03D2"/>
    <w:rsid w:val="002D0682"/>
    <w:rsid w:val="002D0BD3"/>
    <w:rsid w:val="002D0CE2"/>
    <w:rsid w:val="002D0EC4"/>
    <w:rsid w:val="002D1BE7"/>
    <w:rsid w:val="002D1FCF"/>
    <w:rsid w:val="002D2670"/>
    <w:rsid w:val="002D3983"/>
    <w:rsid w:val="002D3C85"/>
    <w:rsid w:val="002D4187"/>
    <w:rsid w:val="002D57AA"/>
    <w:rsid w:val="002D5C08"/>
    <w:rsid w:val="002D6950"/>
    <w:rsid w:val="002D75EB"/>
    <w:rsid w:val="002D7EF1"/>
    <w:rsid w:val="002E00F4"/>
    <w:rsid w:val="002E062D"/>
    <w:rsid w:val="002E0DFF"/>
    <w:rsid w:val="002E0E9D"/>
    <w:rsid w:val="002E19E3"/>
    <w:rsid w:val="002E2CB7"/>
    <w:rsid w:val="002E38AF"/>
    <w:rsid w:val="002E3B4C"/>
    <w:rsid w:val="002E3DD9"/>
    <w:rsid w:val="002E3F8D"/>
    <w:rsid w:val="002E4156"/>
    <w:rsid w:val="002E45A3"/>
    <w:rsid w:val="002E4E90"/>
    <w:rsid w:val="002E563C"/>
    <w:rsid w:val="002E5968"/>
    <w:rsid w:val="002E60A8"/>
    <w:rsid w:val="002E6EEA"/>
    <w:rsid w:val="002F1537"/>
    <w:rsid w:val="002F1597"/>
    <w:rsid w:val="002F2163"/>
    <w:rsid w:val="002F2831"/>
    <w:rsid w:val="002F30AF"/>
    <w:rsid w:val="002F3BDE"/>
    <w:rsid w:val="002F40C6"/>
    <w:rsid w:val="002F47EE"/>
    <w:rsid w:val="002F4C7D"/>
    <w:rsid w:val="002F5887"/>
    <w:rsid w:val="002F6A1D"/>
    <w:rsid w:val="002F6BCF"/>
    <w:rsid w:val="00300EF8"/>
    <w:rsid w:val="00300F19"/>
    <w:rsid w:val="003015FC"/>
    <w:rsid w:val="00301BB7"/>
    <w:rsid w:val="00301CFE"/>
    <w:rsid w:val="00302A00"/>
    <w:rsid w:val="0030399D"/>
    <w:rsid w:val="003039EE"/>
    <w:rsid w:val="0030444D"/>
    <w:rsid w:val="00305BEA"/>
    <w:rsid w:val="003074DB"/>
    <w:rsid w:val="00307D5C"/>
    <w:rsid w:val="00310229"/>
    <w:rsid w:val="00310263"/>
    <w:rsid w:val="00310416"/>
    <w:rsid w:val="0031115E"/>
    <w:rsid w:val="003114E5"/>
    <w:rsid w:val="00311859"/>
    <w:rsid w:val="00311BD2"/>
    <w:rsid w:val="003120A2"/>
    <w:rsid w:val="0031295D"/>
    <w:rsid w:val="00313106"/>
    <w:rsid w:val="003151C3"/>
    <w:rsid w:val="00315DC3"/>
    <w:rsid w:val="00316A34"/>
    <w:rsid w:val="00322C80"/>
    <w:rsid w:val="003230AD"/>
    <w:rsid w:val="003233DF"/>
    <w:rsid w:val="00323B35"/>
    <w:rsid w:val="00323FE8"/>
    <w:rsid w:val="00324E48"/>
    <w:rsid w:val="00325E53"/>
    <w:rsid w:val="0032662C"/>
    <w:rsid w:val="00327FE3"/>
    <w:rsid w:val="00330599"/>
    <w:rsid w:val="003306D4"/>
    <w:rsid w:val="00331993"/>
    <w:rsid w:val="003328FA"/>
    <w:rsid w:val="0033391F"/>
    <w:rsid w:val="003345BE"/>
    <w:rsid w:val="00334EB8"/>
    <w:rsid w:val="0033623B"/>
    <w:rsid w:val="003369E4"/>
    <w:rsid w:val="00337678"/>
    <w:rsid w:val="0034182F"/>
    <w:rsid w:val="00341CA1"/>
    <w:rsid w:val="00343891"/>
    <w:rsid w:val="00344DB1"/>
    <w:rsid w:val="003451C8"/>
    <w:rsid w:val="003461D6"/>
    <w:rsid w:val="003464A1"/>
    <w:rsid w:val="003464E1"/>
    <w:rsid w:val="00346DDE"/>
    <w:rsid w:val="00346ED4"/>
    <w:rsid w:val="00347D5F"/>
    <w:rsid w:val="00353287"/>
    <w:rsid w:val="003532B9"/>
    <w:rsid w:val="00354F14"/>
    <w:rsid w:val="00355618"/>
    <w:rsid w:val="00356356"/>
    <w:rsid w:val="003607AA"/>
    <w:rsid w:val="003617CB"/>
    <w:rsid w:val="00361B07"/>
    <w:rsid w:val="00362210"/>
    <w:rsid w:val="0036231F"/>
    <w:rsid w:val="00362C51"/>
    <w:rsid w:val="00365432"/>
    <w:rsid w:val="0036605F"/>
    <w:rsid w:val="00366626"/>
    <w:rsid w:val="0036672A"/>
    <w:rsid w:val="0037039F"/>
    <w:rsid w:val="0037109D"/>
    <w:rsid w:val="003726CE"/>
    <w:rsid w:val="00374BA1"/>
    <w:rsid w:val="00375878"/>
    <w:rsid w:val="00376767"/>
    <w:rsid w:val="0037742E"/>
    <w:rsid w:val="0037791E"/>
    <w:rsid w:val="00380187"/>
    <w:rsid w:val="003817B4"/>
    <w:rsid w:val="003828ED"/>
    <w:rsid w:val="00383313"/>
    <w:rsid w:val="00383FE0"/>
    <w:rsid w:val="003840A3"/>
    <w:rsid w:val="00384AA5"/>
    <w:rsid w:val="0039151C"/>
    <w:rsid w:val="003917AD"/>
    <w:rsid w:val="00391B17"/>
    <w:rsid w:val="0039253A"/>
    <w:rsid w:val="00393E24"/>
    <w:rsid w:val="003943E6"/>
    <w:rsid w:val="00394C3D"/>
    <w:rsid w:val="0039503E"/>
    <w:rsid w:val="003956B4"/>
    <w:rsid w:val="00395AEE"/>
    <w:rsid w:val="00396229"/>
    <w:rsid w:val="00396D3F"/>
    <w:rsid w:val="00396E21"/>
    <w:rsid w:val="00397C52"/>
    <w:rsid w:val="003A13D8"/>
    <w:rsid w:val="003A141F"/>
    <w:rsid w:val="003A2A82"/>
    <w:rsid w:val="003A3376"/>
    <w:rsid w:val="003A3EFE"/>
    <w:rsid w:val="003A40EB"/>
    <w:rsid w:val="003A4DDE"/>
    <w:rsid w:val="003A509B"/>
    <w:rsid w:val="003A5660"/>
    <w:rsid w:val="003A591A"/>
    <w:rsid w:val="003A5AE1"/>
    <w:rsid w:val="003A6061"/>
    <w:rsid w:val="003A6224"/>
    <w:rsid w:val="003A62C7"/>
    <w:rsid w:val="003A77F0"/>
    <w:rsid w:val="003A7C01"/>
    <w:rsid w:val="003A7E35"/>
    <w:rsid w:val="003A7FFB"/>
    <w:rsid w:val="003B04B4"/>
    <w:rsid w:val="003B0EEE"/>
    <w:rsid w:val="003B23D5"/>
    <w:rsid w:val="003B2832"/>
    <w:rsid w:val="003B3A50"/>
    <w:rsid w:val="003B3D2C"/>
    <w:rsid w:val="003B3D88"/>
    <w:rsid w:val="003B4478"/>
    <w:rsid w:val="003B4C1C"/>
    <w:rsid w:val="003B7027"/>
    <w:rsid w:val="003B73EA"/>
    <w:rsid w:val="003B74A2"/>
    <w:rsid w:val="003C0F9D"/>
    <w:rsid w:val="003C1DCB"/>
    <w:rsid w:val="003C1F82"/>
    <w:rsid w:val="003C3E01"/>
    <w:rsid w:val="003C40AD"/>
    <w:rsid w:val="003C5C2D"/>
    <w:rsid w:val="003C6172"/>
    <w:rsid w:val="003C6477"/>
    <w:rsid w:val="003D060B"/>
    <w:rsid w:val="003D09C2"/>
    <w:rsid w:val="003D1473"/>
    <w:rsid w:val="003D1D2C"/>
    <w:rsid w:val="003D208E"/>
    <w:rsid w:val="003D2AF9"/>
    <w:rsid w:val="003D3044"/>
    <w:rsid w:val="003D3626"/>
    <w:rsid w:val="003D36E1"/>
    <w:rsid w:val="003D448D"/>
    <w:rsid w:val="003D4925"/>
    <w:rsid w:val="003D6463"/>
    <w:rsid w:val="003D7719"/>
    <w:rsid w:val="003D7970"/>
    <w:rsid w:val="003D79E4"/>
    <w:rsid w:val="003D7FFE"/>
    <w:rsid w:val="003E0195"/>
    <w:rsid w:val="003E0237"/>
    <w:rsid w:val="003E0A06"/>
    <w:rsid w:val="003E212A"/>
    <w:rsid w:val="003E2DCD"/>
    <w:rsid w:val="003E2F8C"/>
    <w:rsid w:val="003E34D3"/>
    <w:rsid w:val="003E3848"/>
    <w:rsid w:val="003E3BC7"/>
    <w:rsid w:val="003E3D8A"/>
    <w:rsid w:val="003E5983"/>
    <w:rsid w:val="003E5C4C"/>
    <w:rsid w:val="003E6763"/>
    <w:rsid w:val="003E6909"/>
    <w:rsid w:val="003E6D24"/>
    <w:rsid w:val="003E6F02"/>
    <w:rsid w:val="003E754E"/>
    <w:rsid w:val="003E7C37"/>
    <w:rsid w:val="003F04AD"/>
    <w:rsid w:val="003F08B6"/>
    <w:rsid w:val="003F13D5"/>
    <w:rsid w:val="003F3AE7"/>
    <w:rsid w:val="003F42D7"/>
    <w:rsid w:val="003F613F"/>
    <w:rsid w:val="003F706F"/>
    <w:rsid w:val="00400805"/>
    <w:rsid w:val="004015DA"/>
    <w:rsid w:val="00401870"/>
    <w:rsid w:val="00401A06"/>
    <w:rsid w:val="00401DA9"/>
    <w:rsid w:val="00401DB6"/>
    <w:rsid w:val="0040222A"/>
    <w:rsid w:val="00402502"/>
    <w:rsid w:val="00402585"/>
    <w:rsid w:val="00402EF0"/>
    <w:rsid w:val="00403DC3"/>
    <w:rsid w:val="00405971"/>
    <w:rsid w:val="00406202"/>
    <w:rsid w:val="0040650F"/>
    <w:rsid w:val="0040704B"/>
    <w:rsid w:val="00407B18"/>
    <w:rsid w:val="00407E03"/>
    <w:rsid w:val="00412189"/>
    <w:rsid w:val="004137B6"/>
    <w:rsid w:val="0041427A"/>
    <w:rsid w:val="004152AB"/>
    <w:rsid w:val="00415735"/>
    <w:rsid w:val="00415B0C"/>
    <w:rsid w:val="0041610E"/>
    <w:rsid w:val="0041644C"/>
    <w:rsid w:val="00416B98"/>
    <w:rsid w:val="00416D19"/>
    <w:rsid w:val="00417D5D"/>
    <w:rsid w:val="00420116"/>
    <w:rsid w:val="00420738"/>
    <w:rsid w:val="004212C9"/>
    <w:rsid w:val="00421921"/>
    <w:rsid w:val="00422158"/>
    <w:rsid w:val="00422AA5"/>
    <w:rsid w:val="00422AD4"/>
    <w:rsid w:val="00422CEC"/>
    <w:rsid w:val="00424792"/>
    <w:rsid w:val="004249A2"/>
    <w:rsid w:val="00424B5D"/>
    <w:rsid w:val="004256CF"/>
    <w:rsid w:val="0042572B"/>
    <w:rsid w:val="00425DD3"/>
    <w:rsid w:val="00426E0B"/>
    <w:rsid w:val="00427AFC"/>
    <w:rsid w:val="00427BDD"/>
    <w:rsid w:val="0043036A"/>
    <w:rsid w:val="00431248"/>
    <w:rsid w:val="00431BE9"/>
    <w:rsid w:val="00431D41"/>
    <w:rsid w:val="004320DF"/>
    <w:rsid w:val="00432F58"/>
    <w:rsid w:val="00433448"/>
    <w:rsid w:val="0043406B"/>
    <w:rsid w:val="004347AC"/>
    <w:rsid w:val="004361DE"/>
    <w:rsid w:val="0043620C"/>
    <w:rsid w:val="00436368"/>
    <w:rsid w:val="004368E3"/>
    <w:rsid w:val="00436E8E"/>
    <w:rsid w:val="004413BF"/>
    <w:rsid w:val="00441FD0"/>
    <w:rsid w:val="00443C16"/>
    <w:rsid w:val="00444377"/>
    <w:rsid w:val="004460FA"/>
    <w:rsid w:val="00446DEC"/>
    <w:rsid w:val="00450F58"/>
    <w:rsid w:val="00451928"/>
    <w:rsid w:val="00451A8B"/>
    <w:rsid w:val="00451B2B"/>
    <w:rsid w:val="0045220A"/>
    <w:rsid w:val="0045269F"/>
    <w:rsid w:val="0045280B"/>
    <w:rsid w:val="00452BE7"/>
    <w:rsid w:val="00453633"/>
    <w:rsid w:val="0045534B"/>
    <w:rsid w:val="004555A5"/>
    <w:rsid w:val="00457417"/>
    <w:rsid w:val="00460CDC"/>
    <w:rsid w:val="00460CF4"/>
    <w:rsid w:val="00461102"/>
    <w:rsid w:val="00461B58"/>
    <w:rsid w:val="00461FBB"/>
    <w:rsid w:val="0046227D"/>
    <w:rsid w:val="0046310C"/>
    <w:rsid w:val="0046390D"/>
    <w:rsid w:val="00464FFF"/>
    <w:rsid w:val="0046591E"/>
    <w:rsid w:val="00465AB7"/>
    <w:rsid w:val="00466535"/>
    <w:rsid w:val="0046653C"/>
    <w:rsid w:val="004675B2"/>
    <w:rsid w:val="0046794E"/>
    <w:rsid w:val="00467F0D"/>
    <w:rsid w:val="0047013D"/>
    <w:rsid w:val="00470B2E"/>
    <w:rsid w:val="00471991"/>
    <w:rsid w:val="0047242F"/>
    <w:rsid w:val="004724BA"/>
    <w:rsid w:val="004727B6"/>
    <w:rsid w:val="00474303"/>
    <w:rsid w:val="00474E0A"/>
    <w:rsid w:val="00476319"/>
    <w:rsid w:val="00476C96"/>
    <w:rsid w:val="0047775D"/>
    <w:rsid w:val="00477A4F"/>
    <w:rsid w:val="00477EEE"/>
    <w:rsid w:val="0047CB53"/>
    <w:rsid w:val="00480874"/>
    <w:rsid w:val="004835C2"/>
    <w:rsid w:val="004836B7"/>
    <w:rsid w:val="0048374D"/>
    <w:rsid w:val="00484197"/>
    <w:rsid w:val="004850F8"/>
    <w:rsid w:val="0048578A"/>
    <w:rsid w:val="00485B33"/>
    <w:rsid w:val="0048707D"/>
    <w:rsid w:val="00490B93"/>
    <w:rsid w:val="00491556"/>
    <w:rsid w:val="004924F1"/>
    <w:rsid w:val="00492614"/>
    <w:rsid w:val="004926D8"/>
    <w:rsid w:val="00493944"/>
    <w:rsid w:val="0049468A"/>
    <w:rsid w:val="00495402"/>
    <w:rsid w:val="00495423"/>
    <w:rsid w:val="004976BC"/>
    <w:rsid w:val="00497E6E"/>
    <w:rsid w:val="004A092D"/>
    <w:rsid w:val="004A1A6A"/>
    <w:rsid w:val="004A1AA1"/>
    <w:rsid w:val="004A1B47"/>
    <w:rsid w:val="004A1E05"/>
    <w:rsid w:val="004A257E"/>
    <w:rsid w:val="004A323E"/>
    <w:rsid w:val="004A353F"/>
    <w:rsid w:val="004A4A59"/>
    <w:rsid w:val="004A52AA"/>
    <w:rsid w:val="004A53AC"/>
    <w:rsid w:val="004A5588"/>
    <w:rsid w:val="004A5A23"/>
    <w:rsid w:val="004A7407"/>
    <w:rsid w:val="004A7509"/>
    <w:rsid w:val="004A765F"/>
    <w:rsid w:val="004A7F82"/>
    <w:rsid w:val="004AA214"/>
    <w:rsid w:val="004B12A4"/>
    <w:rsid w:val="004B1A20"/>
    <w:rsid w:val="004B1AA6"/>
    <w:rsid w:val="004B21F5"/>
    <w:rsid w:val="004B2469"/>
    <w:rsid w:val="004B3A65"/>
    <w:rsid w:val="004B5C9A"/>
    <w:rsid w:val="004BCC80"/>
    <w:rsid w:val="004C06FC"/>
    <w:rsid w:val="004C1363"/>
    <w:rsid w:val="004C15E9"/>
    <w:rsid w:val="004C2412"/>
    <w:rsid w:val="004C285F"/>
    <w:rsid w:val="004C2B37"/>
    <w:rsid w:val="004C2EEA"/>
    <w:rsid w:val="004C2FE7"/>
    <w:rsid w:val="004C5ED6"/>
    <w:rsid w:val="004C68B8"/>
    <w:rsid w:val="004C7073"/>
    <w:rsid w:val="004C77F6"/>
    <w:rsid w:val="004C796E"/>
    <w:rsid w:val="004D0700"/>
    <w:rsid w:val="004D0BA6"/>
    <w:rsid w:val="004D180D"/>
    <w:rsid w:val="004D1C3F"/>
    <w:rsid w:val="004D235B"/>
    <w:rsid w:val="004D35D8"/>
    <w:rsid w:val="004D3D9A"/>
    <w:rsid w:val="004D46DC"/>
    <w:rsid w:val="004D5755"/>
    <w:rsid w:val="004D5A76"/>
    <w:rsid w:val="004D5C1C"/>
    <w:rsid w:val="004D61F8"/>
    <w:rsid w:val="004D6757"/>
    <w:rsid w:val="004E1626"/>
    <w:rsid w:val="004E1F37"/>
    <w:rsid w:val="004E2B2F"/>
    <w:rsid w:val="004E3554"/>
    <w:rsid w:val="004E370C"/>
    <w:rsid w:val="004E3B84"/>
    <w:rsid w:val="004E45D0"/>
    <w:rsid w:val="004E5DAD"/>
    <w:rsid w:val="004E6B8D"/>
    <w:rsid w:val="004E78B8"/>
    <w:rsid w:val="004E959D"/>
    <w:rsid w:val="004F0309"/>
    <w:rsid w:val="004F241C"/>
    <w:rsid w:val="004F2A9C"/>
    <w:rsid w:val="004F3A97"/>
    <w:rsid w:val="004F4222"/>
    <w:rsid w:val="004F429D"/>
    <w:rsid w:val="004F436E"/>
    <w:rsid w:val="004F5157"/>
    <w:rsid w:val="004F55E3"/>
    <w:rsid w:val="004F59BA"/>
    <w:rsid w:val="004F5B91"/>
    <w:rsid w:val="004F63E0"/>
    <w:rsid w:val="004F6B71"/>
    <w:rsid w:val="00500C05"/>
    <w:rsid w:val="00500C7E"/>
    <w:rsid w:val="00500CE0"/>
    <w:rsid w:val="00500DF7"/>
    <w:rsid w:val="00501F7B"/>
    <w:rsid w:val="00502240"/>
    <w:rsid w:val="0050273D"/>
    <w:rsid w:val="00502CDB"/>
    <w:rsid w:val="00502D6E"/>
    <w:rsid w:val="00502EFE"/>
    <w:rsid w:val="00502F53"/>
    <w:rsid w:val="00503F5E"/>
    <w:rsid w:val="005044E6"/>
    <w:rsid w:val="005045E3"/>
    <w:rsid w:val="00504EB5"/>
    <w:rsid w:val="00505F31"/>
    <w:rsid w:val="00506309"/>
    <w:rsid w:val="00506B33"/>
    <w:rsid w:val="00506CB5"/>
    <w:rsid w:val="005074C1"/>
    <w:rsid w:val="005075E2"/>
    <w:rsid w:val="00507814"/>
    <w:rsid w:val="00507D4A"/>
    <w:rsid w:val="005112FF"/>
    <w:rsid w:val="00512A86"/>
    <w:rsid w:val="00512C95"/>
    <w:rsid w:val="0051358B"/>
    <w:rsid w:val="0051455F"/>
    <w:rsid w:val="005146E0"/>
    <w:rsid w:val="00515F6C"/>
    <w:rsid w:val="00516C43"/>
    <w:rsid w:val="00517ACA"/>
    <w:rsid w:val="00517BF6"/>
    <w:rsid w:val="00520FB2"/>
    <w:rsid w:val="00520FEF"/>
    <w:rsid w:val="0052139A"/>
    <w:rsid w:val="005214DD"/>
    <w:rsid w:val="005221A8"/>
    <w:rsid w:val="005255C6"/>
    <w:rsid w:val="00526190"/>
    <w:rsid w:val="0052668A"/>
    <w:rsid w:val="00526A33"/>
    <w:rsid w:val="005271B7"/>
    <w:rsid w:val="00531375"/>
    <w:rsid w:val="00531907"/>
    <w:rsid w:val="00531914"/>
    <w:rsid w:val="00531DEB"/>
    <w:rsid w:val="00531F58"/>
    <w:rsid w:val="005324DA"/>
    <w:rsid w:val="00532C97"/>
    <w:rsid w:val="005340F2"/>
    <w:rsid w:val="00534195"/>
    <w:rsid w:val="00535AE2"/>
    <w:rsid w:val="00535AF6"/>
    <w:rsid w:val="00535F6A"/>
    <w:rsid w:val="00536001"/>
    <w:rsid w:val="00536362"/>
    <w:rsid w:val="0053768B"/>
    <w:rsid w:val="0053794E"/>
    <w:rsid w:val="00542185"/>
    <w:rsid w:val="00542958"/>
    <w:rsid w:val="00542FDB"/>
    <w:rsid w:val="00543470"/>
    <w:rsid w:val="00543A73"/>
    <w:rsid w:val="00543AB0"/>
    <w:rsid w:val="0054489C"/>
    <w:rsid w:val="00544CB0"/>
    <w:rsid w:val="0054671A"/>
    <w:rsid w:val="00546A79"/>
    <w:rsid w:val="00550004"/>
    <w:rsid w:val="00550A8A"/>
    <w:rsid w:val="00551806"/>
    <w:rsid w:val="005537C5"/>
    <w:rsid w:val="00555249"/>
    <w:rsid w:val="0055626E"/>
    <w:rsid w:val="00556EBD"/>
    <w:rsid w:val="00556F96"/>
    <w:rsid w:val="00557703"/>
    <w:rsid w:val="0055D58C"/>
    <w:rsid w:val="00560C98"/>
    <w:rsid w:val="005612F6"/>
    <w:rsid w:val="00562EFC"/>
    <w:rsid w:val="00563EA6"/>
    <w:rsid w:val="0056590E"/>
    <w:rsid w:val="0056692D"/>
    <w:rsid w:val="00566CF3"/>
    <w:rsid w:val="00567977"/>
    <w:rsid w:val="00570D18"/>
    <w:rsid w:val="00570E89"/>
    <w:rsid w:val="0057113A"/>
    <w:rsid w:val="005714D0"/>
    <w:rsid w:val="00571E1D"/>
    <w:rsid w:val="0057304B"/>
    <w:rsid w:val="005730A2"/>
    <w:rsid w:val="00573280"/>
    <w:rsid w:val="00574C6A"/>
    <w:rsid w:val="00575413"/>
    <w:rsid w:val="005755E6"/>
    <w:rsid w:val="00575817"/>
    <w:rsid w:val="0057598D"/>
    <w:rsid w:val="00575CD9"/>
    <w:rsid w:val="00575F77"/>
    <w:rsid w:val="0057705B"/>
    <w:rsid w:val="00577625"/>
    <w:rsid w:val="00580509"/>
    <w:rsid w:val="005825CB"/>
    <w:rsid w:val="00582942"/>
    <w:rsid w:val="00582C13"/>
    <w:rsid w:val="00583F9A"/>
    <w:rsid w:val="005843D4"/>
    <w:rsid w:val="00584462"/>
    <w:rsid w:val="00584E26"/>
    <w:rsid w:val="005861E2"/>
    <w:rsid w:val="00586360"/>
    <w:rsid w:val="00587CEA"/>
    <w:rsid w:val="00587DFC"/>
    <w:rsid w:val="00590BBC"/>
    <w:rsid w:val="00590D45"/>
    <w:rsid w:val="00590E08"/>
    <w:rsid w:val="005915E2"/>
    <w:rsid w:val="00591B42"/>
    <w:rsid w:val="00594BB2"/>
    <w:rsid w:val="00597B5C"/>
    <w:rsid w:val="005A0DBC"/>
    <w:rsid w:val="005A1771"/>
    <w:rsid w:val="005A3224"/>
    <w:rsid w:val="005A347F"/>
    <w:rsid w:val="005A3AC1"/>
    <w:rsid w:val="005A41B0"/>
    <w:rsid w:val="005A4DE5"/>
    <w:rsid w:val="005A54BC"/>
    <w:rsid w:val="005A5739"/>
    <w:rsid w:val="005A659C"/>
    <w:rsid w:val="005A6DD7"/>
    <w:rsid w:val="005A78ED"/>
    <w:rsid w:val="005AD975"/>
    <w:rsid w:val="005B064A"/>
    <w:rsid w:val="005B091A"/>
    <w:rsid w:val="005B112E"/>
    <w:rsid w:val="005B1241"/>
    <w:rsid w:val="005B1347"/>
    <w:rsid w:val="005B1BDF"/>
    <w:rsid w:val="005B259D"/>
    <w:rsid w:val="005B3D91"/>
    <w:rsid w:val="005B3FE9"/>
    <w:rsid w:val="005B4050"/>
    <w:rsid w:val="005B5FD1"/>
    <w:rsid w:val="005B6194"/>
    <w:rsid w:val="005B69BF"/>
    <w:rsid w:val="005C1A6F"/>
    <w:rsid w:val="005C2434"/>
    <w:rsid w:val="005C2690"/>
    <w:rsid w:val="005C2F73"/>
    <w:rsid w:val="005C3530"/>
    <w:rsid w:val="005C4213"/>
    <w:rsid w:val="005C4324"/>
    <w:rsid w:val="005C521F"/>
    <w:rsid w:val="005C529A"/>
    <w:rsid w:val="005C5606"/>
    <w:rsid w:val="005C59BF"/>
    <w:rsid w:val="005C6C1F"/>
    <w:rsid w:val="005D001D"/>
    <w:rsid w:val="005D04A2"/>
    <w:rsid w:val="005D06F4"/>
    <w:rsid w:val="005D0953"/>
    <w:rsid w:val="005D2427"/>
    <w:rsid w:val="005D2E6A"/>
    <w:rsid w:val="005D3355"/>
    <w:rsid w:val="005D3521"/>
    <w:rsid w:val="005D36D5"/>
    <w:rsid w:val="005D36E5"/>
    <w:rsid w:val="005D41D8"/>
    <w:rsid w:val="005D469B"/>
    <w:rsid w:val="005D4A25"/>
    <w:rsid w:val="005D5477"/>
    <w:rsid w:val="005D5AD3"/>
    <w:rsid w:val="005D67A8"/>
    <w:rsid w:val="005D6870"/>
    <w:rsid w:val="005D6C58"/>
    <w:rsid w:val="005D74A2"/>
    <w:rsid w:val="005D7D76"/>
    <w:rsid w:val="005E11BF"/>
    <w:rsid w:val="005E1B11"/>
    <w:rsid w:val="005E22D0"/>
    <w:rsid w:val="005E2C6E"/>
    <w:rsid w:val="005E363C"/>
    <w:rsid w:val="005E3E9C"/>
    <w:rsid w:val="005E40A0"/>
    <w:rsid w:val="005E56DE"/>
    <w:rsid w:val="005E609F"/>
    <w:rsid w:val="005E6323"/>
    <w:rsid w:val="005E665B"/>
    <w:rsid w:val="005E6A4A"/>
    <w:rsid w:val="005F0F94"/>
    <w:rsid w:val="005F1ACE"/>
    <w:rsid w:val="005F1C49"/>
    <w:rsid w:val="005F226C"/>
    <w:rsid w:val="005F279C"/>
    <w:rsid w:val="005F28C9"/>
    <w:rsid w:val="005F2A1C"/>
    <w:rsid w:val="005F54CC"/>
    <w:rsid w:val="005F5EFF"/>
    <w:rsid w:val="005F7D5B"/>
    <w:rsid w:val="00601A13"/>
    <w:rsid w:val="006026D0"/>
    <w:rsid w:val="00602775"/>
    <w:rsid w:val="00602E4F"/>
    <w:rsid w:val="00604653"/>
    <w:rsid w:val="00604BBE"/>
    <w:rsid w:val="006077DE"/>
    <w:rsid w:val="00607814"/>
    <w:rsid w:val="00607CDF"/>
    <w:rsid w:val="00611517"/>
    <w:rsid w:val="0061258E"/>
    <w:rsid w:val="006125CB"/>
    <w:rsid w:val="006126D9"/>
    <w:rsid w:val="006133B2"/>
    <w:rsid w:val="00613B23"/>
    <w:rsid w:val="006145AF"/>
    <w:rsid w:val="00615789"/>
    <w:rsid w:val="0061587A"/>
    <w:rsid w:val="0061591F"/>
    <w:rsid w:val="00615C51"/>
    <w:rsid w:val="00615F0D"/>
    <w:rsid w:val="006171B2"/>
    <w:rsid w:val="0062048C"/>
    <w:rsid w:val="00620962"/>
    <w:rsid w:val="00621AC2"/>
    <w:rsid w:val="00621B56"/>
    <w:rsid w:val="00621F80"/>
    <w:rsid w:val="00622CE0"/>
    <w:rsid w:val="00622EED"/>
    <w:rsid w:val="00623136"/>
    <w:rsid w:val="00623FF3"/>
    <w:rsid w:val="00624B80"/>
    <w:rsid w:val="0062509E"/>
    <w:rsid w:val="00625127"/>
    <w:rsid w:val="0062562B"/>
    <w:rsid w:val="00625BC2"/>
    <w:rsid w:val="00625F0D"/>
    <w:rsid w:val="00626A2F"/>
    <w:rsid w:val="00626F3F"/>
    <w:rsid w:val="00627081"/>
    <w:rsid w:val="00627A69"/>
    <w:rsid w:val="00630523"/>
    <w:rsid w:val="00631637"/>
    <w:rsid w:val="006321F8"/>
    <w:rsid w:val="00632A90"/>
    <w:rsid w:val="00633588"/>
    <w:rsid w:val="00635D49"/>
    <w:rsid w:val="00635DF3"/>
    <w:rsid w:val="006360AF"/>
    <w:rsid w:val="00636FF1"/>
    <w:rsid w:val="0063722B"/>
    <w:rsid w:val="00637EC4"/>
    <w:rsid w:val="006401F0"/>
    <w:rsid w:val="00641D73"/>
    <w:rsid w:val="006422DE"/>
    <w:rsid w:val="00642BF4"/>
    <w:rsid w:val="00642E6D"/>
    <w:rsid w:val="0064309E"/>
    <w:rsid w:val="00643ACD"/>
    <w:rsid w:val="006453D6"/>
    <w:rsid w:val="006458AD"/>
    <w:rsid w:val="00645C25"/>
    <w:rsid w:val="00645D87"/>
    <w:rsid w:val="006461C2"/>
    <w:rsid w:val="006472A4"/>
    <w:rsid w:val="006474DB"/>
    <w:rsid w:val="00647C91"/>
    <w:rsid w:val="006504A3"/>
    <w:rsid w:val="00650571"/>
    <w:rsid w:val="00650E52"/>
    <w:rsid w:val="006512C0"/>
    <w:rsid w:val="00651C19"/>
    <w:rsid w:val="00652C8F"/>
    <w:rsid w:val="00652E77"/>
    <w:rsid w:val="006538D8"/>
    <w:rsid w:val="006541C1"/>
    <w:rsid w:val="006547A9"/>
    <w:rsid w:val="00654D0C"/>
    <w:rsid w:val="00655114"/>
    <w:rsid w:val="00655F61"/>
    <w:rsid w:val="00656909"/>
    <w:rsid w:val="00656EBF"/>
    <w:rsid w:val="00657C56"/>
    <w:rsid w:val="00660497"/>
    <w:rsid w:val="00661545"/>
    <w:rsid w:val="00663A9E"/>
    <w:rsid w:val="00663C92"/>
    <w:rsid w:val="0066502D"/>
    <w:rsid w:val="006662BB"/>
    <w:rsid w:val="00666D26"/>
    <w:rsid w:val="0066740F"/>
    <w:rsid w:val="006700D6"/>
    <w:rsid w:val="0067110F"/>
    <w:rsid w:val="00671EF2"/>
    <w:rsid w:val="00672A9F"/>
    <w:rsid w:val="00672CF4"/>
    <w:rsid w:val="00673622"/>
    <w:rsid w:val="00673955"/>
    <w:rsid w:val="00673E1B"/>
    <w:rsid w:val="006754FB"/>
    <w:rsid w:val="00677A11"/>
    <w:rsid w:val="00677EC6"/>
    <w:rsid w:val="006801D7"/>
    <w:rsid w:val="006803FD"/>
    <w:rsid w:val="0068092A"/>
    <w:rsid w:val="006809DE"/>
    <w:rsid w:val="00680B31"/>
    <w:rsid w:val="00680C22"/>
    <w:rsid w:val="00680EB5"/>
    <w:rsid w:val="00680F3D"/>
    <w:rsid w:val="006819B8"/>
    <w:rsid w:val="00681D96"/>
    <w:rsid w:val="00681E0B"/>
    <w:rsid w:val="0068231A"/>
    <w:rsid w:val="00682550"/>
    <w:rsid w:val="0068348D"/>
    <w:rsid w:val="006836DB"/>
    <w:rsid w:val="00683E42"/>
    <w:rsid w:val="00684220"/>
    <w:rsid w:val="006851DF"/>
    <w:rsid w:val="00685707"/>
    <w:rsid w:val="00685AC1"/>
    <w:rsid w:val="00685B1A"/>
    <w:rsid w:val="00686E42"/>
    <w:rsid w:val="00686E59"/>
    <w:rsid w:val="00687B36"/>
    <w:rsid w:val="00690349"/>
    <w:rsid w:val="0069048B"/>
    <w:rsid w:val="00690689"/>
    <w:rsid w:val="00692280"/>
    <w:rsid w:val="0069246D"/>
    <w:rsid w:val="00693FDA"/>
    <w:rsid w:val="0069408B"/>
    <w:rsid w:val="006942C0"/>
    <w:rsid w:val="006948DF"/>
    <w:rsid w:val="00695668"/>
    <w:rsid w:val="00695E0F"/>
    <w:rsid w:val="006965CC"/>
    <w:rsid w:val="0069778B"/>
    <w:rsid w:val="00697891"/>
    <w:rsid w:val="006A07E6"/>
    <w:rsid w:val="006A0A8F"/>
    <w:rsid w:val="006A16E3"/>
    <w:rsid w:val="006A1D37"/>
    <w:rsid w:val="006A290E"/>
    <w:rsid w:val="006A29E4"/>
    <w:rsid w:val="006A361D"/>
    <w:rsid w:val="006A3F39"/>
    <w:rsid w:val="006A576A"/>
    <w:rsid w:val="006A6000"/>
    <w:rsid w:val="006A664A"/>
    <w:rsid w:val="006B11E7"/>
    <w:rsid w:val="006B1AFE"/>
    <w:rsid w:val="006B1ECE"/>
    <w:rsid w:val="006B1F05"/>
    <w:rsid w:val="006B27C3"/>
    <w:rsid w:val="006B441C"/>
    <w:rsid w:val="006B4507"/>
    <w:rsid w:val="006B4C92"/>
    <w:rsid w:val="006B6981"/>
    <w:rsid w:val="006B69E8"/>
    <w:rsid w:val="006B6D3F"/>
    <w:rsid w:val="006B74A1"/>
    <w:rsid w:val="006B7E52"/>
    <w:rsid w:val="006BC8B3"/>
    <w:rsid w:val="006C0387"/>
    <w:rsid w:val="006C0886"/>
    <w:rsid w:val="006C0C32"/>
    <w:rsid w:val="006C0FD3"/>
    <w:rsid w:val="006C18F3"/>
    <w:rsid w:val="006C2221"/>
    <w:rsid w:val="006C3E94"/>
    <w:rsid w:val="006C4322"/>
    <w:rsid w:val="006C44FE"/>
    <w:rsid w:val="006C4C91"/>
    <w:rsid w:val="006C554D"/>
    <w:rsid w:val="006C5FE2"/>
    <w:rsid w:val="006C61F8"/>
    <w:rsid w:val="006C6376"/>
    <w:rsid w:val="006C642F"/>
    <w:rsid w:val="006C64F8"/>
    <w:rsid w:val="006C6C29"/>
    <w:rsid w:val="006C7B96"/>
    <w:rsid w:val="006D0738"/>
    <w:rsid w:val="006D1010"/>
    <w:rsid w:val="006D1B60"/>
    <w:rsid w:val="006D27E8"/>
    <w:rsid w:val="006D284B"/>
    <w:rsid w:val="006D38BE"/>
    <w:rsid w:val="006D39F4"/>
    <w:rsid w:val="006D465C"/>
    <w:rsid w:val="006D4C12"/>
    <w:rsid w:val="006D6763"/>
    <w:rsid w:val="006D6A09"/>
    <w:rsid w:val="006D733D"/>
    <w:rsid w:val="006D7551"/>
    <w:rsid w:val="006D7904"/>
    <w:rsid w:val="006E05B4"/>
    <w:rsid w:val="006E1442"/>
    <w:rsid w:val="006E2499"/>
    <w:rsid w:val="006E4295"/>
    <w:rsid w:val="006E67CC"/>
    <w:rsid w:val="006E791A"/>
    <w:rsid w:val="006E7F02"/>
    <w:rsid w:val="006F0529"/>
    <w:rsid w:val="006F204D"/>
    <w:rsid w:val="006F2EC2"/>
    <w:rsid w:val="006F33F6"/>
    <w:rsid w:val="006F3422"/>
    <w:rsid w:val="006F3BE3"/>
    <w:rsid w:val="006F431A"/>
    <w:rsid w:val="006F44C9"/>
    <w:rsid w:val="006F4CE4"/>
    <w:rsid w:val="006F6780"/>
    <w:rsid w:val="006F6E72"/>
    <w:rsid w:val="006F6EC3"/>
    <w:rsid w:val="00700115"/>
    <w:rsid w:val="00700147"/>
    <w:rsid w:val="0070079E"/>
    <w:rsid w:val="007007CA"/>
    <w:rsid w:val="00701D42"/>
    <w:rsid w:val="00701D7F"/>
    <w:rsid w:val="007024B1"/>
    <w:rsid w:val="00704A3D"/>
    <w:rsid w:val="00704FA6"/>
    <w:rsid w:val="00705BD1"/>
    <w:rsid w:val="00705C0B"/>
    <w:rsid w:val="007060E2"/>
    <w:rsid w:val="00706726"/>
    <w:rsid w:val="00706E40"/>
    <w:rsid w:val="00707DB7"/>
    <w:rsid w:val="0070F172"/>
    <w:rsid w:val="007107DB"/>
    <w:rsid w:val="00710D83"/>
    <w:rsid w:val="00711304"/>
    <w:rsid w:val="0071132F"/>
    <w:rsid w:val="007136E6"/>
    <w:rsid w:val="00713FA5"/>
    <w:rsid w:val="00714CDC"/>
    <w:rsid w:val="00715228"/>
    <w:rsid w:val="0071561B"/>
    <w:rsid w:val="00715767"/>
    <w:rsid w:val="0071C97E"/>
    <w:rsid w:val="00720513"/>
    <w:rsid w:val="00720E96"/>
    <w:rsid w:val="00721EAD"/>
    <w:rsid w:val="0072268E"/>
    <w:rsid w:val="00724EEC"/>
    <w:rsid w:val="007259FE"/>
    <w:rsid w:val="007265A0"/>
    <w:rsid w:val="00726BFC"/>
    <w:rsid w:val="00727007"/>
    <w:rsid w:val="007275D1"/>
    <w:rsid w:val="00730055"/>
    <w:rsid w:val="007300B2"/>
    <w:rsid w:val="007309AA"/>
    <w:rsid w:val="00731710"/>
    <w:rsid w:val="00732C08"/>
    <w:rsid w:val="00732F5B"/>
    <w:rsid w:val="00733949"/>
    <w:rsid w:val="00733A5B"/>
    <w:rsid w:val="0073455D"/>
    <w:rsid w:val="00736849"/>
    <w:rsid w:val="00737B5C"/>
    <w:rsid w:val="00737B82"/>
    <w:rsid w:val="00737ED3"/>
    <w:rsid w:val="00740877"/>
    <w:rsid w:val="00742367"/>
    <w:rsid w:val="00742E3C"/>
    <w:rsid w:val="00742FF0"/>
    <w:rsid w:val="00743A08"/>
    <w:rsid w:val="00743CB3"/>
    <w:rsid w:val="007446EA"/>
    <w:rsid w:val="007447CB"/>
    <w:rsid w:val="00745E76"/>
    <w:rsid w:val="00745EAC"/>
    <w:rsid w:val="00745FCA"/>
    <w:rsid w:val="00746072"/>
    <w:rsid w:val="00746769"/>
    <w:rsid w:val="0074695D"/>
    <w:rsid w:val="00746EBB"/>
    <w:rsid w:val="00747702"/>
    <w:rsid w:val="0074785E"/>
    <w:rsid w:val="00750A31"/>
    <w:rsid w:val="007513E6"/>
    <w:rsid w:val="00751D8A"/>
    <w:rsid w:val="00752C5E"/>
    <w:rsid w:val="00752D32"/>
    <w:rsid w:val="0075367E"/>
    <w:rsid w:val="00754666"/>
    <w:rsid w:val="00754BC3"/>
    <w:rsid w:val="007553F3"/>
    <w:rsid w:val="00756641"/>
    <w:rsid w:val="00756BB9"/>
    <w:rsid w:val="00756D68"/>
    <w:rsid w:val="0076062C"/>
    <w:rsid w:val="007631A3"/>
    <w:rsid w:val="00763C2A"/>
    <w:rsid w:val="00763F9F"/>
    <w:rsid w:val="007655C1"/>
    <w:rsid w:val="00766F69"/>
    <w:rsid w:val="007673C6"/>
    <w:rsid w:val="0077197A"/>
    <w:rsid w:val="00771D8A"/>
    <w:rsid w:val="00772DA1"/>
    <w:rsid w:val="00772DB4"/>
    <w:rsid w:val="007742A3"/>
    <w:rsid w:val="00774753"/>
    <w:rsid w:val="007756EF"/>
    <w:rsid w:val="00777A81"/>
    <w:rsid w:val="00777BF7"/>
    <w:rsid w:val="00780A40"/>
    <w:rsid w:val="00780CC6"/>
    <w:rsid w:val="00781563"/>
    <w:rsid w:val="007825E6"/>
    <w:rsid w:val="00782D69"/>
    <w:rsid w:val="0078399B"/>
    <w:rsid w:val="00783F3D"/>
    <w:rsid w:val="0078403F"/>
    <w:rsid w:val="00784E59"/>
    <w:rsid w:val="00784FBE"/>
    <w:rsid w:val="00784FF1"/>
    <w:rsid w:val="00785A4D"/>
    <w:rsid w:val="00785D5D"/>
    <w:rsid w:val="00785D9E"/>
    <w:rsid w:val="00786B9B"/>
    <w:rsid w:val="00787788"/>
    <w:rsid w:val="007878BC"/>
    <w:rsid w:val="007879B5"/>
    <w:rsid w:val="00787A92"/>
    <w:rsid w:val="00787F1B"/>
    <w:rsid w:val="0079044F"/>
    <w:rsid w:val="00791114"/>
    <w:rsid w:val="0079239C"/>
    <w:rsid w:val="00792629"/>
    <w:rsid w:val="00792707"/>
    <w:rsid w:val="00792A92"/>
    <w:rsid w:val="0079329D"/>
    <w:rsid w:val="00794260"/>
    <w:rsid w:val="007942EB"/>
    <w:rsid w:val="00794367"/>
    <w:rsid w:val="00795473"/>
    <w:rsid w:val="00796C61"/>
    <w:rsid w:val="00797203"/>
    <w:rsid w:val="0079730F"/>
    <w:rsid w:val="007A057C"/>
    <w:rsid w:val="007A05A7"/>
    <w:rsid w:val="007A3C5F"/>
    <w:rsid w:val="007A4620"/>
    <w:rsid w:val="007A4646"/>
    <w:rsid w:val="007A54B4"/>
    <w:rsid w:val="007A6238"/>
    <w:rsid w:val="007B0CA0"/>
    <w:rsid w:val="007B23E0"/>
    <w:rsid w:val="007B2E10"/>
    <w:rsid w:val="007B2F31"/>
    <w:rsid w:val="007B3083"/>
    <w:rsid w:val="007B313B"/>
    <w:rsid w:val="007B3E0D"/>
    <w:rsid w:val="007B3E47"/>
    <w:rsid w:val="007B5AD4"/>
    <w:rsid w:val="007B661D"/>
    <w:rsid w:val="007B6B95"/>
    <w:rsid w:val="007BE2F0"/>
    <w:rsid w:val="007C084E"/>
    <w:rsid w:val="007C0F0E"/>
    <w:rsid w:val="007C1CF8"/>
    <w:rsid w:val="007C3FA5"/>
    <w:rsid w:val="007C42ED"/>
    <w:rsid w:val="007C4903"/>
    <w:rsid w:val="007C5087"/>
    <w:rsid w:val="007C5428"/>
    <w:rsid w:val="007C6448"/>
    <w:rsid w:val="007C6CF6"/>
    <w:rsid w:val="007C7486"/>
    <w:rsid w:val="007C7F6F"/>
    <w:rsid w:val="007D0404"/>
    <w:rsid w:val="007D0FB8"/>
    <w:rsid w:val="007D189F"/>
    <w:rsid w:val="007D4941"/>
    <w:rsid w:val="007D5C27"/>
    <w:rsid w:val="007D612E"/>
    <w:rsid w:val="007D69A7"/>
    <w:rsid w:val="007D6ACB"/>
    <w:rsid w:val="007D7AA3"/>
    <w:rsid w:val="007D7C40"/>
    <w:rsid w:val="007D7F63"/>
    <w:rsid w:val="007E1AAD"/>
    <w:rsid w:val="007E1CDB"/>
    <w:rsid w:val="007E2C76"/>
    <w:rsid w:val="007E3DED"/>
    <w:rsid w:val="007E4D52"/>
    <w:rsid w:val="007E5244"/>
    <w:rsid w:val="007E5330"/>
    <w:rsid w:val="007E5A57"/>
    <w:rsid w:val="007E65E4"/>
    <w:rsid w:val="007E67A3"/>
    <w:rsid w:val="007E76AC"/>
    <w:rsid w:val="007F0081"/>
    <w:rsid w:val="007F0201"/>
    <w:rsid w:val="007F057F"/>
    <w:rsid w:val="007F19BE"/>
    <w:rsid w:val="007F2FC0"/>
    <w:rsid w:val="007F3A43"/>
    <w:rsid w:val="007F4BD3"/>
    <w:rsid w:val="007F5192"/>
    <w:rsid w:val="007F5386"/>
    <w:rsid w:val="007F588A"/>
    <w:rsid w:val="007F5A61"/>
    <w:rsid w:val="007F5D86"/>
    <w:rsid w:val="007F6C3B"/>
    <w:rsid w:val="007F72AE"/>
    <w:rsid w:val="007F7F24"/>
    <w:rsid w:val="00800B1B"/>
    <w:rsid w:val="008026BC"/>
    <w:rsid w:val="00802D9E"/>
    <w:rsid w:val="008033F9"/>
    <w:rsid w:val="00803FBA"/>
    <w:rsid w:val="0080410D"/>
    <w:rsid w:val="00805D52"/>
    <w:rsid w:val="00807034"/>
    <w:rsid w:val="00807ED0"/>
    <w:rsid w:val="00808B70"/>
    <w:rsid w:val="00810BB5"/>
    <w:rsid w:val="00810DE5"/>
    <w:rsid w:val="00811483"/>
    <w:rsid w:val="0081160C"/>
    <w:rsid w:val="0081225B"/>
    <w:rsid w:val="0081318F"/>
    <w:rsid w:val="00814B86"/>
    <w:rsid w:val="008155A5"/>
    <w:rsid w:val="008171EB"/>
    <w:rsid w:val="0082147A"/>
    <w:rsid w:val="008218EA"/>
    <w:rsid w:val="00822262"/>
    <w:rsid w:val="00822638"/>
    <w:rsid w:val="0082407E"/>
    <w:rsid w:val="008242ED"/>
    <w:rsid w:val="00824824"/>
    <w:rsid w:val="00824997"/>
    <w:rsid w:val="00825827"/>
    <w:rsid w:val="008268EB"/>
    <w:rsid w:val="00826ED5"/>
    <w:rsid w:val="008271F0"/>
    <w:rsid w:val="008278CE"/>
    <w:rsid w:val="008279E9"/>
    <w:rsid w:val="0082E9B4"/>
    <w:rsid w:val="0082F3BC"/>
    <w:rsid w:val="0082FFF9"/>
    <w:rsid w:val="0083002D"/>
    <w:rsid w:val="008304BD"/>
    <w:rsid w:val="00830651"/>
    <w:rsid w:val="00830978"/>
    <w:rsid w:val="0083164A"/>
    <w:rsid w:val="008317CE"/>
    <w:rsid w:val="00831CFC"/>
    <w:rsid w:val="00832CF7"/>
    <w:rsid w:val="00834ED1"/>
    <w:rsid w:val="008352F8"/>
    <w:rsid w:val="00835B5C"/>
    <w:rsid w:val="00836FD7"/>
    <w:rsid w:val="008377D4"/>
    <w:rsid w:val="00840342"/>
    <w:rsid w:val="008406A6"/>
    <w:rsid w:val="008411B8"/>
    <w:rsid w:val="0084304B"/>
    <w:rsid w:val="00843A79"/>
    <w:rsid w:val="00843C8E"/>
    <w:rsid w:val="008455CE"/>
    <w:rsid w:val="00845C3F"/>
    <w:rsid w:val="00847569"/>
    <w:rsid w:val="008476BA"/>
    <w:rsid w:val="008477DB"/>
    <w:rsid w:val="00847DC6"/>
    <w:rsid w:val="008502E9"/>
    <w:rsid w:val="0085070D"/>
    <w:rsid w:val="00851A7A"/>
    <w:rsid w:val="008543E8"/>
    <w:rsid w:val="00854BB9"/>
    <w:rsid w:val="00855D06"/>
    <w:rsid w:val="00856B86"/>
    <w:rsid w:val="008575C6"/>
    <w:rsid w:val="00857867"/>
    <w:rsid w:val="00857AAC"/>
    <w:rsid w:val="00857DDC"/>
    <w:rsid w:val="00857E09"/>
    <w:rsid w:val="00860EE9"/>
    <w:rsid w:val="00861D2D"/>
    <w:rsid w:val="008631F9"/>
    <w:rsid w:val="008639ED"/>
    <w:rsid w:val="00863FFD"/>
    <w:rsid w:val="008640EF"/>
    <w:rsid w:val="008649AA"/>
    <w:rsid w:val="00865A5D"/>
    <w:rsid w:val="00865CD0"/>
    <w:rsid w:val="0086778D"/>
    <w:rsid w:val="00867C1A"/>
    <w:rsid w:val="00871171"/>
    <w:rsid w:val="00872B10"/>
    <w:rsid w:val="008736C3"/>
    <w:rsid w:val="00873BAE"/>
    <w:rsid w:val="00875922"/>
    <w:rsid w:val="00875D40"/>
    <w:rsid w:val="00875D5F"/>
    <w:rsid w:val="008764E8"/>
    <w:rsid w:val="00876D95"/>
    <w:rsid w:val="0087707F"/>
    <w:rsid w:val="00877251"/>
    <w:rsid w:val="00877390"/>
    <w:rsid w:val="00877B9C"/>
    <w:rsid w:val="008800C7"/>
    <w:rsid w:val="0088028F"/>
    <w:rsid w:val="00880617"/>
    <w:rsid w:val="00880B0B"/>
    <w:rsid w:val="00881A29"/>
    <w:rsid w:val="00882B7A"/>
    <w:rsid w:val="0088304E"/>
    <w:rsid w:val="00885E19"/>
    <w:rsid w:val="00885F60"/>
    <w:rsid w:val="008861B5"/>
    <w:rsid w:val="008865AC"/>
    <w:rsid w:val="00886B0F"/>
    <w:rsid w:val="00886BFC"/>
    <w:rsid w:val="00886FA4"/>
    <w:rsid w:val="00887B8D"/>
    <w:rsid w:val="00887CFF"/>
    <w:rsid w:val="008900A8"/>
    <w:rsid w:val="00891019"/>
    <w:rsid w:val="00891F8B"/>
    <w:rsid w:val="008924E3"/>
    <w:rsid w:val="00892FEC"/>
    <w:rsid w:val="00893248"/>
    <w:rsid w:val="00893254"/>
    <w:rsid w:val="008948E3"/>
    <w:rsid w:val="00895248"/>
    <w:rsid w:val="00895AF4"/>
    <w:rsid w:val="00896889"/>
    <w:rsid w:val="008968D4"/>
    <w:rsid w:val="00897865"/>
    <w:rsid w:val="00897B5E"/>
    <w:rsid w:val="008A099B"/>
    <w:rsid w:val="008A1E68"/>
    <w:rsid w:val="008A2B4E"/>
    <w:rsid w:val="008A2F0F"/>
    <w:rsid w:val="008A347D"/>
    <w:rsid w:val="008A3E98"/>
    <w:rsid w:val="008A5B65"/>
    <w:rsid w:val="008A6315"/>
    <w:rsid w:val="008A7067"/>
    <w:rsid w:val="008A7BB9"/>
    <w:rsid w:val="008B06C2"/>
    <w:rsid w:val="008B0981"/>
    <w:rsid w:val="008B0CDB"/>
    <w:rsid w:val="008B1439"/>
    <w:rsid w:val="008B1444"/>
    <w:rsid w:val="008B23CC"/>
    <w:rsid w:val="008B3DC3"/>
    <w:rsid w:val="008B4078"/>
    <w:rsid w:val="008B42C2"/>
    <w:rsid w:val="008B4830"/>
    <w:rsid w:val="008B5261"/>
    <w:rsid w:val="008B5BD4"/>
    <w:rsid w:val="008B5EEF"/>
    <w:rsid w:val="008B6478"/>
    <w:rsid w:val="008B6D32"/>
    <w:rsid w:val="008B72DB"/>
    <w:rsid w:val="008C03A7"/>
    <w:rsid w:val="008C1890"/>
    <w:rsid w:val="008C241C"/>
    <w:rsid w:val="008C2FB7"/>
    <w:rsid w:val="008C33A6"/>
    <w:rsid w:val="008C3D4A"/>
    <w:rsid w:val="008C420F"/>
    <w:rsid w:val="008C5A49"/>
    <w:rsid w:val="008C61E1"/>
    <w:rsid w:val="008C6527"/>
    <w:rsid w:val="008C6FAE"/>
    <w:rsid w:val="008C761E"/>
    <w:rsid w:val="008D0483"/>
    <w:rsid w:val="008D06B6"/>
    <w:rsid w:val="008D19C2"/>
    <w:rsid w:val="008D33DE"/>
    <w:rsid w:val="008D48C5"/>
    <w:rsid w:val="008D4F86"/>
    <w:rsid w:val="008D5011"/>
    <w:rsid w:val="008D52EB"/>
    <w:rsid w:val="008D53BA"/>
    <w:rsid w:val="008D6A34"/>
    <w:rsid w:val="008D6F13"/>
    <w:rsid w:val="008D7FA3"/>
    <w:rsid w:val="008E0EF8"/>
    <w:rsid w:val="008E1351"/>
    <w:rsid w:val="008E18F7"/>
    <w:rsid w:val="008E20CF"/>
    <w:rsid w:val="008E24B0"/>
    <w:rsid w:val="008E2D5F"/>
    <w:rsid w:val="008E3D3B"/>
    <w:rsid w:val="008E3EB3"/>
    <w:rsid w:val="008E4E2B"/>
    <w:rsid w:val="008E56FA"/>
    <w:rsid w:val="008E5B40"/>
    <w:rsid w:val="008E5D08"/>
    <w:rsid w:val="008E6D77"/>
    <w:rsid w:val="008E7345"/>
    <w:rsid w:val="008F0003"/>
    <w:rsid w:val="008F01CD"/>
    <w:rsid w:val="008F0F8C"/>
    <w:rsid w:val="008F1671"/>
    <w:rsid w:val="008F196C"/>
    <w:rsid w:val="008F3178"/>
    <w:rsid w:val="008F4177"/>
    <w:rsid w:val="008F4A08"/>
    <w:rsid w:val="008F4B6E"/>
    <w:rsid w:val="008F4DEF"/>
    <w:rsid w:val="008F5998"/>
    <w:rsid w:val="008F5BFC"/>
    <w:rsid w:val="008F71AF"/>
    <w:rsid w:val="00902402"/>
    <w:rsid w:val="00903DFC"/>
    <w:rsid w:val="00904014"/>
    <w:rsid w:val="009045BA"/>
    <w:rsid w:val="00904C56"/>
    <w:rsid w:val="0090519A"/>
    <w:rsid w:val="00905227"/>
    <w:rsid w:val="00910613"/>
    <w:rsid w:val="0091127C"/>
    <w:rsid w:val="0091136F"/>
    <w:rsid w:val="00913C80"/>
    <w:rsid w:val="00913E6F"/>
    <w:rsid w:val="0091449E"/>
    <w:rsid w:val="00914F9F"/>
    <w:rsid w:val="00916B8A"/>
    <w:rsid w:val="00920FE5"/>
    <w:rsid w:val="00921EE3"/>
    <w:rsid w:val="009222EB"/>
    <w:rsid w:val="00922A00"/>
    <w:rsid w:val="009246A7"/>
    <w:rsid w:val="0092525B"/>
    <w:rsid w:val="009252A7"/>
    <w:rsid w:val="00926271"/>
    <w:rsid w:val="009264AF"/>
    <w:rsid w:val="00926655"/>
    <w:rsid w:val="00926865"/>
    <w:rsid w:val="00926B80"/>
    <w:rsid w:val="00926E89"/>
    <w:rsid w:val="00930033"/>
    <w:rsid w:val="009314D3"/>
    <w:rsid w:val="0093162C"/>
    <w:rsid w:val="009326F6"/>
    <w:rsid w:val="0093470B"/>
    <w:rsid w:val="00934809"/>
    <w:rsid w:val="00934BD0"/>
    <w:rsid w:val="00936BC3"/>
    <w:rsid w:val="0093762B"/>
    <w:rsid w:val="0093785E"/>
    <w:rsid w:val="009403CD"/>
    <w:rsid w:val="00940576"/>
    <w:rsid w:val="0094160E"/>
    <w:rsid w:val="0094187B"/>
    <w:rsid w:val="00941A51"/>
    <w:rsid w:val="00942980"/>
    <w:rsid w:val="009439E9"/>
    <w:rsid w:val="00943A41"/>
    <w:rsid w:val="00943A44"/>
    <w:rsid w:val="00943AE4"/>
    <w:rsid w:val="00944CA4"/>
    <w:rsid w:val="00945347"/>
    <w:rsid w:val="00946B70"/>
    <w:rsid w:val="009476E2"/>
    <w:rsid w:val="00947D45"/>
    <w:rsid w:val="00947D55"/>
    <w:rsid w:val="0094EFF6"/>
    <w:rsid w:val="00950523"/>
    <w:rsid w:val="009508A4"/>
    <w:rsid w:val="009513C6"/>
    <w:rsid w:val="00951CC0"/>
    <w:rsid w:val="009520E2"/>
    <w:rsid w:val="0095367C"/>
    <w:rsid w:val="00955558"/>
    <w:rsid w:val="00955E35"/>
    <w:rsid w:val="00955F7B"/>
    <w:rsid w:val="009568BF"/>
    <w:rsid w:val="0095DBB8"/>
    <w:rsid w:val="00960566"/>
    <w:rsid w:val="00960EF0"/>
    <w:rsid w:val="009624A5"/>
    <w:rsid w:val="00963391"/>
    <w:rsid w:val="009638D8"/>
    <w:rsid w:val="00963CEA"/>
    <w:rsid w:val="009640D1"/>
    <w:rsid w:val="00964A40"/>
    <w:rsid w:val="00964DF5"/>
    <w:rsid w:val="00965639"/>
    <w:rsid w:val="00965CC1"/>
    <w:rsid w:val="00966157"/>
    <w:rsid w:val="009661CD"/>
    <w:rsid w:val="00966BCF"/>
    <w:rsid w:val="009676D9"/>
    <w:rsid w:val="00971142"/>
    <w:rsid w:val="00971328"/>
    <w:rsid w:val="00971B23"/>
    <w:rsid w:val="00972A5C"/>
    <w:rsid w:val="009739B2"/>
    <w:rsid w:val="00973FF8"/>
    <w:rsid w:val="00974699"/>
    <w:rsid w:val="00974F0A"/>
    <w:rsid w:val="009763DA"/>
    <w:rsid w:val="0097665E"/>
    <w:rsid w:val="00976858"/>
    <w:rsid w:val="00977191"/>
    <w:rsid w:val="00977AF4"/>
    <w:rsid w:val="009810F0"/>
    <w:rsid w:val="0098217B"/>
    <w:rsid w:val="009822F0"/>
    <w:rsid w:val="00982C25"/>
    <w:rsid w:val="00982F5B"/>
    <w:rsid w:val="009831CD"/>
    <w:rsid w:val="00983562"/>
    <w:rsid w:val="009841C6"/>
    <w:rsid w:val="009846F6"/>
    <w:rsid w:val="00984A33"/>
    <w:rsid w:val="00985655"/>
    <w:rsid w:val="00985FB6"/>
    <w:rsid w:val="00986782"/>
    <w:rsid w:val="00987702"/>
    <w:rsid w:val="0098771F"/>
    <w:rsid w:val="00990860"/>
    <w:rsid w:val="00990B1E"/>
    <w:rsid w:val="00990D39"/>
    <w:rsid w:val="00991B10"/>
    <w:rsid w:val="009931ED"/>
    <w:rsid w:val="00993658"/>
    <w:rsid w:val="00994F01"/>
    <w:rsid w:val="00996F1E"/>
    <w:rsid w:val="00997291"/>
    <w:rsid w:val="0099796D"/>
    <w:rsid w:val="009A02A4"/>
    <w:rsid w:val="009A1581"/>
    <w:rsid w:val="009A296D"/>
    <w:rsid w:val="009A2A19"/>
    <w:rsid w:val="009A3138"/>
    <w:rsid w:val="009A364C"/>
    <w:rsid w:val="009A4AF2"/>
    <w:rsid w:val="009A5208"/>
    <w:rsid w:val="009A5FB1"/>
    <w:rsid w:val="009A662E"/>
    <w:rsid w:val="009A7A8A"/>
    <w:rsid w:val="009B00AB"/>
    <w:rsid w:val="009B0B6A"/>
    <w:rsid w:val="009B0BC5"/>
    <w:rsid w:val="009B1DB7"/>
    <w:rsid w:val="009B1F4B"/>
    <w:rsid w:val="009B2325"/>
    <w:rsid w:val="009B2F58"/>
    <w:rsid w:val="009B3E9C"/>
    <w:rsid w:val="009B5939"/>
    <w:rsid w:val="009B5AD3"/>
    <w:rsid w:val="009B5E0F"/>
    <w:rsid w:val="009B6348"/>
    <w:rsid w:val="009B6382"/>
    <w:rsid w:val="009B6599"/>
    <w:rsid w:val="009B77EF"/>
    <w:rsid w:val="009C025C"/>
    <w:rsid w:val="009C0707"/>
    <w:rsid w:val="009C122A"/>
    <w:rsid w:val="009C1425"/>
    <w:rsid w:val="009C1D9A"/>
    <w:rsid w:val="009C1F29"/>
    <w:rsid w:val="009C334C"/>
    <w:rsid w:val="009C5EA5"/>
    <w:rsid w:val="009C62C9"/>
    <w:rsid w:val="009C6D7C"/>
    <w:rsid w:val="009C79A8"/>
    <w:rsid w:val="009C7E32"/>
    <w:rsid w:val="009D077F"/>
    <w:rsid w:val="009D09DF"/>
    <w:rsid w:val="009D0A50"/>
    <w:rsid w:val="009D1469"/>
    <w:rsid w:val="009D1DAB"/>
    <w:rsid w:val="009D239C"/>
    <w:rsid w:val="009D23A8"/>
    <w:rsid w:val="009D2DCA"/>
    <w:rsid w:val="009D744C"/>
    <w:rsid w:val="009D7890"/>
    <w:rsid w:val="009E0E9A"/>
    <w:rsid w:val="009E1BB3"/>
    <w:rsid w:val="009E233B"/>
    <w:rsid w:val="009E304A"/>
    <w:rsid w:val="009E3DE5"/>
    <w:rsid w:val="009E4611"/>
    <w:rsid w:val="009E4E57"/>
    <w:rsid w:val="009E5F70"/>
    <w:rsid w:val="009E622C"/>
    <w:rsid w:val="009E6FF8"/>
    <w:rsid w:val="009E73E0"/>
    <w:rsid w:val="009E7411"/>
    <w:rsid w:val="009F05AC"/>
    <w:rsid w:val="009F0D74"/>
    <w:rsid w:val="009F1EAA"/>
    <w:rsid w:val="009F218C"/>
    <w:rsid w:val="009F23F5"/>
    <w:rsid w:val="009F25D7"/>
    <w:rsid w:val="009F2A09"/>
    <w:rsid w:val="009F30A5"/>
    <w:rsid w:val="009F344F"/>
    <w:rsid w:val="009F4622"/>
    <w:rsid w:val="009F47E6"/>
    <w:rsid w:val="009F487D"/>
    <w:rsid w:val="009F4CD7"/>
    <w:rsid w:val="009F5641"/>
    <w:rsid w:val="009F5C56"/>
    <w:rsid w:val="009F6C66"/>
    <w:rsid w:val="00A00BF4"/>
    <w:rsid w:val="00A00E6F"/>
    <w:rsid w:val="00A013A1"/>
    <w:rsid w:val="00A019A1"/>
    <w:rsid w:val="00A01A79"/>
    <w:rsid w:val="00A024B4"/>
    <w:rsid w:val="00A02BDA"/>
    <w:rsid w:val="00A0360F"/>
    <w:rsid w:val="00A03A3C"/>
    <w:rsid w:val="00A041A9"/>
    <w:rsid w:val="00A0430A"/>
    <w:rsid w:val="00A04C8D"/>
    <w:rsid w:val="00A0554C"/>
    <w:rsid w:val="00A055F5"/>
    <w:rsid w:val="00A05A14"/>
    <w:rsid w:val="00A063C1"/>
    <w:rsid w:val="00A069D2"/>
    <w:rsid w:val="00A10BFD"/>
    <w:rsid w:val="00A10D53"/>
    <w:rsid w:val="00A113BC"/>
    <w:rsid w:val="00A11546"/>
    <w:rsid w:val="00A116A2"/>
    <w:rsid w:val="00A119E8"/>
    <w:rsid w:val="00A1235C"/>
    <w:rsid w:val="00A12D3B"/>
    <w:rsid w:val="00A13D0D"/>
    <w:rsid w:val="00A143F3"/>
    <w:rsid w:val="00A14ED5"/>
    <w:rsid w:val="00A1568F"/>
    <w:rsid w:val="00A15EF2"/>
    <w:rsid w:val="00A16049"/>
    <w:rsid w:val="00A20A06"/>
    <w:rsid w:val="00A21205"/>
    <w:rsid w:val="00A21955"/>
    <w:rsid w:val="00A21BEB"/>
    <w:rsid w:val="00A2275E"/>
    <w:rsid w:val="00A23A97"/>
    <w:rsid w:val="00A248C8"/>
    <w:rsid w:val="00A249F1"/>
    <w:rsid w:val="00A25266"/>
    <w:rsid w:val="00A25F91"/>
    <w:rsid w:val="00A26BA9"/>
    <w:rsid w:val="00A27A1E"/>
    <w:rsid w:val="00A30BD1"/>
    <w:rsid w:val="00A3351C"/>
    <w:rsid w:val="00A33C98"/>
    <w:rsid w:val="00A35A97"/>
    <w:rsid w:val="00A36AFA"/>
    <w:rsid w:val="00A37835"/>
    <w:rsid w:val="00A4203D"/>
    <w:rsid w:val="00A4246F"/>
    <w:rsid w:val="00A42B99"/>
    <w:rsid w:val="00A42DBA"/>
    <w:rsid w:val="00A43593"/>
    <w:rsid w:val="00A447EC"/>
    <w:rsid w:val="00A44AFB"/>
    <w:rsid w:val="00A44CA7"/>
    <w:rsid w:val="00A45113"/>
    <w:rsid w:val="00A458FB"/>
    <w:rsid w:val="00A45ABD"/>
    <w:rsid w:val="00A45E72"/>
    <w:rsid w:val="00A45F49"/>
    <w:rsid w:val="00A4604D"/>
    <w:rsid w:val="00A460A6"/>
    <w:rsid w:val="00A466B5"/>
    <w:rsid w:val="00A46731"/>
    <w:rsid w:val="00A46FDE"/>
    <w:rsid w:val="00A54C5D"/>
    <w:rsid w:val="00A54E23"/>
    <w:rsid w:val="00A55E85"/>
    <w:rsid w:val="00A56D15"/>
    <w:rsid w:val="00A56F6D"/>
    <w:rsid w:val="00A5770B"/>
    <w:rsid w:val="00A57B72"/>
    <w:rsid w:val="00A61406"/>
    <w:rsid w:val="00A619B0"/>
    <w:rsid w:val="00A61F24"/>
    <w:rsid w:val="00A62982"/>
    <w:rsid w:val="00A6338A"/>
    <w:rsid w:val="00A63A4E"/>
    <w:rsid w:val="00A63A91"/>
    <w:rsid w:val="00A63EFD"/>
    <w:rsid w:val="00A647BA"/>
    <w:rsid w:val="00A65279"/>
    <w:rsid w:val="00A66D4E"/>
    <w:rsid w:val="00A66D96"/>
    <w:rsid w:val="00A67900"/>
    <w:rsid w:val="00A67C3A"/>
    <w:rsid w:val="00A6BABB"/>
    <w:rsid w:val="00A7004B"/>
    <w:rsid w:val="00A701C0"/>
    <w:rsid w:val="00A70615"/>
    <w:rsid w:val="00A71C7B"/>
    <w:rsid w:val="00A722DB"/>
    <w:rsid w:val="00A72457"/>
    <w:rsid w:val="00A737FE"/>
    <w:rsid w:val="00A73996"/>
    <w:rsid w:val="00A73A9F"/>
    <w:rsid w:val="00A73C1A"/>
    <w:rsid w:val="00A744F6"/>
    <w:rsid w:val="00A75692"/>
    <w:rsid w:val="00A75B40"/>
    <w:rsid w:val="00A76339"/>
    <w:rsid w:val="00A80901"/>
    <w:rsid w:val="00A811E5"/>
    <w:rsid w:val="00A812E1"/>
    <w:rsid w:val="00A8177E"/>
    <w:rsid w:val="00A82E26"/>
    <w:rsid w:val="00A83106"/>
    <w:rsid w:val="00A83344"/>
    <w:rsid w:val="00A83EFD"/>
    <w:rsid w:val="00A8405B"/>
    <w:rsid w:val="00A8436C"/>
    <w:rsid w:val="00A84A43"/>
    <w:rsid w:val="00A864C1"/>
    <w:rsid w:val="00A870E4"/>
    <w:rsid w:val="00A87B43"/>
    <w:rsid w:val="00A8D53E"/>
    <w:rsid w:val="00A903FF"/>
    <w:rsid w:val="00A9066F"/>
    <w:rsid w:val="00A909B1"/>
    <w:rsid w:val="00A9167A"/>
    <w:rsid w:val="00A91B96"/>
    <w:rsid w:val="00A9241F"/>
    <w:rsid w:val="00A928F4"/>
    <w:rsid w:val="00A92BED"/>
    <w:rsid w:val="00A936C4"/>
    <w:rsid w:val="00A94095"/>
    <w:rsid w:val="00A942B7"/>
    <w:rsid w:val="00A9446E"/>
    <w:rsid w:val="00A94685"/>
    <w:rsid w:val="00A956A2"/>
    <w:rsid w:val="00A956DD"/>
    <w:rsid w:val="00A95E30"/>
    <w:rsid w:val="00A969C8"/>
    <w:rsid w:val="00A970AD"/>
    <w:rsid w:val="00A97400"/>
    <w:rsid w:val="00A97767"/>
    <w:rsid w:val="00A978EB"/>
    <w:rsid w:val="00A97A03"/>
    <w:rsid w:val="00AA0BF6"/>
    <w:rsid w:val="00AA0DED"/>
    <w:rsid w:val="00AA1AB6"/>
    <w:rsid w:val="00AA230F"/>
    <w:rsid w:val="00AA356A"/>
    <w:rsid w:val="00AA4F9B"/>
    <w:rsid w:val="00AA54F8"/>
    <w:rsid w:val="00AA58AD"/>
    <w:rsid w:val="00AA7333"/>
    <w:rsid w:val="00AA758D"/>
    <w:rsid w:val="00AA7606"/>
    <w:rsid w:val="00AA790A"/>
    <w:rsid w:val="00AA7AB3"/>
    <w:rsid w:val="00AA7AD0"/>
    <w:rsid w:val="00AA7B54"/>
    <w:rsid w:val="00AB0C7D"/>
    <w:rsid w:val="00AB3424"/>
    <w:rsid w:val="00AB3EDB"/>
    <w:rsid w:val="00AB42EB"/>
    <w:rsid w:val="00AB46FF"/>
    <w:rsid w:val="00AB4CF2"/>
    <w:rsid w:val="00AB611F"/>
    <w:rsid w:val="00AB625B"/>
    <w:rsid w:val="00AB6488"/>
    <w:rsid w:val="00AB6AE4"/>
    <w:rsid w:val="00AB6CBF"/>
    <w:rsid w:val="00AB6E45"/>
    <w:rsid w:val="00AB7133"/>
    <w:rsid w:val="00AB7768"/>
    <w:rsid w:val="00AC01C9"/>
    <w:rsid w:val="00AC1D15"/>
    <w:rsid w:val="00AC286C"/>
    <w:rsid w:val="00AC2B40"/>
    <w:rsid w:val="00AC355C"/>
    <w:rsid w:val="00AC3B96"/>
    <w:rsid w:val="00AC3BEE"/>
    <w:rsid w:val="00AC3F67"/>
    <w:rsid w:val="00AC5A8B"/>
    <w:rsid w:val="00AC7F69"/>
    <w:rsid w:val="00AC7F7A"/>
    <w:rsid w:val="00AD2681"/>
    <w:rsid w:val="00AD29A4"/>
    <w:rsid w:val="00AD2B86"/>
    <w:rsid w:val="00AD2EC9"/>
    <w:rsid w:val="00AD34E3"/>
    <w:rsid w:val="00AD37BD"/>
    <w:rsid w:val="00AD383F"/>
    <w:rsid w:val="00AD409B"/>
    <w:rsid w:val="00AD4F75"/>
    <w:rsid w:val="00AD5AAE"/>
    <w:rsid w:val="00AD5D16"/>
    <w:rsid w:val="00AD629F"/>
    <w:rsid w:val="00AD6513"/>
    <w:rsid w:val="00AD6810"/>
    <w:rsid w:val="00AD7035"/>
    <w:rsid w:val="00AE09CE"/>
    <w:rsid w:val="00AE0E08"/>
    <w:rsid w:val="00AE18C0"/>
    <w:rsid w:val="00AE1C3A"/>
    <w:rsid w:val="00AE2520"/>
    <w:rsid w:val="00AE267E"/>
    <w:rsid w:val="00AE304D"/>
    <w:rsid w:val="00AE3456"/>
    <w:rsid w:val="00AE349A"/>
    <w:rsid w:val="00AE3961"/>
    <w:rsid w:val="00AE3FEE"/>
    <w:rsid w:val="00AE46CC"/>
    <w:rsid w:val="00AE4C93"/>
    <w:rsid w:val="00AE532C"/>
    <w:rsid w:val="00AE576B"/>
    <w:rsid w:val="00AE5C03"/>
    <w:rsid w:val="00AE5E25"/>
    <w:rsid w:val="00AE5F06"/>
    <w:rsid w:val="00AE648A"/>
    <w:rsid w:val="00AE6F3F"/>
    <w:rsid w:val="00AE7F65"/>
    <w:rsid w:val="00AF03C1"/>
    <w:rsid w:val="00AF080F"/>
    <w:rsid w:val="00AF082C"/>
    <w:rsid w:val="00AF1147"/>
    <w:rsid w:val="00AF1C7D"/>
    <w:rsid w:val="00AF1DA8"/>
    <w:rsid w:val="00AF1EB8"/>
    <w:rsid w:val="00AF211B"/>
    <w:rsid w:val="00AF2DD5"/>
    <w:rsid w:val="00AF3AB0"/>
    <w:rsid w:val="00AF3CE6"/>
    <w:rsid w:val="00AF4878"/>
    <w:rsid w:val="00AF53B4"/>
    <w:rsid w:val="00AF546C"/>
    <w:rsid w:val="00AF5BED"/>
    <w:rsid w:val="00AF5FB0"/>
    <w:rsid w:val="00AF67A4"/>
    <w:rsid w:val="00AF705A"/>
    <w:rsid w:val="00AF748E"/>
    <w:rsid w:val="00AF7B87"/>
    <w:rsid w:val="00AF7C30"/>
    <w:rsid w:val="00B0068F"/>
    <w:rsid w:val="00B0099C"/>
    <w:rsid w:val="00B02FC9"/>
    <w:rsid w:val="00B03EDB"/>
    <w:rsid w:val="00B05164"/>
    <w:rsid w:val="00B0581E"/>
    <w:rsid w:val="00B06134"/>
    <w:rsid w:val="00B06365"/>
    <w:rsid w:val="00B06E30"/>
    <w:rsid w:val="00B071F4"/>
    <w:rsid w:val="00B07D0C"/>
    <w:rsid w:val="00B103AF"/>
    <w:rsid w:val="00B104E6"/>
    <w:rsid w:val="00B10C51"/>
    <w:rsid w:val="00B11036"/>
    <w:rsid w:val="00B1128E"/>
    <w:rsid w:val="00B11654"/>
    <w:rsid w:val="00B126B1"/>
    <w:rsid w:val="00B12718"/>
    <w:rsid w:val="00B13F79"/>
    <w:rsid w:val="00B1409A"/>
    <w:rsid w:val="00B150D5"/>
    <w:rsid w:val="00B152B2"/>
    <w:rsid w:val="00B1551A"/>
    <w:rsid w:val="00B16A6A"/>
    <w:rsid w:val="00B20AC1"/>
    <w:rsid w:val="00B213CB"/>
    <w:rsid w:val="00B2195C"/>
    <w:rsid w:val="00B22476"/>
    <w:rsid w:val="00B22694"/>
    <w:rsid w:val="00B24E69"/>
    <w:rsid w:val="00B2534A"/>
    <w:rsid w:val="00B2572B"/>
    <w:rsid w:val="00B25FC5"/>
    <w:rsid w:val="00B260C1"/>
    <w:rsid w:val="00B26683"/>
    <w:rsid w:val="00B3075A"/>
    <w:rsid w:val="00B310C0"/>
    <w:rsid w:val="00B310C2"/>
    <w:rsid w:val="00B3136B"/>
    <w:rsid w:val="00B317F4"/>
    <w:rsid w:val="00B32AD0"/>
    <w:rsid w:val="00B33E7B"/>
    <w:rsid w:val="00B344DA"/>
    <w:rsid w:val="00B347E5"/>
    <w:rsid w:val="00B3489F"/>
    <w:rsid w:val="00B355B2"/>
    <w:rsid w:val="00B3631E"/>
    <w:rsid w:val="00B36673"/>
    <w:rsid w:val="00B36726"/>
    <w:rsid w:val="00B36B93"/>
    <w:rsid w:val="00B370A9"/>
    <w:rsid w:val="00B37A09"/>
    <w:rsid w:val="00B41159"/>
    <w:rsid w:val="00B41485"/>
    <w:rsid w:val="00B417BE"/>
    <w:rsid w:val="00B42F37"/>
    <w:rsid w:val="00B45756"/>
    <w:rsid w:val="00B4628C"/>
    <w:rsid w:val="00B46324"/>
    <w:rsid w:val="00B46803"/>
    <w:rsid w:val="00B47558"/>
    <w:rsid w:val="00B478A3"/>
    <w:rsid w:val="00B479FA"/>
    <w:rsid w:val="00B500D0"/>
    <w:rsid w:val="00B501D9"/>
    <w:rsid w:val="00B511BE"/>
    <w:rsid w:val="00B516E2"/>
    <w:rsid w:val="00B52D75"/>
    <w:rsid w:val="00B53D5A"/>
    <w:rsid w:val="00B54C67"/>
    <w:rsid w:val="00B55399"/>
    <w:rsid w:val="00B55449"/>
    <w:rsid w:val="00B55B1D"/>
    <w:rsid w:val="00B55B7D"/>
    <w:rsid w:val="00B567C9"/>
    <w:rsid w:val="00B577A5"/>
    <w:rsid w:val="00B60670"/>
    <w:rsid w:val="00B60893"/>
    <w:rsid w:val="00B60A13"/>
    <w:rsid w:val="00B60D2D"/>
    <w:rsid w:val="00B60F56"/>
    <w:rsid w:val="00B6279B"/>
    <w:rsid w:val="00B63493"/>
    <w:rsid w:val="00B63F48"/>
    <w:rsid w:val="00B64255"/>
    <w:rsid w:val="00B644AD"/>
    <w:rsid w:val="00B645D1"/>
    <w:rsid w:val="00B64793"/>
    <w:rsid w:val="00B65A60"/>
    <w:rsid w:val="00B660BD"/>
    <w:rsid w:val="00B662A4"/>
    <w:rsid w:val="00B67731"/>
    <w:rsid w:val="00B67988"/>
    <w:rsid w:val="00B67A8F"/>
    <w:rsid w:val="00B7015F"/>
    <w:rsid w:val="00B70A04"/>
    <w:rsid w:val="00B71349"/>
    <w:rsid w:val="00B7136A"/>
    <w:rsid w:val="00B7178D"/>
    <w:rsid w:val="00B717F5"/>
    <w:rsid w:val="00B71EB5"/>
    <w:rsid w:val="00B72300"/>
    <w:rsid w:val="00B73BA7"/>
    <w:rsid w:val="00B7492B"/>
    <w:rsid w:val="00B75178"/>
    <w:rsid w:val="00B7661D"/>
    <w:rsid w:val="00B767DB"/>
    <w:rsid w:val="00B768DF"/>
    <w:rsid w:val="00B7717F"/>
    <w:rsid w:val="00B77768"/>
    <w:rsid w:val="00B78E19"/>
    <w:rsid w:val="00B81079"/>
    <w:rsid w:val="00B8113F"/>
    <w:rsid w:val="00B813A9"/>
    <w:rsid w:val="00B8162C"/>
    <w:rsid w:val="00B8197F"/>
    <w:rsid w:val="00B81C13"/>
    <w:rsid w:val="00B82594"/>
    <w:rsid w:val="00B82756"/>
    <w:rsid w:val="00B82B73"/>
    <w:rsid w:val="00B82E82"/>
    <w:rsid w:val="00B8319F"/>
    <w:rsid w:val="00B835C4"/>
    <w:rsid w:val="00B84A33"/>
    <w:rsid w:val="00B8569B"/>
    <w:rsid w:val="00B85C56"/>
    <w:rsid w:val="00B90242"/>
    <w:rsid w:val="00B91C0C"/>
    <w:rsid w:val="00B925D0"/>
    <w:rsid w:val="00B9262C"/>
    <w:rsid w:val="00B93B13"/>
    <w:rsid w:val="00B93F63"/>
    <w:rsid w:val="00B940C0"/>
    <w:rsid w:val="00B9492F"/>
    <w:rsid w:val="00B95614"/>
    <w:rsid w:val="00B95857"/>
    <w:rsid w:val="00B96868"/>
    <w:rsid w:val="00BA309D"/>
    <w:rsid w:val="00BA41A2"/>
    <w:rsid w:val="00BA4880"/>
    <w:rsid w:val="00BA4A72"/>
    <w:rsid w:val="00BA4DFF"/>
    <w:rsid w:val="00BA6399"/>
    <w:rsid w:val="00BA654E"/>
    <w:rsid w:val="00BA65F8"/>
    <w:rsid w:val="00BA684F"/>
    <w:rsid w:val="00BA76C6"/>
    <w:rsid w:val="00BA7D0B"/>
    <w:rsid w:val="00BAB1B8"/>
    <w:rsid w:val="00BB03D6"/>
    <w:rsid w:val="00BB04A9"/>
    <w:rsid w:val="00BB07D7"/>
    <w:rsid w:val="00BB1B67"/>
    <w:rsid w:val="00BB23C9"/>
    <w:rsid w:val="00BB3560"/>
    <w:rsid w:val="00BB35C2"/>
    <w:rsid w:val="00BB4016"/>
    <w:rsid w:val="00BB5E95"/>
    <w:rsid w:val="00BB6B49"/>
    <w:rsid w:val="00BB7014"/>
    <w:rsid w:val="00BC0302"/>
    <w:rsid w:val="00BC0975"/>
    <w:rsid w:val="00BC0A21"/>
    <w:rsid w:val="00BC1218"/>
    <w:rsid w:val="00BC342F"/>
    <w:rsid w:val="00BC38E8"/>
    <w:rsid w:val="00BC39CE"/>
    <w:rsid w:val="00BC612D"/>
    <w:rsid w:val="00BC61DF"/>
    <w:rsid w:val="00BC6262"/>
    <w:rsid w:val="00BC6545"/>
    <w:rsid w:val="00BC6C20"/>
    <w:rsid w:val="00BC75E5"/>
    <w:rsid w:val="00BC7CA0"/>
    <w:rsid w:val="00BC7CD0"/>
    <w:rsid w:val="00BC7E99"/>
    <w:rsid w:val="00BC9098"/>
    <w:rsid w:val="00BD0279"/>
    <w:rsid w:val="00BD2BE9"/>
    <w:rsid w:val="00BD3073"/>
    <w:rsid w:val="00BD34B3"/>
    <w:rsid w:val="00BD577F"/>
    <w:rsid w:val="00BD59B8"/>
    <w:rsid w:val="00BD5BD6"/>
    <w:rsid w:val="00BD5EB2"/>
    <w:rsid w:val="00BD5F1D"/>
    <w:rsid w:val="00BD67A1"/>
    <w:rsid w:val="00BD732E"/>
    <w:rsid w:val="00BD7B37"/>
    <w:rsid w:val="00BE026D"/>
    <w:rsid w:val="00BE045E"/>
    <w:rsid w:val="00BE0B68"/>
    <w:rsid w:val="00BE0F80"/>
    <w:rsid w:val="00BE1308"/>
    <w:rsid w:val="00BE139D"/>
    <w:rsid w:val="00BE328A"/>
    <w:rsid w:val="00BE3745"/>
    <w:rsid w:val="00BE4039"/>
    <w:rsid w:val="00BE4CBB"/>
    <w:rsid w:val="00BE54B1"/>
    <w:rsid w:val="00BE5B73"/>
    <w:rsid w:val="00BE5E2B"/>
    <w:rsid w:val="00BE6A40"/>
    <w:rsid w:val="00BE7A10"/>
    <w:rsid w:val="00BE7CFB"/>
    <w:rsid w:val="00BE7E93"/>
    <w:rsid w:val="00BF039F"/>
    <w:rsid w:val="00BF0D8E"/>
    <w:rsid w:val="00BF1084"/>
    <w:rsid w:val="00BF1E47"/>
    <w:rsid w:val="00BF299F"/>
    <w:rsid w:val="00BF3A9F"/>
    <w:rsid w:val="00BF4866"/>
    <w:rsid w:val="00BF5278"/>
    <w:rsid w:val="00BF53CC"/>
    <w:rsid w:val="00BF57C9"/>
    <w:rsid w:val="00BF5EE3"/>
    <w:rsid w:val="00BF605D"/>
    <w:rsid w:val="00BF6A58"/>
    <w:rsid w:val="00BF78ED"/>
    <w:rsid w:val="00BF7D70"/>
    <w:rsid w:val="00C00E1C"/>
    <w:rsid w:val="00C01FBD"/>
    <w:rsid w:val="00C02DBE"/>
    <w:rsid w:val="00C03189"/>
    <w:rsid w:val="00C03942"/>
    <w:rsid w:val="00C03FD1"/>
    <w:rsid w:val="00C05940"/>
    <w:rsid w:val="00C05C8E"/>
    <w:rsid w:val="00C06CB8"/>
    <w:rsid w:val="00C06F4E"/>
    <w:rsid w:val="00C113DE"/>
    <w:rsid w:val="00C1169A"/>
    <w:rsid w:val="00C11E35"/>
    <w:rsid w:val="00C126E5"/>
    <w:rsid w:val="00C13017"/>
    <w:rsid w:val="00C1301C"/>
    <w:rsid w:val="00C1413F"/>
    <w:rsid w:val="00C1457D"/>
    <w:rsid w:val="00C1467F"/>
    <w:rsid w:val="00C1513C"/>
    <w:rsid w:val="00C15928"/>
    <w:rsid w:val="00C16021"/>
    <w:rsid w:val="00C16E27"/>
    <w:rsid w:val="00C17319"/>
    <w:rsid w:val="00C17A4E"/>
    <w:rsid w:val="00C17F51"/>
    <w:rsid w:val="00C21ED3"/>
    <w:rsid w:val="00C21F8C"/>
    <w:rsid w:val="00C23A61"/>
    <w:rsid w:val="00C23BCF"/>
    <w:rsid w:val="00C23F6B"/>
    <w:rsid w:val="00C25531"/>
    <w:rsid w:val="00C2578D"/>
    <w:rsid w:val="00C269E7"/>
    <w:rsid w:val="00C26F93"/>
    <w:rsid w:val="00C27D52"/>
    <w:rsid w:val="00C301B1"/>
    <w:rsid w:val="00C3091F"/>
    <w:rsid w:val="00C30A1B"/>
    <w:rsid w:val="00C31088"/>
    <w:rsid w:val="00C319E8"/>
    <w:rsid w:val="00C320BB"/>
    <w:rsid w:val="00C327D3"/>
    <w:rsid w:val="00C32DD1"/>
    <w:rsid w:val="00C33229"/>
    <w:rsid w:val="00C33AAC"/>
    <w:rsid w:val="00C346D4"/>
    <w:rsid w:val="00C347CF"/>
    <w:rsid w:val="00C354C9"/>
    <w:rsid w:val="00C354E0"/>
    <w:rsid w:val="00C3568E"/>
    <w:rsid w:val="00C36AD8"/>
    <w:rsid w:val="00C376F7"/>
    <w:rsid w:val="00C37D91"/>
    <w:rsid w:val="00C37FB3"/>
    <w:rsid w:val="00C40D79"/>
    <w:rsid w:val="00C4135E"/>
    <w:rsid w:val="00C41B78"/>
    <w:rsid w:val="00C4215A"/>
    <w:rsid w:val="00C42FBE"/>
    <w:rsid w:val="00C43227"/>
    <w:rsid w:val="00C44D7B"/>
    <w:rsid w:val="00C45AB2"/>
    <w:rsid w:val="00C46190"/>
    <w:rsid w:val="00C46451"/>
    <w:rsid w:val="00C468EE"/>
    <w:rsid w:val="00C47BB1"/>
    <w:rsid w:val="00C47CF2"/>
    <w:rsid w:val="00C51143"/>
    <w:rsid w:val="00C52E71"/>
    <w:rsid w:val="00C55E47"/>
    <w:rsid w:val="00C560D3"/>
    <w:rsid w:val="00C5727F"/>
    <w:rsid w:val="00C573CF"/>
    <w:rsid w:val="00C57748"/>
    <w:rsid w:val="00C6088C"/>
    <w:rsid w:val="00C61678"/>
    <w:rsid w:val="00C61A10"/>
    <w:rsid w:val="00C61CFA"/>
    <w:rsid w:val="00C61EA0"/>
    <w:rsid w:val="00C62665"/>
    <w:rsid w:val="00C63FF3"/>
    <w:rsid w:val="00C64651"/>
    <w:rsid w:val="00C64C4D"/>
    <w:rsid w:val="00C6507A"/>
    <w:rsid w:val="00C66342"/>
    <w:rsid w:val="00C6697B"/>
    <w:rsid w:val="00C67B65"/>
    <w:rsid w:val="00C69AD2"/>
    <w:rsid w:val="00C738AE"/>
    <w:rsid w:val="00C76BED"/>
    <w:rsid w:val="00C807E0"/>
    <w:rsid w:val="00C80D1A"/>
    <w:rsid w:val="00C8258D"/>
    <w:rsid w:val="00C82AA5"/>
    <w:rsid w:val="00C82D99"/>
    <w:rsid w:val="00C8383D"/>
    <w:rsid w:val="00C84FC2"/>
    <w:rsid w:val="00C85B2D"/>
    <w:rsid w:val="00C86696"/>
    <w:rsid w:val="00C869D1"/>
    <w:rsid w:val="00C87608"/>
    <w:rsid w:val="00C87B7F"/>
    <w:rsid w:val="00C87E4A"/>
    <w:rsid w:val="00C900EC"/>
    <w:rsid w:val="00C90B39"/>
    <w:rsid w:val="00C90D6C"/>
    <w:rsid w:val="00C91173"/>
    <w:rsid w:val="00C91C5C"/>
    <w:rsid w:val="00C92983"/>
    <w:rsid w:val="00C92C00"/>
    <w:rsid w:val="00C9485E"/>
    <w:rsid w:val="00C9744F"/>
    <w:rsid w:val="00CA01EF"/>
    <w:rsid w:val="00CA0541"/>
    <w:rsid w:val="00CA06C1"/>
    <w:rsid w:val="00CA1CEA"/>
    <w:rsid w:val="00CA3A4B"/>
    <w:rsid w:val="00CA3F00"/>
    <w:rsid w:val="00CA4271"/>
    <w:rsid w:val="00CA531E"/>
    <w:rsid w:val="00CA65CE"/>
    <w:rsid w:val="00CA7189"/>
    <w:rsid w:val="00CB14A0"/>
    <w:rsid w:val="00CB1644"/>
    <w:rsid w:val="00CB1E13"/>
    <w:rsid w:val="00CB2DED"/>
    <w:rsid w:val="00CB2FC8"/>
    <w:rsid w:val="00CB31B0"/>
    <w:rsid w:val="00CB3A92"/>
    <w:rsid w:val="00CB4010"/>
    <w:rsid w:val="00CB489A"/>
    <w:rsid w:val="00CB52A9"/>
    <w:rsid w:val="00CB667F"/>
    <w:rsid w:val="00CC0365"/>
    <w:rsid w:val="00CC14D8"/>
    <w:rsid w:val="00CC21F5"/>
    <w:rsid w:val="00CC250C"/>
    <w:rsid w:val="00CC2591"/>
    <w:rsid w:val="00CC2A5A"/>
    <w:rsid w:val="00CC2F85"/>
    <w:rsid w:val="00CC34DE"/>
    <w:rsid w:val="00CC3683"/>
    <w:rsid w:val="00CC371A"/>
    <w:rsid w:val="00CC37DD"/>
    <w:rsid w:val="00CC45B1"/>
    <w:rsid w:val="00CC5992"/>
    <w:rsid w:val="00CC5C5E"/>
    <w:rsid w:val="00CCC82B"/>
    <w:rsid w:val="00CD02B1"/>
    <w:rsid w:val="00CD05EE"/>
    <w:rsid w:val="00CD10E5"/>
    <w:rsid w:val="00CD202D"/>
    <w:rsid w:val="00CD30B7"/>
    <w:rsid w:val="00CD344E"/>
    <w:rsid w:val="00CD4B92"/>
    <w:rsid w:val="00CD4FEF"/>
    <w:rsid w:val="00CD7EA6"/>
    <w:rsid w:val="00CE0C89"/>
    <w:rsid w:val="00CE2BE2"/>
    <w:rsid w:val="00CE2E48"/>
    <w:rsid w:val="00CE3D77"/>
    <w:rsid w:val="00CE3D99"/>
    <w:rsid w:val="00CE4F68"/>
    <w:rsid w:val="00CE557D"/>
    <w:rsid w:val="00CE6603"/>
    <w:rsid w:val="00CE71BC"/>
    <w:rsid w:val="00CE7312"/>
    <w:rsid w:val="00CE7C1C"/>
    <w:rsid w:val="00CE7F79"/>
    <w:rsid w:val="00CE7F94"/>
    <w:rsid w:val="00CE8D67"/>
    <w:rsid w:val="00CF14B4"/>
    <w:rsid w:val="00CF1C73"/>
    <w:rsid w:val="00CF3E23"/>
    <w:rsid w:val="00CF4003"/>
    <w:rsid w:val="00CF44A7"/>
    <w:rsid w:val="00CF5860"/>
    <w:rsid w:val="00CF7A77"/>
    <w:rsid w:val="00D00DAC"/>
    <w:rsid w:val="00D00E56"/>
    <w:rsid w:val="00D016FA"/>
    <w:rsid w:val="00D033E3"/>
    <w:rsid w:val="00D048BF"/>
    <w:rsid w:val="00D05039"/>
    <w:rsid w:val="00D0527D"/>
    <w:rsid w:val="00D0612E"/>
    <w:rsid w:val="00D076AF"/>
    <w:rsid w:val="00D07B78"/>
    <w:rsid w:val="00D104C3"/>
    <w:rsid w:val="00D12698"/>
    <w:rsid w:val="00D12CFA"/>
    <w:rsid w:val="00D13492"/>
    <w:rsid w:val="00D1364F"/>
    <w:rsid w:val="00D141B9"/>
    <w:rsid w:val="00D14CB5"/>
    <w:rsid w:val="00D14D29"/>
    <w:rsid w:val="00D1521C"/>
    <w:rsid w:val="00D16473"/>
    <w:rsid w:val="00D16C5B"/>
    <w:rsid w:val="00D16E05"/>
    <w:rsid w:val="00D17071"/>
    <w:rsid w:val="00D1777A"/>
    <w:rsid w:val="00D2042E"/>
    <w:rsid w:val="00D205F8"/>
    <w:rsid w:val="00D20ACA"/>
    <w:rsid w:val="00D21660"/>
    <w:rsid w:val="00D226E6"/>
    <w:rsid w:val="00D2358B"/>
    <w:rsid w:val="00D2388B"/>
    <w:rsid w:val="00D239A9"/>
    <w:rsid w:val="00D23CA7"/>
    <w:rsid w:val="00D2445B"/>
    <w:rsid w:val="00D24598"/>
    <w:rsid w:val="00D256B9"/>
    <w:rsid w:val="00D25E71"/>
    <w:rsid w:val="00D27921"/>
    <w:rsid w:val="00D30F42"/>
    <w:rsid w:val="00D31840"/>
    <w:rsid w:val="00D32A37"/>
    <w:rsid w:val="00D32C13"/>
    <w:rsid w:val="00D32F9B"/>
    <w:rsid w:val="00D33128"/>
    <w:rsid w:val="00D331EC"/>
    <w:rsid w:val="00D345C9"/>
    <w:rsid w:val="00D34D78"/>
    <w:rsid w:val="00D34F10"/>
    <w:rsid w:val="00D3500B"/>
    <w:rsid w:val="00D351B4"/>
    <w:rsid w:val="00D359F2"/>
    <w:rsid w:val="00D374CB"/>
    <w:rsid w:val="00D375A0"/>
    <w:rsid w:val="00D400F5"/>
    <w:rsid w:val="00D40569"/>
    <w:rsid w:val="00D4061B"/>
    <w:rsid w:val="00D40D5F"/>
    <w:rsid w:val="00D40DF3"/>
    <w:rsid w:val="00D42144"/>
    <w:rsid w:val="00D42A0C"/>
    <w:rsid w:val="00D42EF0"/>
    <w:rsid w:val="00D447DF"/>
    <w:rsid w:val="00D44FCA"/>
    <w:rsid w:val="00D45FF0"/>
    <w:rsid w:val="00D46A13"/>
    <w:rsid w:val="00D46AD0"/>
    <w:rsid w:val="00D47C79"/>
    <w:rsid w:val="00D47ECA"/>
    <w:rsid w:val="00D5006A"/>
    <w:rsid w:val="00D5021D"/>
    <w:rsid w:val="00D50607"/>
    <w:rsid w:val="00D5072E"/>
    <w:rsid w:val="00D50A25"/>
    <w:rsid w:val="00D51268"/>
    <w:rsid w:val="00D51555"/>
    <w:rsid w:val="00D53D37"/>
    <w:rsid w:val="00D53DDE"/>
    <w:rsid w:val="00D53FDA"/>
    <w:rsid w:val="00D541F7"/>
    <w:rsid w:val="00D5654B"/>
    <w:rsid w:val="00D56656"/>
    <w:rsid w:val="00D5699F"/>
    <w:rsid w:val="00D57485"/>
    <w:rsid w:val="00D57D6A"/>
    <w:rsid w:val="00D6012D"/>
    <w:rsid w:val="00D60772"/>
    <w:rsid w:val="00D614F5"/>
    <w:rsid w:val="00D61F8E"/>
    <w:rsid w:val="00D631D2"/>
    <w:rsid w:val="00D63505"/>
    <w:rsid w:val="00D64054"/>
    <w:rsid w:val="00D641B4"/>
    <w:rsid w:val="00D64593"/>
    <w:rsid w:val="00D64CD6"/>
    <w:rsid w:val="00D655EA"/>
    <w:rsid w:val="00D666A8"/>
    <w:rsid w:val="00D67AB8"/>
    <w:rsid w:val="00D70088"/>
    <w:rsid w:val="00D71CC1"/>
    <w:rsid w:val="00D72517"/>
    <w:rsid w:val="00D72CE8"/>
    <w:rsid w:val="00D72D4B"/>
    <w:rsid w:val="00D73921"/>
    <w:rsid w:val="00D73C05"/>
    <w:rsid w:val="00D74CAB"/>
    <w:rsid w:val="00D74D88"/>
    <w:rsid w:val="00D75450"/>
    <w:rsid w:val="00D7656C"/>
    <w:rsid w:val="00D77EED"/>
    <w:rsid w:val="00D7E72B"/>
    <w:rsid w:val="00D81042"/>
    <w:rsid w:val="00D8114D"/>
    <w:rsid w:val="00D8266B"/>
    <w:rsid w:val="00D834A0"/>
    <w:rsid w:val="00D8399B"/>
    <w:rsid w:val="00D84021"/>
    <w:rsid w:val="00D84339"/>
    <w:rsid w:val="00D84DD3"/>
    <w:rsid w:val="00D850A4"/>
    <w:rsid w:val="00D85858"/>
    <w:rsid w:val="00D85ADC"/>
    <w:rsid w:val="00D86313"/>
    <w:rsid w:val="00D86DF4"/>
    <w:rsid w:val="00D875A3"/>
    <w:rsid w:val="00D875DB"/>
    <w:rsid w:val="00D87648"/>
    <w:rsid w:val="00D90033"/>
    <w:rsid w:val="00D901FF"/>
    <w:rsid w:val="00D91C8D"/>
    <w:rsid w:val="00D92115"/>
    <w:rsid w:val="00D925AF"/>
    <w:rsid w:val="00D93053"/>
    <w:rsid w:val="00D94B61"/>
    <w:rsid w:val="00D967A0"/>
    <w:rsid w:val="00D96E43"/>
    <w:rsid w:val="00D9703C"/>
    <w:rsid w:val="00DA0468"/>
    <w:rsid w:val="00DA073D"/>
    <w:rsid w:val="00DA08A3"/>
    <w:rsid w:val="00DA0AD9"/>
    <w:rsid w:val="00DA169B"/>
    <w:rsid w:val="00DA211A"/>
    <w:rsid w:val="00DA221D"/>
    <w:rsid w:val="00DA3DD2"/>
    <w:rsid w:val="00DA3FAB"/>
    <w:rsid w:val="00DA433B"/>
    <w:rsid w:val="00DA5276"/>
    <w:rsid w:val="00DA62D9"/>
    <w:rsid w:val="00DA68DB"/>
    <w:rsid w:val="00DA7331"/>
    <w:rsid w:val="00DB0333"/>
    <w:rsid w:val="00DB0741"/>
    <w:rsid w:val="00DB08B4"/>
    <w:rsid w:val="00DB1095"/>
    <w:rsid w:val="00DB1D07"/>
    <w:rsid w:val="00DB26A6"/>
    <w:rsid w:val="00DB53F6"/>
    <w:rsid w:val="00DB5DBF"/>
    <w:rsid w:val="00DB60B6"/>
    <w:rsid w:val="00DB64A3"/>
    <w:rsid w:val="00DB6C91"/>
    <w:rsid w:val="00DB6E2C"/>
    <w:rsid w:val="00DB7C29"/>
    <w:rsid w:val="00DC0BA6"/>
    <w:rsid w:val="00DC0C8B"/>
    <w:rsid w:val="00DC11E9"/>
    <w:rsid w:val="00DC1B1D"/>
    <w:rsid w:val="00DC1C63"/>
    <w:rsid w:val="00DC34FF"/>
    <w:rsid w:val="00DC3BF9"/>
    <w:rsid w:val="00DC3F92"/>
    <w:rsid w:val="00DC52AB"/>
    <w:rsid w:val="00DC5334"/>
    <w:rsid w:val="00DC5A60"/>
    <w:rsid w:val="00DC7406"/>
    <w:rsid w:val="00DD12C8"/>
    <w:rsid w:val="00DD17CD"/>
    <w:rsid w:val="00DD2038"/>
    <w:rsid w:val="00DD2E4A"/>
    <w:rsid w:val="00DD31A5"/>
    <w:rsid w:val="00DD3995"/>
    <w:rsid w:val="00DD42B5"/>
    <w:rsid w:val="00DD4356"/>
    <w:rsid w:val="00DD4784"/>
    <w:rsid w:val="00DD5036"/>
    <w:rsid w:val="00DD525B"/>
    <w:rsid w:val="00DD5A36"/>
    <w:rsid w:val="00DD5E54"/>
    <w:rsid w:val="00DD6117"/>
    <w:rsid w:val="00DD6657"/>
    <w:rsid w:val="00DD69AC"/>
    <w:rsid w:val="00DD6CA5"/>
    <w:rsid w:val="00DD6D79"/>
    <w:rsid w:val="00DD7C30"/>
    <w:rsid w:val="00DE1134"/>
    <w:rsid w:val="00DE23A2"/>
    <w:rsid w:val="00DE2E18"/>
    <w:rsid w:val="00DE3CA4"/>
    <w:rsid w:val="00DE4907"/>
    <w:rsid w:val="00DE4CAE"/>
    <w:rsid w:val="00DE6F1F"/>
    <w:rsid w:val="00DE774E"/>
    <w:rsid w:val="00DE78A6"/>
    <w:rsid w:val="00DF051C"/>
    <w:rsid w:val="00DF1D04"/>
    <w:rsid w:val="00DF2271"/>
    <w:rsid w:val="00DF380A"/>
    <w:rsid w:val="00DF3985"/>
    <w:rsid w:val="00DF3CDB"/>
    <w:rsid w:val="00DF5AB8"/>
    <w:rsid w:val="00DF66B3"/>
    <w:rsid w:val="00DF6B30"/>
    <w:rsid w:val="00DF704F"/>
    <w:rsid w:val="00DF71B1"/>
    <w:rsid w:val="00E00DCB"/>
    <w:rsid w:val="00E01129"/>
    <w:rsid w:val="00E01208"/>
    <w:rsid w:val="00E019F6"/>
    <w:rsid w:val="00E01D33"/>
    <w:rsid w:val="00E02988"/>
    <w:rsid w:val="00E038B6"/>
    <w:rsid w:val="00E04CB0"/>
    <w:rsid w:val="00E06B20"/>
    <w:rsid w:val="00E11051"/>
    <w:rsid w:val="00E113C7"/>
    <w:rsid w:val="00E1356E"/>
    <w:rsid w:val="00E1392D"/>
    <w:rsid w:val="00E149CE"/>
    <w:rsid w:val="00E15C09"/>
    <w:rsid w:val="00E16C46"/>
    <w:rsid w:val="00E178EB"/>
    <w:rsid w:val="00E201DC"/>
    <w:rsid w:val="00E22149"/>
    <w:rsid w:val="00E2221B"/>
    <w:rsid w:val="00E22EC5"/>
    <w:rsid w:val="00E23330"/>
    <w:rsid w:val="00E23965"/>
    <w:rsid w:val="00E249DA"/>
    <w:rsid w:val="00E26881"/>
    <w:rsid w:val="00E268FC"/>
    <w:rsid w:val="00E26C9D"/>
    <w:rsid w:val="00E26E5E"/>
    <w:rsid w:val="00E26EFB"/>
    <w:rsid w:val="00E30070"/>
    <w:rsid w:val="00E310D8"/>
    <w:rsid w:val="00E31165"/>
    <w:rsid w:val="00E3144E"/>
    <w:rsid w:val="00E33AD4"/>
    <w:rsid w:val="00E33C9B"/>
    <w:rsid w:val="00E33D2A"/>
    <w:rsid w:val="00E33F4D"/>
    <w:rsid w:val="00E3515F"/>
    <w:rsid w:val="00E351F3"/>
    <w:rsid w:val="00E35970"/>
    <w:rsid w:val="00E35DA9"/>
    <w:rsid w:val="00E363A1"/>
    <w:rsid w:val="00E36419"/>
    <w:rsid w:val="00E36528"/>
    <w:rsid w:val="00E367DF"/>
    <w:rsid w:val="00E367FA"/>
    <w:rsid w:val="00E36BE6"/>
    <w:rsid w:val="00E36CF1"/>
    <w:rsid w:val="00E37DBF"/>
    <w:rsid w:val="00E4026B"/>
    <w:rsid w:val="00E40689"/>
    <w:rsid w:val="00E41214"/>
    <w:rsid w:val="00E41290"/>
    <w:rsid w:val="00E41B0D"/>
    <w:rsid w:val="00E41F53"/>
    <w:rsid w:val="00E41F8A"/>
    <w:rsid w:val="00E42288"/>
    <w:rsid w:val="00E42953"/>
    <w:rsid w:val="00E42CE5"/>
    <w:rsid w:val="00E4335D"/>
    <w:rsid w:val="00E4335E"/>
    <w:rsid w:val="00E43C64"/>
    <w:rsid w:val="00E43EED"/>
    <w:rsid w:val="00E444EB"/>
    <w:rsid w:val="00E4486E"/>
    <w:rsid w:val="00E44D09"/>
    <w:rsid w:val="00E45232"/>
    <w:rsid w:val="00E45298"/>
    <w:rsid w:val="00E460F2"/>
    <w:rsid w:val="00E4739A"/>
    <w:rsid w:val="00E47B81"/>
    <w:rsid w:val="00E47DA7"/>
    <w:rsid w:val="00E47EF9"/>
    <w:rsid w:val="00E47FD0"/>
    <w:rsid w:val="00E5137B"/>
    <w:rsid w:val="00E517C7"/>
    <w:rsid w:val="00E55425"/>
    <w:rsid w:val="00E559E3"/>
    <w:rsid w:val="00E5736D"/>
    <w:rsid w:val="00E5798B"/>
    <w:rsid w:val="00E57B95"/>
    <w:rsid w:val="00E5E8D2"/>
    <w:rsid w:val="00E609CB"/>
    <w:rsid w:val="00E609F1"/>
    <w:rsid w:val="00E60A47"/>
    <w:rsid w:val="00E623DD"/>
    <w:rsid w:val="00E628A5"/>
    <w:rsid w:val="00E62BAC"/>
    <w:rsid w:val="00E62C7F"/>
    <w:rsid w:val="00E62EFC"/>
    <w:rsid w:val="00E65988"/>
    <w:rsid w:val="00E66349"/>
    <w:rsid w:val="00E677A6"/>
    <w:rsid w:val="00E678CC"/>
    <w:rsid w:val="00E67BEC"/>
    <w:rsid w:val="00E706A5"/>
    <w:rsid w:val="00E70D49"/>
    <w:rsid w:val="00E7136E"/>
    <w:rsid w:val="00E7151D"/>
    <w:rsid w:val="00E716BD"/>
    <w:rsid w:val="00E72739"/>
    <w:rsid w:val="00E729AA"/>
    <w:rsid w:val="00E72B79"/>
    <w:rsid w:val="00E72D11"/>
    <w:rsid w:val="00E72D46"/>
    <w:rsid w:val="00E74217"/>
    <w:rsid w:val="00E75541"/>
    <w:rsid w:val="00E7593B"/>
    <w:rsid w:val="00E760EE"/>
    <w:rsid w:val="00E76BE5"/>
    <w:rsid w:val="00E7D5FC"/>
    <w:rsid w:val="00E800E1"/>
    <w:rsid w:val="00E80515"/>
    <w:rsid w:val="00E80949"/>
    <w:rsid w:val="00E80B44"/>
    <w:rsid w:val="00E80CA7"/>
    <w:rsid w:val="00E810EE"/>
    <w:rsid w:val="00E81158"/>
    <w:rsid w:val="00E821FA"/>
    <w:rsid w:val="00E83501"/>
    <w:rsid w:val="00E8399A"/>
    <w:rsid w:val="00E84213"/>
    <w:rsid w:val="00E8421B"/>
    <w:rsid w:val="00E842C8"/>
    <w:rsid w:val="00E85213"/>
    <w:rsid w:val="00E85643"/>
    <w:rsid w:val="00E856F5"/>
    <w:rsid w:val="00E85E0F"/>
    <w:rsid w:val="00E86B74"/>
    <w:rsid w:val="00E87472"/>
    <w:rsid w:val="00E91C05"/>
    <w:rsid w:val="00E9232C"/>
    <w:rsid w:val="00E92444"/>
    <w:rsid w:val="00E926C5"/>
    <w:rsid w:val="00E92B78"/>
    <w:rsid w:val="00E93696"/>
    <w:rsid w:val="00E93A86"/>
    <w:rsid w:val="00E943DF"/>
    <w:rsid w:val="00E94E4A"/>
    <w:rsid w:val="00E953DD"/>
    <w:rsid w:val="00E9541F"/>
    <w:rsid w:val="00E96008"/>
    <w:rsid w:val="00E972B3"/>
    <w:rsid w:val="00E97973"/>
    <w:rsid w:val="00E97E98"/>
    <w:rsid w:val="00EA1B50"/>
    <w:rsid w:val="00EA1CE9"/>
    <w:rsid w:val="00EA241A"/>
    <w:rsid w:val="00EA2AEB"/>
    <w:rsid w:val="00EA3637"/>
    <w:rsid w:val="00EA47A5"/>
    <w:rsid w:val="00EA5468"/>
    <w:rsid w:val="00EA5DC2"/>
    <w:rsid w:val="00EA78CC"/>
    <w:rsid w:val="00EA7A13"/>
    <w:rsid w:val="00EA7D77"/>
    <w:rsid w:val="00EB00F1"/>
    <w:rsid w:val="00EB02C4"/>
    <w:rsid w:val="00EB15FE"/>
    <w:rsid w:val="00EB2717"/>
    <w:rsid w:val="00EB45D0"/>
    <w:rsid w:val="00EB55A3"/>
    <w:rsid w:val="00EB5C8A"/>
    <w:rsid w:val="00EB7226"/>
    <w:rsid w:val="00EB7322"/>
    <w:rsid w:val="00EC0680"/>
    <w:rsid w:val="00EC0740"/>
    <w:rsid w:val="00EC11E0"/>
    <w:rsid w:val="00EC16A9"/>
    <w:rsid w:val="00EC2873"/>
    <w:rsid w:val="00EC2EBC"/>
    <w:rsid w:val="00EC3AFB"/>
    <w:rsid w:val="00EC3B77"/>
    <w:rsid w:val="00EC56D5"/>
    <w:rsid w:val="00EC63DD"/>
    <w:rsid w:val="00EC70F6"/>
    <w:rsid w:val="00EC7935"/>
    <w:rsid w:val="00EC7AAD"/>
    <w:rsid w:val="00ED1249"/>
    <w:rsid w:val="00ED17B7"/>
    <w:rsid w:val="00ED39F3"/>
    <w:rsid w:val="00ED4516"/>
    <w:rsid w:val="00ED4CEA"/>
    <w:rsid w:val="00ED5C38"/>
    <w:rsid w:val="00ED688E"/>
    <w:rsid w:val="00ED6B72"/>
    <w:rsid w:val="00ED6DD2"/>
    <w:rsid w:val="00EE0963"/>
    <w:rsid w:val="00EE13D1"/>
    <w:rsid w:val="00EE18E1"/>
    <w:rsid w:val="00EE2C16"/>
    <w:rsid w:val="00EE4034"/>
    <w:rsid w:val="00EE413E"/>
    <w:rsid w:val="00EE6115"/>
    <w:rsid w:val="00EE6865"/>
    <w:rsid w:val="00EE6AE9"/>
    <w:rsid w:val="00EF311F"/>
    <w:rsid w:val="00EF3DC5"/>
    <w:rsid w:val="00EF66B6"/>
    <w:rsid w:val="00EF6DB2"/>
    <w:rsid w:val="00EF6E09"/>
    <w:rsid w:val="00EF7457"/>
    <w:rsid w:val="00EF7BFC"/>
    <w:rsid w:val="00F0012E"/>
    <w:rsid w:val="00F00996"/>
    <w:rsid w:val="00F010CE"/>
    <w:rsid w:val="00F012F0"/>
    <w:rsid w:val="00F021E6"/>
    <w:rsid w:val="00F02BC0"/>
    <w:rsid w:val="00F049EE"/>
    <w:rsid w:val="00F05139"/>
    <w:rsid w:val="00F05F9A"/>
    <w:rsid w:val="00F0622B"/>
    <w:rsid w:val="00F06B2A"/>
    <w:rsid w:val="00F07234"/>
    <w:rsid w:val="00F07460"/>
    <w:rsid w:val="00F075BC"/>
    <w:rsid w:val="00F07F8C"/>
    <w:rsid w:val="00F11385"/>
    <w:rsid w:val="00F1270C"/>
    <w:rsid w:val="00F12E05"/>
    <w:rsid w:val="00F13354"/>
    <w:rsid w:val="00F1335C"/>
    <w:rsid w:val="00F134C2"/>
    <w:rsid w:val="00F1356E"/>
    <w:rsid w:val="00F141EA"/>
    <w:rsid w:val="00F142E9"/>
    <w:rsid w:val="00F15696"/>
    <w:rsid w:val="00F162FB"/>
    <w:rsid w:val="00F16C76"/>
    <w:rsid w:val="00F16E58"/>
    <w:rsid w:val="00F178DA"/>
    <w:rsid w:val="00F179D2"/>
    <w:rsid w:val="00F2053D"/>
    <w:rsid w:val="00F208EF"/>
    <w:rsid w:val="00F229AC"/>
    <w:rsid w:val="00F23761"/>
    <w:rsid w:val="00F26140"/>
    <w:rsid w:val="00F26EF6"/>
    <w:rsid w:val="00F27955"/>
    <w:rsid w:val="00F27ACE"/>
    <w:rsid w:val="00F308FC"/>
    <w:rsid w:val="00F315D6"/>
    <w:rsid w:val="00F33AB7"/>
    <w:rsid w:val="00F34384"/>
    <w:rsid w:val="00F3444D"/>
    <w:rsid w:val="00F3528A"/>
    <w:rsid w:val="00F3570A"/>
    <w:rsid w:val="00F36FF9"/>
    <w:rsid w:val="00F37DB1"/>
    <w:rsid w:val="00F3E403"/>
    <w:rsid w:val="00F40544"/>
    <w:rsid w:val="00F41171"/>
    <w:rsid w:val="00F41E48"/>
    <w:rsid w:val="00F41FC3"/>
    <w:rsid w:val="00F43DC9"/>
    <w:rsid w:val="00F44075"/>
    <w:rsid w:val="00F441C7"/>
    <w:rsid w:val="00F44FA8"/>
    <w:rsid w:val="00F456C3"/>
    <w:rsid w:val="00F45BF6"/>
    <w:rsid w:val="00F46590"/>
    <w:rsid w:val="00F46CD5"/>
    <w:rsid w:val="00F4721E"/>
    <w:rsid w:val="00F479AF"/>
    <w:rsid w:val="00F5071C"/>
    <w:rsid w:val="00F50F66"/>
    <w:rsid w:val="00F512C3"/>
    <w:rsid w:val="00F531F1"/>
    <w:rsid w:val="00F5357A"/>
    <w:rsid w:val="00F53693"/>
    <w:rsid w:val="00F53D50"/>
    <w:rsid w:val="00F54024"/>
    <w:rsid w:val="00F54FEE"/>
    <w:rsid w:val="00F56026"/>
    <w:rsid w:val="00F56B6A"/>
    <w:rsid w:val="00F5783E"/>
    <w:rsid w:val="00F57A5D"/>
    <w:rsid w:val="00F57F6C"/>
    <w:rsid w:val="00F60F7B"/>
    <w:rsid w:val="00F616F2"/>
    <w:rsid w:val="00F62078"/>
    <w:rsid w:val="00F62C82"/>
    <w:rsid w:val="00F6325F"/>
    <w:rsid w:val="00F63739"/>
    <w:rsid w:val="00F63F15"/>
    <w:rsid w:val="00F657C8"/>
    <w:rsid w:val="00F6610D"/>
    <w:rsid w:val="00F67602"/>
    <w:rsid w:val="00F705E2"/>
    <w:rsid w:val="00F7112F"/>
    <w:rsid w:val="00F71E26"/>
    <w:rsid w:val="00F7365E"/>
    <w:rsid w:val="00F7432C"/>
    <w:rsid w:val="00F746E1"/>
    <w:rsid w:val="00F7493B"/>
    <w:rsid w:val="00F749BF"/>
    <w:rsid w:val="00F74C64"/>
    <w:rsid w:val="00F750D9"/>
    <w:rsid w:val="00F75632"/>
    <w:rsid w:val="00F762CE"/>
    <w:rsid w:val="00F767E9"/>
    <w:rsid w:val="00F768E9"/>
    <w:rsid w:val="00F7732B"/>
    <w:rsid w:val="00F77D9F"/>
    <w:rsid w:val="00F808DD"/>
    <w:rsid w:val="00F80929"/>
    <w:rsid w:val="00F80E54"/>
    <w:rsid w:val="00F80F7A"/>
    <w:rsid w:val="00F81B63"/>
    <w:rsid w:val="00F828BD"/>
    <w:rsid w:val="00F83551"/>
    <w:rsid w:val="00F85AAB"/>
    <w:rsid w:val="00F85E90"/>
    <w:rsid w:val="00F879EF"/>
    <w:rsid w:val="00F87A28"/>
    <w:rsid w:val="00F87E40"/>
    <w:rsid w:val="00F9018D"/>
    <w:rsid w:val="00F90D1B"/>
    <w:rsid w:val="00F91A75"/>
    <w:rsid w:val="00F9337D"/>
    <w:rsid w:val="00F93B54"/>
    <w:rsid w:val="00F93C28"/>
    <w:rsid w:val="00F93D58"/>
    <w:rsid w:val="00F94FB3"/>
    <w:rsid w:val="00F95033"/>
    <w:rsid w:val="00F95C13"/>
    <w:rsid w:val="00F95C31"/>
    <w:rsid w:val="00F96080"/>
    <w:rsid w:val="00F961BC"/>
    <w:rsid w:val="00F970CE"/>
    <w:rsid w:val="00FA075F"/>
    <w:rsid w:val="00FA08A6"/>
    <w:rsid w:val="00FA13C9"/>
    <w:rsid w:val="00FA1BF8"/>
    <w:rsid w:val="00FA2759"/>
    <w:rsid w:val="00FA3366"/>
    <w:rsid w:val="00FA39A7"/>
    <w:rsid w:val="00FA42C1"/>
    <w:rsid w:val="00FA517F"/>
    <w:rsid w:val="00FA60E8"/>
    <w:rsid w:val="00FA6947"/>
    <w:rsid w:val="00FA7480"/>
    <w:rsid w:val="00FA7A72"/>
    <w:rsid w:val="00FB02F8"/>
    <w:rsid w:val="00FB0B3E"/>
    <w:rsid w:val="00FB1959"/>
    <w:rsid w:val="00FB302E"/>
    <w:rsid w:val="00FB37CB"/>
    <w:rsid w:val="00FB420F"/>
    <w:rsid w:val="00FB46B1"/>
    <w:rsid w:val="00FB4B9D"/>
    <w:rsid w:val="00FB4CCE"/>
    <w:rsid w:val="00FB4CD8"/>
    <w:rsid w:val="00FB5199"/>
    <w:rsid w:val="00FB5BFB"/>
    <w:rsid w:val="00FB7170"/>
    <w:rsid w:val="00FB71F2"/>
    <w:rsid w:val="00FC0A69"/>
    <w:rsid w:val="00FC0CAF"/>
    <w:rsid w:val="00FC1336"/>
    <w:rsid w:val="00FC1A40"/>
    <w:rsid w:val="00FC1AE8"/>
    <w:rsid w:val="00FC1B94"/>
    <w:rsid w:val="00FC2DEF"/>
    <w:rsid w:val="00FC35C0"/>
    <w:rsid w:val="00FC424E"/>
    <w:rsid w:val="00FC4552"/>
    <w:rsid w:val="00FC4913"/>
    <w:rsid w:val="00FC584B"/>
    <w:rsid w:val="00FC61C9"/>
    <w:rsid w:val="00FC7A3C"/>
    <w:rsid w:val="00FC7E9B"/>
    <w:rsid w:val="00FD0217"/>
    <w:rsid w:val="00FD031A"/>
    <w:rsid w:val="00FD0AEF"/>
    <w:rsid w:val="00FD0FFB"/>
    <w:rsid w:val="00FD18DF"/>
    <w:rsid w:val="00FD1FF8"/>
    <w:rsid w:val="00FD22CF"/>
    <w:rsid w:val="00FD3892"/>
    <w:rsid w:val="00FD4A6E"/>
    <w:rsid w:val="00FD4DAD"/>
    <w:rsid w:val="00FD5DF7"/>
    <w:rsid w:val="00FD6C48"/>
    <w:rsid w:val="00FD7A99"/>
    <w:rsid w:val="00FE093F"/>
    <w:rsid w:val="00FE0B25"/>
    <w:rsid w:val="00FE0C60"/>
    <w:rsid w:val="00FE0DEC"/>
    <w:rsid w:val="00FE2117"/>
    <w:rsid w:val="00FE4D08"/>
    <w:rsid w:val="00FE6DE5"/>
    <w:rsid w:val="00FE799A"/>
    <w:rsid w:val="00FE7FDF"/>
    <w:rsid w:val="00FF1E41"/>
    <w:rsid w:val="00FF26D3"/>
    <w:rsid w:val="00FF2D64"/>
    <w:rsid w:val="00FF3CDF"/>
    <w:rsid w:val="00FF41F7"/>
    <w:rsid w:val="00FF442B"/>
    <w:rsid w:val="00FF47E7"/>
    <w:rsid w:val="00FF5248"/>
    <w:rsid w:val="00FF576D"/>
    <w:rsid w:val="00FF6FC7"/>
    <w:rsid w:val="010FC5DA"/>
    <w:rsid w:val="01118C65"/>
    <w:rsid w:val="0111EF5E"/>
    <w:rsid w:val="01136856"/>
    <w:rsid w:val="01188C4A"/>
    <w:rsid w:val="012AECDD"/>
    <w:rsid w:val="012FAE04"/>
    <w:rsid w:val="01312B92"/>
    <w:rsid w:val="0141F790"/>
    <w:rsid w:val="0143695C"/>
    <w:rsid w:val="01450630"/>
    <w:rsid w:val="014F42CF"/>
    <w:rsid w:val="01515777"/>
    <w:rsid w:val="0151C584"/>
    <w:rsid w:val="015585DA"/>
    <w:rsid w:val="0158A174"/>
    <w:rsid w:val="015F9A82"/>
    <w:rsid w:val="01758491"/>
    <w:rsid w:val="017FCD35"/>
    <w:rsid w:val="018DF1E0"/>
    <w:rsid w:val="018E2B9B"/>
    <w:rsid w:val="018F53E4"/>
    <w:rsid w:val="0193ED09"/>
    <w:rsid w:val="01992FD6"/>
    <w:rsid w:val="01995E15"/>
    <w:rsid w:val="019E72D7"/>
    <w:rsid w:val="019FC01C"/>
    <w:rsid w:val="01A26453"/>
    <w:rsid w:val="01A2F377"/>
    <w:rsid w:val="01A68BA9"/>
    <w:rsid w:val="01A81643"/>
    <w:rsid w:val="01A9B92F"/>
    <w:rsid w:val="01B6F8BE"/>
    <w:rsid w:val="01C0DF92"/>
    <w:rsid w:val="01C24E0D"/>
    <w:rsid w:val="01C697C5"/>
    <w:rsid w:val="01C95C9B"/>
    <w:rsid w:val="01CB76BA"/>
    <w:rsid w:val="01CE854B"/>
    <w:rsid w:val="01CFBC0D"/>
    <w:rsid w:val="01D66C0E"/>
    <w:rsid w:val="01D940FC"/>
    <w:rsid w:val="01ECC6D4"/>
    <w:rsid w:val="01EE6362"/>
    <w:rsid w:val="01EFD23D"/>
    <w:rsid w:val="01F146C3"/>
    <w:rsid w:val="01F52650"/>
    <w:rsid w:val="01F6775D"/>
    <w:rsid w:val="01FAC7B0"/>
    <w:rsid w:val="01FADAFF"/>
    <w:rsid w:val="01FC31AF"/>
    <w:rsid w:val="01FCD958"/>
    <w:rsid w:val="01FE1EC1"/>
    <w:rsid w:val="01FF83FF"/>
    <w:rsid w:val="02069E12"/>
    <w:rsid w:val="02074F7E"/>
    <w:rsid w:val="020C8DEF"/>
    <w:rsid w:val="020FB298"/>
    <w:rsid w:val="02176922"/>
    <w:rsid w:val="02186620"/>
    <w:rsid w:val="021A9AE6"/>
    <w:rsid w:val="022A648E"/>
    <w:rsid w:val="0231397B"/>
    <w:rsid w:val="02383300"/>
    <w:rsid w:val="0244A573"/>
    <w:rsid w:val="024D2EB7"/>
    <w:rsid w:val="024D4211"/>
    <w:rsid w:val="0251F05A"/>
    <w:rsid w:val="0256742A"/>
    <w:rsid w:val="02589DD1"/>
    <w:rsid w:val="02651FE8"/>
    <w:rsid w:val="026E2A50"/>
    <w:rsid w:val="027D476C"/>
    <w:rsid w:val="027F44B2"/>
    <w:rsid w:val="028178FC"/>
    <w:rsid w:val="028B5983"/>
    <w:rsid w:val="0294EF5E"/>
    <w:rsid w:val="0298EDF3"/>
    <w:rsid w:val="02A49023"/>
    <w:rsid w:val="02A4BC15"/>
    <w:rsid w:val="02AD24F6"/>
    <w:rsid w:val="02ADBFBF"/>
    <w:rsid w:val="02B1CE15"/>
    <w:rsid w:val="02BD8FC3"/>
    <w:rsid w:val="02C2945E"/>
    <w:rsid w:val="02C35314"/>
    <w:rsid w:val="02C3CBF1"/>
    <w:rsid w:val="02D25BCF"/>
    <w:rsid w:val="02DF503E"/>
    <w:rsid w:val="02DF8C88"/>
    <w:rsid w:val="02E16AAA"/>
    <w:rsid w:val="02E1D623"/>
    <w:rsid w:val="02E2E15E"/>
    <w:rsid w:val="02E47DD4"/>
    <w:rsid w:val="02E8211C"/>
    <w:rsid w:val="02ED4BD4"/>
    <w:rsid w:val="02EDD71F"/>
    <w:rsid w:val="02F47837"/>
    <w:rsid w:val="02F5532D"/>
    <w:rsid w:val="02F89C46"/>
    <w:rsid w:val="03013688"/>
    <w:rsid w:val="03093C73"/>
    <w:rsid w:val="030C70C4"/>
    <w:rsid w:val="030C99BF"/>
    <w:rsid w:val="03111D2C"/>
    <w:rsid w:val="031637BE"/>
    <w:rsid w:val="03175358"/>
    <w:rsid w:val="0318545C"/>
    <w:rsid w:val="031C6325"/>
    <w:rsid w:val="0321696B"/>
    <w:rsid w:val="032685CC"/>
    <w:rsid w:val="03268DAD"/>
    <w:rsid w:val="03331708"/>
    <w:rsid w:val="0333FF51"/>
    <w:rsid w:val="033524C5"/>
    <w:rsid w:val="0335465B"/>
    <w:rsid w:val="03378DA8"/>
    <w:rsid w:val="03382CE2"/>
    <w:rsid w:val="033A4FC6"/>
    <w:rsid w:val="033B80F2"/>
    <w:rsid w:val="033D0D85"/>
    <w:rsid w:val="0341FDA3"/>
    <w:rsid w:val="03479C2D"/>
    <w:rsid w:val="0349397D"/>
    <w:rsid w:val="034A1290"/>
    <w:rsid w:val="034A6421"/>
    <w:rsid w:val="034C5117"/>
    <w:rsid w:val="034E6023"/>
    <w:rsid w:val="0352CF39"/>
    <w:rsid w:val="035D32CF"/>
    <w:rsid w:val="036508DE"/>
    <w:rsid w:val="036908DD"/>
    <w:rsid w:val="0371B2A2"/>
    <w:rsid w:val="0377F66E"/>
    <w:rsid w:val="037E95E2"/>
    <w:rsid w:val="03814FD0"/>
    <w:rsid w:val="0381D1B4"/>
    <w:rsid w:val="03830656"/>
    <w:rsid w:val="03877C36"/>
    <w:rsid w:val="038A627D"/>
    <w:rsid w:val="038A72D5"/>
    <w:rsid w:val="038DA34C"/>
    <w:rsid w:val="038F5C62"/>
    <w:rsid w:val="0391239D"/>
    <w:rsid w:val="039135FD"/>
    <w:rsid w:val="0394157C"/>
    <w:rsid w:val="039B6CD9"/>
    <w:rsid w:val="039EE33B"/>
    <w:rsid w:val="039F4E9D"/>
    <w:rsid w:val="03A4D59E"/>
    <w:rsid w:val="03AF9EBD"/>
    <w:rsid w:val="03B4F4DE"/>
    <w:rsid w:val="03B8EB89"/>
    <w:rsid w:val="03BAD9D7"/>
    <w:rsid w:val="03BFA7DD"/>
    <w:rsid w:val="03C16C8B"/>
    <w:rsid w:val="03C4E932"/>
    <w:rsid w:val="03CC315D"/>
    <w:rsid w:val="03D373D3"/>
    <w:rsid w:val="03D4E43E"/>
    <w:rsid w:val="03D7B74D"/>
    <w:rsid w:val="03D87B0B"/>
    <w:rsid w:val="03D92237"/>
    <w:rsid w:val="03DC33FC"/>
    <w:rsid w:val="03DD71AD"/>
    <w:rsid w:val="03E164F1"/>
    <w:rsid w:val="03E97D4D"/>
    <w:rsid w:val="03EE20CC"/>
    <w:rsid w:val="03F061DF"/>
    <w:rsid w:val="03F46E32"/>
    <w:rsid w:val="03F5219C"/>
    <w:rsid w:val="03F7249C"/>
    <w:rsid w:val="03F85E28"/>
    <w:rsid w:val="0411CD14"/>
    <w:rsid w:val="04125BB1"/>
    <w:rsid w:val="041503D2"/>
    <w:rsid w:val="04170DAB"/>
    <w:rsid w:val="041F17E2"/>
    <w:rsid w:val="042545D2"/>
    <w:rsid w:val="042729CB"/>
    <w:rsid w:val="042DDAE2"/>
    <w:rsid w:val="0432DEE1"/>
    <w:rsid w:val="0433EC7F"/>
    <w:rsid w:val="043715BD"/>
    <w:rsid w:val="043E55A7"/>
    <w:rsid w:val="043E6632"/>
    <w:rsid w:val="043FCD3A"/>
    <w:rsid w:val="044935B7"/>
    <w:rsid w:val="0449A059"/>
    <w:rsid w:val="044A8279"/>
    <w:rsid w:val="044AD188"/>
    <w:rsid w:val="044AFB6F"/>
    <w:rsid w:val="044C23E4"/>
    <w:rsid w:val="04526967"/>
    <w:rsid w:val="0454D698"/>
    <w:rsid w:val="0456D189"/>
    <w:rsid w:val="04579774"/>
    <w:rsid w:val="04581716"/>
    <w:rsid w:val="045DBC93"/>
    <w:rsid w:val="04619F0F"/>
    <w:rsid w:val="0462BC2D"/>
    <w:rsid w:val="0462F764"/>
    <w:rsid w:val="04676EBD"/>
    <w:rsid w:val="046DDF30"/>
    <w:rsid w:val="046ED6F9"/>
    <w:rsid w:val="0480926C"/>
    <w:rsid w:val="048502C5"/>
    <w:rsid w:val="048657F2"/>
    <w:rsid w:val="0489B1D5"/>
    <w:rsid w:val="048EC7A1"/>
    <w:rsid w:val="04916A4D"/>
    <w:rsid w:val="049958C1"/>
    <w:rsid w:val="0499E62C"/>
    <w:rsid w:val="049E22FB"/>
    <w:rsid w:val="049E3F39"/>
    <w:rsid w:val="049F4D4C"/>
    <w:rsid w:val="04A10694"/>
    <w:rsid w:val="04A2042C"/>
    <w:rsid w:val="04A4D592"/>
    <w:rsid w:val="04A9BBBA"/>
    <w:rsid w:val="04ADBF57"/>
    <w:rsid w:val="04B4EE85"/>
    <w:rsid w:val="04B59DD0"/>
    <w:rsid w:val="04B914A9"/>
    <w:rsid w:val="04BE86C5"/>
    <w:rsid w:val="04BF6FC6"/>
    <w:rsid w:val="04C28E6C"/>
    <w:rsid w:val="04D21D90"/>
    <w:rsid w:val="04D30DAB"/>
    <w:rsid w:val="04D89049"/>
    <w:rsid w:val="04DF474A"/>
    <w:rsid w:val="04DFA14C"/>
    <w:rsid w:val="04E123D5"/>
    <w:rsid w:val="04E3D1DE"/>
    <w:rsid w:val="04E97E26"/>
    <w:rsid w:val="04EE60AB"/>
    <w:rsid w:val="04EEB81B"/>
    <w:rsid w:val="04F3DBA3"/>
    <w:rsid w:val="04F4487E"/>
    <w:rsid w:val="04FDA91D"/>
    <w:rsid w:val="0500D93F"/>
    <w:rsid w:val="050B40D3"/>
    <w:rsid w:val="050D0400"/>
    <w:rsid w:val="050D46FD"/>
    <w:rsid w:val="05122C43"/>
    <w:rsid w:val="05147D88"/>
    <w:rsid w:val="0514D762"/>
    <w:rsid w:val="051650E2"/>
    <w:rsid w:val="0517E149"/>
    <w:rsid w:val="051A2BE0"/>
    <w:rsid w:val="051E7C40"/>
    <w:rsid w:val="05227184"/>
    <w:rsid w:val="05253EF1"/>
    <w:rsid w:val="05254D1B"/>
    <w:rsid w:val="05255B54"/>
    <w:rsid w:val="0528046B"/>
    <w:rsid w:val="052D999B"/>
    <w:rsid w:val="05310D45"/>
    <w:rsid w:val="05333BEA"/>
    <w:rsid w:val="0533E33B"/>
    <w:rsid w:val="053DF96D"/>
    <w:rsid w:val="05405A2F"/>
    <w:rsid w:val="05450A5E"/>
    <w:rsid w:val="0546CDFE"/>
    <w:rsid w:val="0547D77A"/>
    <w:rsid w:val="054C2F2A"/>
    <w:rsid w:val="054F846D"/>
    <w:rsid w:val="05507E77"/>
    <w:rsid w:val="05521657"/>
    <w:rsid w:val="0554CEAB"/>
    <w:rsid w:val="0559D377"/>
    <w:rsid w:val="055B10AB"/>
    <w:rsid w:val="05613E23"/>
    <w:rsid w:val="0563564F"/>
    <w:rsid w:val="05649A60"/>
    <w:rsid w:val="0567797A"/>
    <w:rsid w:val="056A6267"/>
    <w:rsid w:val="057C6D42"/>
    <w:rsid w:val="0581D660"/>
    <w:rsid w:val="05821808"/>
    <w:rsid w:val="058226FB"/>
    <w:rsid w:val="05856DF1"/>
    <w:rsid w:val="058CF147"/>
    <w:rsid w:val="05942E89"/>
    <w:rsid w:val="05961EC2"/>
    <w:rsid w:val="059A4437"/>
    <w:rsid w:val="059AAC50"/>
    <w:rsid w:val="059B6976"/>
    <w:rsid w:val="059D1457"/>
    <w:rsid w:val="059F6FBD"/>
    <w:rsid w:val="059FAD72"/>
    <w:rsid w:val="05A13F09"/>
    <w:rsid w:val="05A246D8"/>
    <w:rsid w:val="05A58717"/>
    <w:rsid w:val="05A59812"/>
    <w:rsid w:val="05AAF45A"/>
    <w:rsid w:val="05B13835"/>
    <w:rsid w:val="05B33303"/>
    <w:rsid w:val="05B6DFA7"/>
    <w:rsid w:val="05B6F17D"/>
    <w:rsid w:val="05BBC29E"/>
    <w:rsid w:val="05BC1169"/>
    <w:rsid w:val="05BD746B"/>
    <w:rsid w:val="05BF574B"/>
    <w:rsid w:val="05C5E554"/>
    <w:rsid w:val="05C9360A"/>
    <w:rsid w:val="05CFED41"/>
    <w:rsid w:val="05DC8F0E"/>
    <w:rsid w:val="05E5F119"/>
    <w:rsid w:val="05E999E7"/>
    <w:rsid w:val="05EE7BFC"/>
    <w:rsid w:val="05F0C166"/>
    <w:rsid w:val="05F1FB7A"/>
    <w:rsid w:val="05FD94DC"/>
    <w:rsid w:val="05FE544E"/>
    <w:rsid w:val="0605A25F"/>
    <w:rsid w:val="06088286"/>
    <w:rsid w:val="0609B8C6"/>
    <w:rsid w:val="060D35A7"/>
    <w:rsid w:val="060D3CB2"/>
    <w:rsid w:val="060E6C0B"/>
    <w:rsid w:val="06218239"/>
    <w:rsid w:val="062C160E"/>
    <w:rsid w:val="0638AC2D"/>
    <w:rsid w:val="063D614A"/>
    <w:rsid w:val="0640ED2E"/>
    <w:rsid w:val="0643691E"/>
    <w:rsid w:val="0648BD8F"/>
    <w:rsid w:val="064F215A"/>
    <w:rsid w:val="064FBDBA"/>
    <w:rsid w:val="0658673C"/>
    <w:rsid w:val="065967A1"/>
    <w:rsid w:val="065C21AC"/>
    <w:rsid w:val="0660E6F5"/>
    <w:rsid w:val="06613EF6"/>
    <w:rsid w:val="066C662C"/>
    <w:rsid w:val="066D0EF7"/>
    <w:rsid w:val="066DB533"/>
    <w:rsid w:val="06728EC6"/>
    <w:rsid w:val="0672972F"/>
    <w:rsid w:val="0674F9C2"/>
    <w:rsid w:val="0679886A"/>
    <w:rsid w:val="067A1636"/>
    <w:rsid w:val="06803339"/>
    <w:rsid w:val="068168F1"/>
    <w:rsid w:val="0681AEE0"/>
    <w:rsid w:val="06948B8F"/>
    <w:rsid w:val="0699BD7D"/>
    <w:rsid w:val="069C85FE"/>
    <w:rsid w:val="069D022C"/>
    <w:rsid w:val="06A2FF34"/>
    <w:rsid w:val="06B25C91"/>
    <w:rsid w:val="06B52114"/>
    <w:rsid w:val="06B933F3"/>
    <w:rsid w:val="06B94AEC"/>
    <w:rsid w:val="06B99A53"/>
    <w:rsid w:val="06BA42AB"/>
    <w:rsid w:val="06C12BB5"/>
    <w:rsid w:val="06C20C3A"/>
    <w:rsid w:val="06C40D2A"/>
    <w:rsid w:val="06CA56B1"/>
    <w:rsid w:val="06CEB5C1"/>
    <w:rsid w:val="06D6AA4D"/>
    <w:rsid w:val="06DADB5E"/>
    <w:rsid w:val="06DF780A"/>
    <w:rsid w:val="06E3B4AE"/>
    <w:rsid w:val="06E99EB0"/>
    <w:rsid w:val="06EE1E72"/>
    <w:rsid w:val="06F18981"/>
    <w:rsid w:val="06F223D9"/>
    <w:rsid w:val="06F27752"/>
    <w:rsid w:val="06F5358A"/>
    <w:rsid w:val="06F717FA"/>
    <w:rsid w:val="06FE9F8D"/>
    <w:rsid w:val="06FF3625"/>
    <w:rsid w:val="07003B81"/>
    <w:rsid w:val="0703A33B"/>
    <w:rsid w:val="070B77B6"/>
    <w:rsid w:val="070B84EC"/>
    <w:rsid w:val="071A06F0"/>
    <w:rsid w:val="0720D5CB"/>
    <w:rsid w:val="0725C18E"/>
    <w:rsid w:val="072EF0A3"/>
    <w:rsid w:val="07427A09"/>
    <w:rsid w:val="074742FB"/>
    <w:rsid w:val="074FA601"/>
    <w:rsid w:val="07500211"/>
    <w:rsid w:val="0753832E"/>
    <w:rsid w:val="0758399A"/>
    <w:rsid w:val="075E7D8D"/>
    <w:rsid w:val="07657615"/>
    <w:rsid w:val="07704932"/>
    <w:rsid w:val="0772FCCD"/>
    <w:rsid w:val="0779359F"/>
    <w:rsid w:val="0779B67A"/>
    <w:rsid w:val="077EC073"/>
    <w:rsid w:val="078EF8D7"/>
    <w:rsid w:val="07904D5F"/>
    <w:rsid w:val="07A75DB8"/>
    <w:rsid w:val="07A8E08C"/>
    <w:rsid w:val="07AEA2D5"/>
    <w:rsid w:val="07B906BE"/>
    <w:rsid w:val="07BB9E8B"/>
    <w:rsid w:val="07C40265"/>
    <w:rsid w:val="07C958C1"/>
    <w:rsid w:val="07D60125"/>
    <w:rsid w:val="07D88D06"/>
    <w:rsid w:val="07DCC20A"/>
    <w:rsid w:val="07E120AF"/>
    <w:rsid w:val="07EDFBD2"/>
    <w:rsid w:val="07F088C7"/>
    <w:rsid w:val="07F203D6"/>
    <w:rsid w:val="07F2903B"/>
    <w:rsid w:val="07F95AC9"/>
    <w:rsid w:val="0804CBA4"/>
    <w:rsid w:val="0808B77E"/>
    <w:rsid w:val="0809E452"/>
    <w:rsid w:val="080BFBA5"/>
    <w:rsid w:val="080D6558"/>
    <w:rsid w:val="08101BF2"/>
    <w:rsid w:val="0815B088"/>
    <w:rsid w:val="0815E752"/>
    <w:rsid w:val="0815E950"/>
    <w:rsid w:val="0819AFA6"/>
    <w:rsid w:val="081D0C8D"/>
    <w:rsid w:val="081D18FE"/>
    <w:rsid w:val="081F17FE"/>
    <w:rsid w:val="0820B2C6"/>
    <w:rsid w:val="08228477"/>
    <w:rsid w:val="0823C468"/>
    <w:rsid w:val="082A7C3D"/>
    <w:rsid w:val="082B01AA"/>
    <w:rsid w:val="082EAC57"/>
    <w:rsid w:val="08336ECF"/>
    <w:rsid w:val="08371768"/>
    <w:rsid w:val="0838FB25"/>
    <w:rsid w:val="083982D3"/>
    <w:rsid w:val="083B14AD"/>
    <w:rsid w:val="083E3263"/>
    <w:rsid w:val="084054DA"/>
    <w:rsid w:val="084169D0"/>
    <w:rsid w:val="08442CBA"/>
    <w:rsid w:val="0846413E"/>
    <w:rsid w:val="084B9E08"/>
    <w:rsid w:val="084BAD62"/>
    <w:rsid w:val="0857C5EA"/>
    <w:rsid w:val="085987A5"/>
    <w:rsid w:val="0859F467"/>
    <w:rsid w:val="085B4BDB"/>
    <w:rsid w:val="085D594F"/>
    <w:rsid w:val="085F6BF6"/>
    <w:rsid w:val="0863455C"/>
    <w:rsid w:val="08640CEB"/>
    <w:rsid w:val="0867E351"/>
    <w:rsid w:val="0869B60B"/>
    <w:rsid w:val="086C4AAA"/>
    <w:rsid w:val="08786077"/>
    <w:rsid w:val="087A33F3"/>
    <w:rsid w:val="087AE734"/>
    <w:rsid w:val="087BC5F2"/>
    <w:rsid w:val="087ECE06"/>
    <w:rsid w:val="087F9BFF"/>
    <w:rsid w:val="0887E795"/>
    <w:rsid w:val="088A656F"/>
    <w:rsid w:val="088AD3D6"/>
    <w:rsid w:val="088F44B7"/>
    <w:rsid w:val="0890B0C2"/>
    <w:rsid w:val="08910701"/>
    <w:rsid w:val="0894D1EE"/>
    <w:rsid w:val="0895087E"/>
    <w:rsid w:val="08964761"/>
    <w:rsid w:val="08A26323"/>
    <w:rsid w:val="08A5CC1F"/>
    <w:rsid w:val="08A91AC1"/>
    <w:rsid w:val="08A996B2"/>
    <w:rsid w:val="08B09D1C"/>
    <w:rsid w:val="08B0CCAA"/>
    <w:rsid w:val="08B52908"/>
    <w:rsid w:val="08B951D0"/>
    <w:rsid w:val="08C188EE"/>
    <w:rsid w:val="08C1F8F1"/>
    <w:rsid w:val="08C2526C"/>
    <w:rsid w:val="08C3B6A5"/>
    <w:rsid w:val="08C59436"/>
    <w:rsid w:val="08CD0AE5"/>
    <w:rsid w:val="08CD5D34"/>
    <w:rsid w:val="08CDD038"/>
    <w:rsid w:val="08D57377"/>
    <w:rsid w:val="08DC503E"/>
    <w:rsid w:val="08DCD016"/>
    <w:rsid w:val="08E1F4FC"/>
    <w:rsid w:val="08E5652C"/>
    <w:rsid w:val="08E668F9"/>
    <w:rsid w:val="08E776A4"/>
    <w:rsid w:val="08E847C1"/>
    <w:rsid w:val="08E9798D"/>
    <w:rsid w:val="08E9C840"/>
    <w:rsid w:val="08ED820E"/>
    <w:rsid w:val="08EFB245"/>
    <w:rsid w:val="08F3D47A"/>
    <w:rsid w:val="08F3DB88"/>
    <w:rsid w:val="08F51475"/>
    <w:rsid w:val="08F5B940"/>
    <w:rsid w:val="08FE34B4"/>
    <w:rsid w:val="09008FE9"/>
    <w:rsid w:val="0901103D"/>
    <w:rsid w:val="0901E84D"/>
    <w:rsid w:val="0905D99F"/>
    <w:rsid w:val="090CBE9D"/>
    <w:rsid w:val="090DE25E"/>
    <w:rsid w:val="0915C151"/>
    <w:rsid w:val="09172728"/>
    <w:rsid w:val="091A06E8"/>
    <w:rsid w:val="091D6E41"/>
    <w:rsid w:val="091E5A12"/>
    <w:rsid w:val="091E95E7"/>
    <w:rsid w:val="091F43C4"/>
    <w:rsid w:val="0922CD8F"/>
    <w:rsid w:val="0926843D"/>
    <w:rsid w:val="09293A31"/>
    <w:rsid w:val="092DFF4D"/>
    <w:rsid w:val="092ECFE0"/>
    <w:rsid w:val="0931D182"/>
    <w:rsid w:val="093202D7"/>
    <w:rsid w:val="0940DC3F"/>
    <w:rsid w:val="0942D1EB"/>
    <w:rsid w:val="094490C9"/>
    <w:rsid w:val="0944D7CA"/>
    <w:rsid w:val="094E9F48"/>
    <w:rsid w:val="0953DFAA"/>
    <w:rsid w:val="095682C1"/>
    <w:rsid w:val="09572EE0"/>
    <w:rsid w:val="0959493E"/>
    <w:rsid w:val="095B77DB"/>
    <w:rsid w:val="0963327F"/>
    <w:rsid w:val="09655213"/>
    <w:rsid w:val="096C1E3B"/>
    <w:rsid w:val="096CC29E"/>
    <w:rsid w:val="096FA69A"/>
    <w:rsid w:val="0972FB68"/>
    <w:rsid w:val="097B54E8"/>
    <w:rsid w:val="097DC7DD"/>
    <w:rsid w:val="09805732"/>
    <w:rsid w:val="098346A3"/>
    <w:rsid w:val="098AAF73"/>
    <w:rsid w:val="098F4F18"/>
    <w:rsid w:val="098F885F"/>
    <w:rsid w:val="0990CDAC"/>
    <w:rsid w:val="09911DCD"/>
    <w:rsid w:val="0992FA31"/>
    <w:rsid w:val="099723CA"/>
    <w:rsid w:val="09997EBE"/>
    <w:rsid w:val="099B1994"/>
    <w:rsid w:val="099ECCCD"/>
    <w:rsid w:val="09A089EF"/>
    <w:rsid w:val="09A644DB"/>
    <w:rsid w:val="09A6B146"/>
    <w:rsid w:val="09A6D07E"/>
    <w:rsid w:val="09AF396B"/>
    <w:rsid w:val="09B4EE79"/>
    <w:rsid w:val="09C06ED3"/>
    <w:rsid w:val="09C3DE59"/>
    <w:rsid w:val="09CA0917"/>
    <w:rsid w:val="09CB9D03"/>
    <w:rsid w:val="09CCE81D"/>
    <w:rsid w:val="09CE4F47"/>
    <w:rsid w:val="09D488D9"/>
    <w:rsid w:val="09DB5366"/>
    <w:rsid w:val="09DD478E"/>
    <w:rsid w:val="09DD7FC8"/>
    <w:rsid w:val="09E046D2"/>
    <w:rsid w:val="09E421B9"/>
    <w:rsid w:val="09E4907B"/>
    <w:rsid w:val="09E81126"/>
    <w:rsid w:val="09EBD1E6"/>
    <w:rsid w:val="09EBEA6C"/>
    <w:rsid w:val="09EDC1DD"/>
    <w:rsid w:val="09EF25A0"/>
    <w:rsid w:val="09EF2EC7"/>
    <w:rsid w:val="09F13AE0"/>
    <w:rsid w:val="09F71C3C"/>
    <w:rsid w:val="09F8879A"/>
    <w:rsid w:val="09F99B3D"/>
    <w:rsid w:val="0A04487C"/>
    <w:rsid w:val="0A0B8665"/>
    <w:rsid w:val="0A0F8A55"/>
    <w:rsid w:val="0A12C8C3"/>
    <w:rsid w:val="0A153DE0"/>
    <w:rsid w:val="0A18312D"/>
    <w:rsid w:val="0A3280C9"/>
    <w:rsid w:val="0A353BDA"/>
    <w:rsid w:val="0A3B1BBE"/>
    <w:rsid w:val="0A3B9B20"/>
    <w:rsid w:val="0A3C9893"/>
    <w:rsid w:val="0A3D8A05"/>
    <w:rsid w:val="0A3E76E5"/>
    <w:rsid w:val="0A40BB2D"/>
    <w:rsid w:val="0A4299F3"/>
    <w:rsid w:val="0A430C1E"/>
    <w:rsid w:val="0A465195"/>
    <w:rsid w:val="0A465284"/>
    <w:rsid w:val="0A46DCD6"/>
    <w:rsid w:val="0A46FAFE"/>
    <w:rsid w:val="0A4889FE"/>
    <w:rsid w:val="0A4A6302"/>
    <w:rsid w:val="0A4B048C"/>
    <w:rsid w:val="0A4BB44D"/>
    <w:rsid w:val="0A4DF01D"/>
    <w:rsid w:val="0A4E154A"/>
    <w:rsid w:val="0A4E8622"/>
    <w:rsid w:val="0A4F124D"/>
    <w:rsid w:val="0A527BFE"/>
    <w:rsid w:val="0A5A45A3"/>
    <w:rsid w:val="0A5E37FA"/>
    <w:rsid w:val="0A5FAD13"/>
    <w:rsid w:val="0A65F3EF"/>
    <w:rsid w:val="0A6E5EDB"/>
    <w:rsid w:val="0A7069C7"/>
    <w:rsid w:val="0A73C904"/>
    <w:rsid w:val="0A78BACC"/>
    <w:rsid w:val="0A8252F6"/>
    <w:rsid w:val="0A835DC8"/>
    <w:rsid w:val="0A8BD815"/>
    <w:rsid w:val="0A90E58E"/>
    <w:rsid w:val="0A92C06C"/>
    <w:rsid w:val="0A935055"/>
    <w:rsid w:val="0A93B79D"/>
    <w:rsid w:val="0AA0E308"/>
    <w:rsid w:val="0AA52606"/>
    <w:rsid w:val="0AA96B37"/>
    <w:rsid w:val="0AAC2CE3"/>
    <w:rsid w:val="0AAFA208"/>
    <w:rsid w:val="0AB00031"/>
    <w:rsid w:val="0ABB138E"/>
    <w:rsid w:val="0AC1B366"/>
    <w:rsid w:val="0AC51C57"/>
    <w:rsid w:val="0AC85460"/>
    <w:rsid w:val="0AC8FA04"/>
    <w:rsid w:val="0AC9AEB7"/>
    <w:rsid w:val="0AD1B2CC"/>
    <w:rsid w:val="0AD3C4BF"/>
    <w:rsid w:val="0AD811DF"/>
    <w:rsid w:val="0AD87672"/>
    <w:rsid w:val="0ADFAECE"/>
    <w:rsid w:val="0AE0A012"/>
    <w:rsid w:val="0AE407E7"/>
    <w:rsid w:val="0AE6ACFB"/>
    <w:rsid w:val="0AF26277"/>
    <w:rsid w:val="0AF3B3D8"/>
    <w:rsid w:val="0AF46ACB"/>
    <w:rsid w:val="0AF84185"/>
    <w:rsid w:val="0AFEC5C1"/>
    <w:rsid w:val="0B03E74B"/>
    <w:rsid w:val="0B049353"/>
    <w:rsid w:val="0B050947"/>
    <w:rsid w:val="0B0FD253"/>
    <w:rsid w:val="0B105D5E"/>
    <w:rsid w:val="0B1075BC"/>
    <w:rsid w:val="0B1457BA"/>
    <w:rsid w:val="0B17CF3A"/>
    <w:rsid w:val="0B1A54FC"/>
    <w:rsid w:val="0B1C21DD"/>
    <w:rsid w:val="0B1F741E"/>
    <w:rsid w:val="0B2238CC"/>
    <w:rsid w:val="0B233807"/>
    <w:rsid w:val="0B26C69E"/>
    <w:rsid w:val="0B27B91B"/>
    <w:rsid w:val="0B308D88"/>
    <w:rsid w:val="0B31F676"/>
    <w:rsid w:val="0B3AE648"/>
    <w:rsid w:val="0B3E3645"/>
    <w:rsid w:val="0B4B5397"/>
    <w:rsid w:val="0B4BE61D"/>
    <w:rsid w:val="0B50C9E5"/>
    <w:rsid w:val="0B53AB51"/>
    <w:rsid w:val="0B5895C3"/>
    <w:rsid w:val="0B5952E3"/>
    <w:rsid w:val="0B6109A0"/>
    <w:rsid w:val="0B61FEE5"/>
    <w:rsid w:val="0B63934B"/>
    <w:rsid w:val="0B64FADE"/>
    <w:rsid w:val="0B653E5F"/>
    <w:rsid w:val="0B6B0F91"/>
    <w:rsid w:val="0B6C08A6"/>
    <w:rsid w:val="0B6C4871"/>
    <w:rsid w:val="0B6D92F0"/>
    <w:rsid w:val="0B75FE56"/>
    <w:rsid w:val="0B8768E1"/>
    <w:rsid w:val="0B8C4759"/>
    <w:rsid w:val="0B8EDF03"/>
    <w:rsid w:val="0B92D305"/>
    <w:rsid w:val="0B954E0C"/>
    <w:rsid w:val="0B96B72E"/>
    <w:rsid w:val="0BAFE5A4"/>
    <w:rsid w:val="0BB691D7"/>
    <w:rsid w:val="0BB91BFF"/>
    <w:rsid w:val="0BB9A7D8"/>
    <w:rsid w:val="0BBD7E83"/>
    <w:rsid w:val="0BBDEB90"/>
    <w:rsid w:val="0BBF4866"/>
    <w:rsid w:val="0BBFA5B6"/>
    <w:rsid w:val="0BC7A085"/>
    <w:rsid w:val="0BCAB9C2"/>
    <w:rsid w:val="0BD6A9B4"/>
    <w:rsid w:val="0BD6C192"/>
    <w:rsid w:val="0BD987BD"/>
    <w:rsid w:val="0BDA6C39"/>
    <w:rsid w:val="0BDC8B8E"/>
    <w:rsid w:val="0BE3D012"/>
    <w:rsid w:val="0BE5E2D2"/>
    <w:rsid w:val="0BE62EB8"/>
    <w:rsid w:val="0BE76F6F"/>
    <w:rsid w:val="0BE87A60"/>
    <w:rsid w:val="0BE9526F"/>
    <w:rsid w:val="0BECCC25"/>
    <w:rsid w:val="0BEF7A03"/>
    <w:rsid w:val="0BF2D704"/>
    <w:rsid w:val="0BF58D27"/>
    <w:rsid w:val="0BF7E21E"/>
    <w:rsid w:val="0BFDA7DB"/>
    <w:rsid w:val="0C0151CD"/>
    <w:rsid w:val="0C01CC1A"/>
    <w:rsid w:val="0C0A109F"/>
    <w:rsid w:val="0C129631"/>
    <w:rsid w:val="0C138285"/>
    <w:rsid w:val="0C1AF3AA"/>
    <w:rsid w:val="0C1C3F43"/>
    <w:rsid w:val="0C1F412F"/>
    <w:rsid w:val="0C214055"/>
    <w:rsid w:val="0C237334"/>
    <w:rsid w:val="0C281030"/>
    <w:rsid w:val="0C2946C0"/>
    <w:rsid w:val="0C2B4988"/>
    <w:rsid w:val="0C2D12E2"/>
    <w:rsid w:val="0C308AC6"/>
    <w:rsid w:val="0C3FEAAA"/>
    <w:rsid w:val="0C46463D"/>
    <w:rsid w:val="0C472213"/>
    <w:rsid w:val="0C4A49F4"/>
    <w:rsid w:val="0C50C6AF"/>
    <w:rsid w:val="0C53C76B"/>
    <w:rsid w:val="0C5C0960"/>
    <w:rsid w:val="0C5ED2DD"/>
    <w:rsid w:val="0C613FCC"/>
    <w:rsid w:val="0C64393E"/>
    <w:rsid w:val="0C652AE3"/>
    <w:rsid w:val="0C66145E"/>
    <w:rsid w:val="0C6CDD72"/>
    <w:rsid w:val="0C733952"/>
    <w:rsid w:val="0C780A15"/>
    <w:rsid w:val="0C7C318B"/>
    <w:rsid w:val="0C7C8127"/>
    <w:rsid w:val="0C8E1671"/>
    <w:rsid w:val="0C9555D2"/>
    <w:rsid w:val="0C98400E"/>
    <w:rsid w:val="0C9A2AD0"/>
    <w:rsid w:val="0CA3569E"/>
    <w:rsid w:val="0CA6A8BD"/>
    <w:rsid w:val="0CA7301C"/>
    <w:rsid w:val="0CB0D75B"/>
    <w:rsid w:val="0CB5AE1A"/>
    <w:rsid w:val="0CB9D63B"/>
    <w:rsid w:val="0CB9DDF7"/>
    <w:rsid w:val="0CBE7B0D"/>
    <w:rsid w:val="0CC20EB9"/>
    <w:rsid w:val="0CCA39FF"/>
    <w:rsid w:val="0CCA84A5"/>
    <w:rsid w:val="0CCB0117"/>
    <w:rsid w:val="0CCDE0C8"/>
    <w:rsid w:val="0CD5954B"/>
    <w:rsid w:val="0CD5D80C"/>
    <w:rsid w:val="0CDD4C1C"/>
    <w:rsid w:val="0CDDF2C6"/>
    <w:rsid w:val="0CDE1911"/>
    <w:rsid w:val="0CDEEF1B"/>
    <w:rsid w:val="0CDFDB91"/>
    <w:rsid w:val="0CE27358"/>
    <w:rsid w:val="0CE2A329"/>
    <w:rsid w:val="0CE5A957"/>
    <w:rsid w:val="0CEDEBBA"/>
    <w:rsid w:val="0CEE0860"/>
    <w:rsid w:val="0CF5EB76"/>
    <w:rsid w:val="0CF62159"/>
    <w:rsid w:val="0CFF746E"/>
    <w:rsid w:val="0D0947EB"/>
    <w:rsid w:val="0D0E9923"/>
    <w:rsid w:val="0D0F3A0F"/>
    <w:rsid w:val="0D158498"/>
    <w:rsid w:val="0D197839"/>
    <w:rsid w:val="0D1BC45E"/>
    <w:rsid w:val="0D1E5D51"/>
    <w:rsid w:val="0D23D209"/>
    <w:rsid w:val="0D3170E5"/>
    <w:rsid w:val="0D3345E0"/>
    <w:rsid w:val="0D349C6A"/>
    <w:rsid w:val="0D35EB70"/>
    <w:rsid w:val="0D3885DE"/>
    <w:rsid w:val="0D402684"/>
    <w:rsid w:val="0D436702"/>
    <w:rsid w:val="0D4AA3C0"/>
    <w:rsid w:val="0D4EA49C"/>
    <w:rsid w:val="0D518FAB"/>
    <w:rsid w:val="0D51B0C7"/>
    <w:rsid w:val="0D55A619"/>
    <w:rsid w:val="0D57F979"/>
    <w:rsid w:val="0D5AC114"/>
    <w:rsid w:val="0D5D923C"/>
    <w:rsid w:val="0D5F0A0C"/>
    <w:rsid w:val="0D63B1CD"/>
    <w:rsid w:val="0D6669EB"/>
    <w:rsid w:val="0D6E40CB"/>
    <w:rsid w:val="0D704693"/>
    <w:rsid w:val="0D72AFED"/>
    <w:rsid w:val="0D73F881"/>
    <w:rsid w:val="0D74E34A"/>
    <w:rsid w:val="0D7BABAD"/>
    <w:rsid w:val="0D811AD4"/>
    <w:rsid w:val="0D835FBE"/>
    <w:rsid w:val="0D87DC80"/>
    <w:rsid w:val="0D89E093"/>
    <w:rsid w:val="0D99352D"/>
    <w:rsid w:val="0D9B28A0"/>
    <w:rsid w:val="0D9CD38D"/>
    <w:rsid w:val="0DA2F47C"/>
    <w:rsid w:val="0DA9E0EE"/>
    <w:rsid w:val="0DAC3651"/>
    <w:rsid w:val="0DAE959B"/>
    <w:rsid w:val="0DB3D571"/>
    <w:rsid w:val="0DB63C4A"/>
    <w:rsid w:val="0DB6A872"/>
    <w:rsid w:val="0DC07D87"/>
    <w:rsid w:val="0DC07FD3"/>
    <w:rsid w:val="0DC08196"/>
    <w:rsid w:val="0DC3B72E"/>
    <w:rsid w:val="0DC58A24"/>
    <w:rsid w:val="0DC7945A"/>
    <w:rsid w:val="0DC977BB"/>
    <w:rsid w:val="0DD2B458"/>
    <w:rsid w:val="0DD48989"/>
    <w:rsid w:val="0DD77E58"/>
    <w:rsid w:val="0DD9CF61"/>
    <w:rsid w:val="0DDB0D77"/>
    <w:rsid w:val="0DE5DD29"/>
    <w:rsid w:val="0DE659B2"/>
    <w:rsid w:val="0DEF73DB"/>
    <w:rsid w:val="0DF63092"/>
    <w:rsid w:val="0DFAADFC"/>
    <w:rsid w:val="0E01E25A"/>
    <w:rsid w:val="0E0FB5A3"/>
    <w:rsid w:val="0E17D706"/>
    <w:rsid w:val="0E1C4276"/>
    <w:rsid w:val="0E23B253"/>
    <w:rsid w:val="0E2EAECB"/>
    <w:rsid w:val="0E2EEC10"/>
    <w:rsid w:val="0E300EE0"/>
    <w:rsid w:val="0E300EEA"/>
    <w:rsid w:val="0E35842C"/>
    <w:rsid w:val="0E3C4DAB"/>
    <w:rsid w:val="0E3E5469"/>
    <w:rsid w:val="0E41400B"/>
    <w:rsid w:val="0E49FB05"/>
    <w:rsid w:val="0E4A91C3"/>
    <w:rsid w:val="0E50223B"/>
    <w:rsid w:val="0E5D85BF"/>
    <w:rsid w:val="0E62480A"/>
    <w:rsid w:val="0E66C78D"/>
    <w:rsid w:val="0E66DE01"/>
    <w:rsid w:val="0E69E575"/>
    <w:rsid w:val="0E6ABC6A"/>
    <w:rsid w:val="0E6B0AB2"/>
    <w:rsid w:val="0E776F45"/>
    <w:rsid w:val="0E80E07A"/>
    <w:rsid w:val="0E8295A9"/>
    <w:rsid w:val="0E850B2F"/>
    <w:rsid w:val="0E893124"/>
    <w:rsid w:val="0E89A709"/>
    <w:rsid w:val="0E8B3E9D"/>
    <w:rsid w:val="0E8ED543"/>
    <w:rsid w:val="0E9188E1"/>
    <w:rsid w:val="0E91A2F4"/>
    <w:rsid w:val="0E9503F4"/>
    <w:rsid w:val="0E971E2D"/>
    <w:rsid w:val="0E9781F6"/>
    <w:rsid w:val="0E979DE9"/>
    <w:rsid w:val="0E9A93A3"/>
    <w:rsid w:val="0E9E8754"/>
    <w:rsid w:val="0EA293A0"/>
    <w:rsid w:val="0EA8FC61"/>
    <w:rsid w:val="0EB1EEB6"/>
    <w:rsid w:val="0EB7320F"/>
    <w:rsid w:val="0EBF3BD8"/>
    <w:rsid w:val="0EC1A78C"/>
    <w:rsid w:val="0EC20A07"/>
    <w:rsid w:val="0ED84B00"/>
    <w:rsid w:val="0ED89193"/>
    <w:rsid w:val="0EDB6F22"/>
    <w:rsid w:val="0EDC73FF"/>
    <w:rsid w:val="0EE21318"/>
    <w:rsid w:val="0EE91640"/>
    <w:rsid w:val="0EE9731F"/>
    <w:rsid w:val="0EEB172D"/>
    <w:rsid w:val="0EF480B0"/>
    <w:rsid w:val="0EF7E9D4"/>
    <w:rsid w:val="0EF9135C"/>
    <w:rsid w:val="0EFD2926"/>
    <w:rsid w:val="0F0092DC"/>
    <w:rsid w:val="0F0290D5"/>
    <w:rsid w:val="0F0323EF"/>
    <w:rsid w:val="0F038C02"/>
    <w:rsid w:val="0F04174E"/>
    <w:rsid w:val="0F06A4C9"/>
    <w:rsid w:val="0F0A4662"/>
    <w:rsid w:val="0F0C3909"/>
    <w:rsid w:val="0F0E8CE1"/>
    <w:rsid w:val="0F0F12CE"/>
    <w:rsid w:val="0F0FD595"/>
    <w:rsid w:val="0F16CEC7"/>
    <w:rsid w:val="0F186B48"/>
    <w:rsid w:val="0F1D5CDA"/>
    <w:rsid w:val="0F20238B"/>
    <w:rsid w:val="0F27AA95"/>
    <w:rsid w:val="0F297ED5"/>
    <w:rsid w:val="0F323274"/>
    <w:rsid w:val="0F324DDF"/>
    <w:rsid w:val="0F357B82"/>
    <w:rsid w:val="0F38BCC7"/>
    <w:rsid w:val="0F3D06DC"/>
    <w:rsid w:val="0F424867"/>
    <w:rsid w:val="0F457717"/>
    <w:rsid w:val="0F480C65"/>
    <w:rsid w:val="0F4D8882"/>
    <w:rsid w:val="0F4E91A3"/>
    <w:rsid w:val="0F4FA39F"/>
    <w:rsid w:val="0F544FAA"/>
    <w:rsid w:val="0F5A19A0"/>
    <w:rsid w:val="0F632DA6"/>
    <w:rsid w:val="0F675D4B"/>
    <w:rsid w:val="0F67BE05"/>
    <w:rsid w:val="0F69EAEA"/>
    <w:rsid w:val="0F6EC586"/>
    <w:rsid w:val="0F722954"/>
    <w:rsid w:val="0F74374D"/>
    <w:rsid w:val="0F7C35E5"/>
    <w:rsid w:val="0F7DF7C8"/>
    <w:rsid w:val="0F7F682B"/>
    <w:rsid w:val="0F811459"/>
    <w:rsid w:val="0F85768F"/>
    <w:rsid w:val="0F943708"/>
    <w:rsid w:val="0F9BD9B2"/>
    <w:rsid w:val="0FA6857B"/>
    <w:rsid w:val="0FA856F1"/>
    <w:rsid w:val="0FA92A0B"/>
    <w:rsid w:val="0FAA125F"/>
    <w:rsid w:val="0FACA1F2"/>
    <w:rsid w:val="0FADD393"/>
    <w:rsid w:val="0FB1924A"/>
    <w:rsid w:val="0FB3C1E3"/>
    <w:rsid w:val="0FC2041A"/>
    <w:rsid w:val="0FC943A2"/>
    <w:rsid w:val="0FCC41B1"/>
    <w:rsid w:val="0FD1D97E"/>
    <w:rsid w:val="0FF94022"/>
    <w:rsid w:val="0FF9C0BD"/>
    <w:rsid w:val="10015F53"/>
    <w:rsid w:val="1001B1C5"/>
    <w:rsid w:val="100CEC70"/>
    <w:rsid w:val="100EFB14"/>
    <w:rsid w:val="101740C8"/>
    <w:rsid w:val="101D8F07"/>
    <w:rsid w:val="10231464"/>
    <w:rsid w:val="1028470F"/>
    <w:rsid w:val="102AAD0F"/>
    <w:rsid w:val="1033336E"/>
    <w:rsid w:val="1037378F"/>
    <w:rsid w:val="103D4004"/>
    <w:rsid w:val="104231C8"/>
    <w:rsid w:val="10484089"/>
    <w:rsid w:val="104B0841"/>
    <w:rsid w:val="10512205"/>
    <w:rsid w:val="10599950"/>
    <w:rsid w:val="105A90A8"/>
    <w:rsid w:val="105D29D5"/>
    <w:rsid w:val="1060E9EA"/>
    <w:rsid w:val="1063AA03"/>
    <w:rsid w:val="1067B8F0"/>
    <w:rsid w:val="10687743"/>
    <w:rsid w:val="1069B2E3"/>
    <w:rsid w:val="106A24CE"/>
    <w:rsid w:val="10715153"/>
    <w:rsid w:val="107EF389"/>
    <w:rsid w:val="108268FF"/>
    <w:rsid w:val="108B0E93"/>
    <w:rsid w:val="1093350E"/>
    <w:rsid w:val="1099D69E"/>
    <w:rsid w:val="10A3B23F"/>
    <w:rsid w:val="10A3DE54"/>
    <w:rsid w:val="10AA8A66"/>
    <w:rsid w:val="10AE797C"/>
    <w:rsid w:val="10B80C4A"/>
    <w:rsid w:val="10B83D81"/>
    <w:rsid w:val="10B92F0A"/>
    <w:rsid w:val="10BCD752"/>
    <w:rsid w:val="10BD445D"/>
    <w:rsid w:val="10BE53D1"/>
    <w:rsid w:val="10BE9FDE"/>
    <w:rsid w:val="10C83F1E"/>
    <w:rsid w:val="10CDEFEB"/>
    <w:rsid w:val="10D12768"/>
    <w:rsid w:val="10D5E955"/>
    <w:rsid w:val="10D810F4"/>
    <w:rsid w:val="10DB4B2C"/>
    <w:rsid w:val="10DD431B"/>
    <w:rsid w:val="10DECEB6"/>
    <w:rsid w:val="10E64B5A"/>
    <w:rsid w:val="10EAF5F4"/>
    <w:rsid w:val="10F0256A"/>
    <w:rsid w:val="10F2886A"/>
    <w:rsid w:val="11058242"/>
    <w:rsid w:val="11111FF1"/>
    <w:rsid w:val="11144839"/>
    <w:rsid w:val="1118DDF7"/>
    <w:rsid w:val="111AC32B"/>
    <w:rsid w:val="11212155"/>
    <w:rsid w:val="1122D226"/>
    <w:rsid w:val="11296C28"/>
    <w:rsid w:val="11327C40"/>
    <w:rsid w:val="113B6074"/>
    <w:rsid w:val="1144F561"/>
    <w:rsid w:val="1145BCED"/>
    <w:rsid w:val="114B991E"/>
    <w:rsid w:val="115173F4"/>
    <w:rsid w:val="1151FA15"/>
    <w:rsid w:val="1156A28E"/>
    <w:rsid w:val="11583F78"/>
    <w:rsid w:val="115D88CC"/>
    <w:rsid w:val="115F2158"/>
    <w:rsid w:val="115F2972"/>
    <w:rsid w:val="11698DD6"/>
    <w:rsid w:val="1175D82A"/>
    <w:rsid w:val="1179E077"/>
    <w:rsid w:val="117BC28C"/>
    <w:rsid w:val="1181225C"/>
    <w:rsid w:val="11830303"/>
    <w:rsid w:val="118D7210"/>
    <w:rsid w:val="11913876"/>
    <w:rsid w:val="11A5BD11"/>
    <w:rsid w:val="11A6CA5A"/>
    <w:rsid w:val="11A72384"/>
    <w:rsid w:val="11AE3DF1"/>
    <w:rsid w:val="11AF16BB"/>
    <w:rsid w:val="11AF7930"/>
    <w:rsid w:val="11B0120D"/>
    <w:rsid w:val="11C52DA0"/>
    <w:rsid w:val="11C96444"/>
    <w:rsid w:val="11CFCF00"/>
    <w:rsid w:val="11D28B58"/>
    <w:rsid w:val="11D2B45A"/>
    <w:rsid w:val="11D3868D"/>
    <w:rsid w:val="11D5E91B"/>
    <w:rsid w:val="11D675A0"/>
    <w:rsid w:val="11D874D2"/>
    <w:rsid w:val="11DC5FD0"/>
    <w:rsid w:val="11DD7608"/>
    <w:rsid w:val="11DE06C2"/>
    <w:rsid w:val="11E8324B"/>
    <w:rsid w:val="11E9A5A3"/>
    <w:rsid w:val="11F250D0"/>
    <w:rsid w:val="11F2D332"/>
    <w:rsid w:val="11F73694"/>
    <w:rsid w:val="11F75F5F"/>
    <w:rsid w:val="11FA5899"/>
    <w:rsid w:val="11FC61ED"/>
    <w:rsid w:val="11FD0FBF"/>
    <w:rsid w:val="120822AB"/>
    <w:rsid w:val="120B7805"/>
    <w:rsid w:val="120E519D"/>
    <w:rsid w:val="12117E0A"/>
    <w:rsid w:val="12138246"/>
    <w:rsid w:val="1219A77A"/>
    <w:rsid w:val="121CEE5C"/>
    <w:rsid w:val="121DE2AC"/>
    <w:rsid w:val="12241CAA"/>
    <w:rsid w:val="122857A9"/>
    <w:rsid w:val="122D06CA"/>
    <w:rsid w:val="122DE52F"/>
    <w:rsid w:val="1236EAE9"/>
    <w:rsid w:val="123B6B1E"/>
    <w:rsid w:val="123CEE14"/>
    <w:rsid w:val="123D6119"/>
    <w:rsid w:val="123F6FED"/>
    <w:rsid w:val="124421E0"/>
    <w:rsid w:val="124DB24A"/>
    <w:rsid w:val="1254F630"/>
    <w:rsid w:val="12562442"/>
    <w:rsid w:val="125ADF09"/>
    <w:rsid w:val="1260E3DA"/>
    <w:rsid w:val="12619CA6"/>
    <w:rsid w:val="12657C8D"/>
    <w:rsid w:val="1266035A"/>
    <w:rsid w:val="1268CADA"/>
    <w:rsid w:val="126986F1"/>
    <w:rsid w:val="12729C4B"/>
    <w:rsid w:val="12764BFD"/>
    <w:rsid w:val="127A9F17"/>
    <w:rsid w:val="127C1FD5"/>
    <w:rsid w:val="127E2ABF"/>
    <w:rsid w:val="127F3756"/>
    <w:rsid w:val="128C4FA3"/>
    <w:rsid w:val="1292DB29"/>
    <w:rsid w:val="12931288"/>
    <w:rsid w:val="12A31E6F"/>
    <w:rsid w:val="12AB2570"/>
    <w:rsid w:val="12AD4EF0"/>
    <w:rsid w:val="12B927E7"/>
    <w:rsid w:val="12BB1216"/>
    <w:rsid w:val="12BB4137"/>
    <w:rsid w:val="12BB83B6"/>
    <w:rsid w:val="12BD3273"/>
    <w:rsid w:val="12C3E739"/>
    <w:rsid w:val="12C58FC3"/>
    <w:rsid w:val="12C5C655"/>
    <w:rsid w:val="12C66D80"/>
    <w:rsid w:val="12C689CB"/>
    <w:rsid w:val="12C9BA07"/>
    <w:rsid w:val="12CAAFEB"/>
    <w:rsid w:val="12CB5A98"/>
    <w:rsid w:val="12CDDC48"/>
    <w:rsid w:val="12D21AAF"/>
    <w:rsid w:val="12D3F164"/>
    <w:rsid w:val="12D7A94E"/>
    <w:rsid w:val="12F01E81"/>
    <w:rsid w:val="12F09387"/>
    <w:rsid w:val="12F177A7"/>
    <w:rsid w:val="12F540E1"/>
    <w:rsid w:val="12F6D399"/>
    <w:rsid w:val="12F860A3"/>
    <w:rsid w:val="12FBBE21"/>
    <w:rsid w:val="12FFADCE"/>
    <w:rsid w:val="130C85B1"/>
    <w:rsid w:val="13150E68"/>
    <w:rsid w:val="13202483"/>
    <w:rsid w:val="1322D4FE"/>
    <w:rsid w:val="13269699"/>
    <w:rsid w:val="132C3D56"/>
    <w:rsid w:val="132CCC07"/>
    <w:rsid w:val="132DF572"/>
    <w:rsid w:val="132E0FAF"/>
    <w:rsid w:val="13314344"/>
    <w:rsid w:val="13323558"/>
    <w:rsid w:val="133359A2"/>
    <w:rsid w:val="133A7417"/>
    <w:rsid w:val="133E600F"/>
    <w:rsid w:val="133F3E56"/>
    <w:rsid w:val="134A7E3F"/>
    <w:rsid w:val="134E2A5E"/>
    <w:rsid w:val="13539D57"/>
    <w:rsid w:val="1353B7B2"/>
    <w:rsid w:val="135B1EEB"/>
    <w:rsid w:val="135C783E"/>
    <w:rsid w:val="135C8455"/>
    <w:rsid w:val="136641A7"/>
    <w:rsid w:val="1368A09F"/>
    <w:rsid w:val="136A35C2"/>
    <w:rsid w:val="13769B95"/>
    <w:rsid w:val="1376CDBB"/>
    <w:rsid w:val="1378E559"/>
    <w:rsid w:val="13795253"/>
    <w:rsid w:val="1379909C"/>
    <w:rsid w:val="1379F95D"/>
    <w:rsid w:val="137E30E1"/>
    <w:rsid w:val="137F02F2"/>
    <w:rsid w:val="138075D0"/>
    <w:rsid w:val="13826C13"/>
    <w:rsid w:val="138B6B27"/>
    <w:rsid w:val="138E8D77"/>
    <w:rsid w:val="13917BDB"/>
    <w:rsid w:val="13931104"/>
    <w:rsid w:val="13A0C131"/>
    <w:rsid w:val="13A8C6E0"/>
    <w:rsid w:val="13ADB9D0"/>
    <w:rsid w:val="13AEE2FE"/>
    <w:rsid w:val="13B7BFA4"/>
    <w:rsid w:val="13BC9577"/>
    <w:rsid w:val="13BDCB66"/>
    <w:rsid w:val="13C0F623"/>
    <w:rsid w:val="13C5C9B4"/>
    <w:rsid w:val="13C81B0B"/>
    <w:rsid w:val="13D503A8"/>
    <w:rsid w:val="13E058D9"/>
    <w:rsid w:val="13E172EA"/>
    <w:rsid w:val="13E9EB8A"/>
    <w:rsid w:val="13EBEEF8"/>
    <w:rsid w:val="13EDFB1D"/>
    <w:rsid w:val="13F28BB9"/>
    <w:rsid w:val="13F32366"/>
    <w:rsid w:val="13F394AE"/>
    <w:rsid w:val="13FF96B8"/>
    <w:rsid w:val="14089076"/>
    <w:rsid w:val="140B0AE5"/>
    <w:rsid w:val="14129F5E"/>
    <w:rsid w:val="1414C616"/>
    <w:rsid w:val="141BC184"/>
    <w:rsid w:val="141E8F17"/>
    <w:rsid w:val="14242A61"/>
    <w:rsid w:val="142D977F"/>
    <w:rsid w:val="1435A3DD"/>
    <w:rsid w:val="143FD587"/>
    <w:rsid w:val="14491F51"/>
    <w:rsid w:val="144E14E3"/>
    <w:rsid w:val="1454889D"/>
    <w:rsid w:val="1457A1C4"/>
    <w:rsid w:val="145B140C"/>
    <w:rsid w:val="145CF72E"/>
    <w:rsid w:val="145FF57F"/>
    <w:rsid w:val="146192CA"/>
    <w:rsid w:val="1461E7AB"/>
    <w:rsid w:val="14690CA1"/>
    <w:rsid w:val="146983C3"/>
    <w:rsid w:val="14698D97"/>
    <w:rsid w:val="146C42D9"/>
    <w:rsid w:val="14761EE4"/>
    <w:rsid w:val="14765252"/>
    <w:rsid w:val="147F0BFB"/>
    <w:rsid w:val="1480FAC0"/>
    <w:rsid w:val="14849E2D"/>
    <w:rsid w:val="148ACCB5"/>
    <w:rsid w:val="148D65B4"/>
    <w:rsid w:val="148E0D62"/>
    <w:rsid w:val="1499A7AF"/>
    <w:rsid w:val="149C1A90"/>
    <w:rsid w:val="149C5D68"/>
    <w:rsid w:val="14A3D90D"/>
    <w:rsid w:val="14A8F1BF"/>
    <w:rsid w:val="14A9EB79"/>
    <w:rsid w:val="14B281B5"/>
    <w:rsid w:val="14B86976"/>
    <w:rsid w:val="14BD8C41"/>
    <w:rsid w:val="14C1A5FF"/>
    <w:rsid w:val="14C68D8F"/>
    <w:rsid w:val="14CC1905"/>
    <w:rsid w:val="14D29AF7"/>
    <w:rsid w:val="14D9AD4F"/>
    <w:rsid w:val="14DEE76C"/>
    <w:rsid w:val="14E6E724"/>
    <w:rsid w:val="14E92571"/>
    <w:rsid w:val="14E94501"/>
    <w:rsid w:val="14E9E616"/>
    <w:rsid w:val="14EA59F8"/>
    <w:rsid w:val="14F008AC"/>
    <w:rsid w:val="14F2DCE2"/>
    <w:rsid w:val="14F727AC"/>
    <w:rsid w:val="1501E5B2"/>
    <w:rsid w:val="1501EAF1"/>
    <w:rsid w:val="15071DE2"/>
    <w:rsid w:val="1508CB3E"/>
    <w:rsid w:val="150B56C0"/>
    <w:rsid w:val="150CEB82"/>
    <w:rsid w:val="1510DE0B"/>
    <w:rsid w:val="1514E78E"/>
    <w:rsid w:val="15155CA9"/>
    <w:rsid w:val="1517C8CB"/>
    <w:rsid w:val="1519B873"/>
    <w:rsid w:val="15272DD0"/>
    <w:rsid w:val="152837DC"/>
    <w:rsid w:val="1529F192"/>
    <w:rsid w:val="152D5297"/>
    <w:rsid w:val="153F1B84"/>
    <w:rsid w:val="1540A4EE"/>
    <w:rsid w:val="1540EAAA"/>
    <w:rsid w:val="1541209D"/>
    <w:rsid w:val="1546A9A2"/>
    <w:rsid w:val="15496440"/>
    <w:rsid w:val="154B09B8"/>
    <w:rsid w:val="154BC8B6"/>
    <w:rsid w:val="154E2C83"/>
    <w:rsid w:val="1550C620"/>
    <w:rsid w:val="155552A2"/>
    <w:rsid w:val="1560EE5C"/>
    <w:rsid w:val="15656EAB"/>
    <w:rsid w:val="1569F95A"/>
    <w:rsid w:val="156A8D67"/>
    <w:rsid w:val="156BF2EE"/>
    <w:rsid w:val="156EF15D"/>
    <w:rsid w:val="1571BDAB"/>
    <w:rsid w:val="1574E032"/>
    <w:rsid w:val="157A65E0"/>
    <w:rsid w:val="15820D1A"/>
    <w:rsid w:val="15826CED"/>
    <w:rsid w:val="1585E6F5"/>
    <w:rsid w:val="15887F9A"/>
    <w:rsid w:val="158CB16C"/>
    <w:rsid w:val="1597357A"/>
    <w:rsid w:val="159A89FC"/>
    <w:rsid w:val="159CB347"/>
    <w:rsid w:val="159EACD4"/>
    <w:rsid w:val="15A1CCA2"/>
    <w:rsid w:val="15A71A19"/>
    <w:rsid w:val="15A7B981"/>
    <w:rsid w:val="15AE842B"/>
    <w:rsid w:val="15B1B620"/>
    <w:rsid w:val="15B639B7"/>
    <w:rsid w:val="15BD253F"/>
    <w:rsid w:val="15BF6995"/>
    <w:rsid w:val="15C1E7B1"/>
    <w:rsid w:val="15C400E6"/>
    <w:rsid w:val="15C7310B"/>
    <w:rsid w:val="15D2378B"/>
    <w:rsid w:val="15D2F854"/>
    <w:rsid w:val="15D60807"/>
    <w:rsid w:val="15D803DD"/>
    <w:rsid w:val="15D9F065"/>
    <w:rsid w:val="15DD64D4"/>
    <w:rsid w:val="15EAC84C"/>
    <w:rsid w:val="15F32478"/>
    <w:rsid w:val="15F448C6"/>
    <w:rsid w:val="15FFC18F"/>
    <w:rsid w:val="1606343A"/>
    <w:rsid w:val="160C438E"/>
    <w:rsid w:val="160D387D"/>
    <w:rsid w:val="160DB1B8"/>
    <w:rsid w:val="160F02AB"/>
    <w:rsid w:val="16129FF2"/>
    <w:rsid w:val="16192ED6"/>
    <w:rsid w:val="161C44A3"/>
    <w:rsid w:val="161C668E"/>
    <w:rsid w:val="161DFD2E"/>
    <w:rsid w:val="16230378"/>
    <w:rsid w:val="16272E4B"/>
    <w:rsid w:val="162BB09B"/>
    <w:rsid w:val="16317E78"/>
    <w:rsid w:val="1633A4C4"/>
    <w:rsid w:val="16340D65"/>
    <w:rsid w:val="163F967C"/>
    <w:rsid w:val="1642E379"/>
    <w:rsid w:val="16477537"/>
    <w:rsid w:val="1655FAE4"/>
    <w:rsid w:val="165868FB"/>
    <w:rsid w:val="165EBBBA"/>
    <w:rsid w:val="166409DF"/>
    <w:rsid w:val="16658AD4"/>
    <w:rsid w:val="166D1E56"/>
    <w:rsid w:val="166E0E77"/>
    <w:rsid w:val="16705FB6"/>
    <w:rsid w:val="16719158"/>
    <w:rsid w:val="1671FCEF"/>
    <w:rsid w:val="1673BE02"/>
    <w:rsid w:val="1676ED6A"/>
    <w:rsid w:val="167792B4"/>
    <w:rsid w:val="167B8BF7"/>
    <w:rsid w:val="1681D902"/>
    <w:rsid w:val="169124F8"/>
    <w:rsid w:val="169E1E8C"/>
    <w:rsid w:val="16A4F295"/>
    <w:rsid w:val="16A68F9D"/>
    <w:rsid w:val="16A8DC87"/>
    <w:rsid w:val="16ADC238"/>
    <w:rsid w:val="16AF2F23"/>
    <w:rsid w:val="16B9FBB4"/>
    <w:rsid w:val="16BA1B0C"/>
    <w:rsid w:val="16BABBC8"/>
    <w:rsid w:val="16BC00FB"/>
    <w:rsid w:val="16BD52E0"/>
    <w:rsid w:val="16C1D339"/>
    <w:rsid w:val="16C3CE5F"/>
    <w:rsid w:val="16C8275A"/>
    <w:rsid w:val="16C980FD"/>
    <w:rsid w:val="16CD5012"/>
    <w:rsid w:val="16D0DCBC"/>
    <w:rsid w:val="16D33977"/>
    <w:rsid w:val="16DC5B1E"/>
    <w:rsid w:val="16DF06D4"/>
    <w:rsid w:val="16E25FA3"/>
    <w:rsid w:val="16E43A0E"/>
    <w:rsid w:val="16E57304"/>
    <w:rsid w:val="16E7F4C8"/>
    <w:rsid w:val="16EFD0B4"/>
    <w:rsid w:val="16F05A9C"/>
    <w:rsid w:val="16F102AF"/>
    <w:rsid w:val="16F4716D"/>
    <w:rsid w:val="170B9644"/>
    <w:rsid w:val="170E124A"/>
    <w:rsid w:val="170E187B"/>
    <w:rsid w:val="170F1EB8"/>
    <w:rsid w:val="170F6AE7"/>
    <w:rsid w:val="17202835"/>
    <w:rsid w:val="172469C4"/>
    <w:rsid w:val="17271091"/>
    <w:rsid w:val="172BF591"/>
    <w:rsid w:val="1732E547"/>
    <w:rsid w:val="1735DCAE"/>
    <w:rsid w:val="1738C77C"/>
    <w:rsid w:val="173BBE04"/>
    <w:rsid w:val="17453AB4"/>
    <w:rsid w:val="174C6744"/>
    <w:rsid w:val="174D45DB"/>
    <w:rsid w:val="17506B85"/>
    <w:rsid w:val="17513B28"/>
    <w:rsid w:val="17569E0E"/>
    <w:rsid w:val="1759808B"/>
    <w:rsid w:val="175A7C08"/>
    <w:rsid w:val="17600BFB"/>
    <w:rsid w:val="1763DFB9"/>
    <w:rsid w:val="176A07C9"/>
    <w:rsid w:val="176A9009"/>
    <w:rsid w:val="176E4EF1"/>
    <w:rsid w:val="17772954"/>
    <w:rsid w:val="1777F978"/>
    <w:rsid w:val="177D043E"/>
    <w:rsid w:val="177D64AF"/>
    <w:rsid w:val="1785E537"/>
    <w:rsid w:val="1789A550"/>
    <w:rsid w:val="1795530C"/>
    <w:rsid w:val="1797FF18"/>
    <w:rsid w:val="17A55A42"/>
    <w:rsid w:val="17A70637"/>
    <w:rsid w:val="17A89B03"/>
    <w:rsid w:val="17ACB1A0"/>
    <w:rsid w:val="17B71DEB"/>
    <w:rsid w:val="17BAA7A9"/>
    <w:rsid w:val="17BF9418"/>
    <w:rsid w:val="17BFABB0"/>
    <w:rsid w:val="17C2EE7E"/>
    <w:rsid w:val="17C4F1ED"/>
    <w:rsid w:val="17C6728C"/>
    <w:rsid w:val="17C7B35A"/>
    <w:rsid w:val="17CD2E9B"/>
    <w:rsid w:val="17CEA19D"/>
    <w:rsid w:val="17CF243C"/>
    <w:rsid w:val="17D5CC0E"/>
    <w:rsid w:val="17DF1E7D"/>
    <w:rsid w:val="17F035E1"/>
    <w:rsid w:val="17F47C0F"/>
    <w:rsid w:val="17FA110D"/>
    <w:rsid w:val="1809EAE1"/>
    <w:rsid w:val="180DDFB0"/>
    <w:rsid w:val="18143273"/>
    <w:rsid w:val="18144222"/>
    <w:rsid w:val="1815520D"/>
    <w:rsid w:val="181DDE32"/>
    <w:rsid w:val="181F9536"/>
    <w:rsid w:val="1820FC39"/>
    <w:rsid w:val="18221ED8"/>
    <w:rsid w:val="1823BA9D"/>
    <w:rsid w:val="18289E7A"/>
    <w:rsid w:val="1828F777"/>
    <w:rsid w:val="182B120A"/>
    <w:rsid w:val="1830E45B"/>
    <w:rsid w:val="1832EE91"/>
    <w:rsid w:val="1835AC2F"/>
    <w:rsid w:val="183D9AD6"/>
    <w:rsid w:val="183ECB4B"/>
    <w:rsid w:val="1842B596"/>
    <w:rsid w:val="1844D423"/>
    <w:rsid w:val="1846061E"/>
    <w:rsid w:val="18487D5B"/>
    <w:rsid w:val="184A032C"/>
    <w:rsid w:val="184F4BEE"/>
    <w:rsid w:val="18508602"/>
    <w:rsid w:val="18529A1B"/>
    <w:rsid w:val="1864DEBE"/>
    <w:rsid w:val="18668636"/>
    <w:rsid w:val="186EA145"/>
    <w:rsid w:val="186F5C67"/>
    <w:rsid w:val="187563E5"/>
    <w:rsid w:val="1877070A"/>
    <w:rsid w:val="187B1A3B"/>
    <w:rsid w:val="1885036C"/>
    <w:rsid w:val="18850E36"/>
    <w:rsid w:val="18856F79"/>
    <w:rsid w:val="1889D620"/>
    <w:rsid w:val="188A8136"/>
    <w:rsid w:val="188CBE3C"/>
    <w:rsid w:val="188E3E44"/>
    <w:rsid w:val="188E8ACE"/>
    <w:rsid w:val="189662E1"/>
    <w:rsid w:val="1897508D"/>
    <w:rsid w:val="1899D704"/>
    <w:rsid w:val="189A8ECF"/>
    <w:rsid w:val="189AFACC"/>
    <w:rsid w:val="189E8985"/>
    <w:rsid w:val="18A1C96D"/>
    <w:rsid w:val="18A95BFE"/>
    <w:rsid w:val="18B2DA12"/>
    <w:rsid w:val="18B4ABE5"/>
    <w:rsid w:val="18B5CCFD"/>
    <w:rsid w:val="18BED034"/>
    <w:rsid w:val="18C92605"/>
    <w:rsid w:val="18CEF969"/>
    <w:rsid w:val="18DA6886"/>
    <w:rsid w:val="18DC03DB"/>
    <w:rsid w:val="18DCBCE9"/>
    <w:rsid w:val="18DE81E1"/>
    <w:rsid w:val="18E06684"/>
    <w:rsid w:val="18E142D6"/>
    <w:rsid w:val="18F5C196"/>
    <w:rsid w:val="18F65E8A"/>
    <w:rsid w:val="18F68EF1"/>
    <w:rsid w:val="18F7795C"/>
    <w:rsid w:val="18F986B4"/>
    <w:rsid w:val="18FC41B4"/>
    <w:rsid w:val="19085EC7"/>
    <w:rsid w:val="1909A1A3"/>
    <w:rsid w:val="19163C34"/>
    <w:rsid w:val="19168DD1"/>
    <w:rsid w:val="19189831"/>
    <w:rsid w:val="191CD1C8"/>
    <w:rsid w:val="1922D701"/>
    <w:rsid w:val="19250CF1"/>
    <w:rsid w:val="1928A5F5"/>
    <w:rsid w:val="192F235B"/>
    <w:rsid w:val="193F51BD"/>
    <w:rsid w:val="1941B19B"/>
    <w:rsid w:val="19466E58"/>
    <w:rsid w:val="19504A82"/>
    <w:rsid w:val="19528F3B"/>
    <w:rsid w:val="19635984"/>
    <w:rsid w:val="196B507C"/>
    <w:rsid w:val="196D29B8"/>
    <w:rsid w:val="19732CFA"/>
    <w:rsid w:val="19733D0A"/>
    <w:rsid w:val="197646DC"/>
    <w:rsid w:val="1977373E"/>
    <w:rsid w:val="197945C3"/>
    <w:rsid w:val="197DAFFB"/>
    <w:rsid w:val="197EDDF1"/>
    <w:rsid w:val="197F1B6D"/>
    <w:rsid w:val="19857402"/>
    <w:rsid w:val="198679D7"/>
    <w:rsid w:val="198BB3E9"/>
    <w:rsid w:val="198D33B1"/>
    <w:rsid w:val="198EEAAF"/>
    <w:rsid w:val="198FB1E6"/>
    <w:rsid w:val="19904C70"/>
    <w:rsid w:val="199A70AC"/>
    <w:rsid w:val="19A34376"/>
    <w:rsid w:val="19A46490"/>
    <w:rsid w:val="19A60A7C"/>
    <w:rsid w:val="19A9321A"/>
    <w:rsid w:val="19B0F71A"/>
    <w:rsid w:val="19B271DB"/>
    <w:rsid w:val="19B3E09A"/>
    <w:rsid w:val="19B99F9C"/>
    <w:rsid w:val="19BFBE0E"/>
    <w:rsid w:val="19C25450"/>
    <w:rsid w:val="19C3F534"/>
    <w:rsid w:val="19CA6397"/>
    <w:rsid w:val="19CC2CCA"/>
    <w:rsid w:val="19CE2A34"/>
    <w:rsid w:val="19D170F8"/>
    <w:rsid w:val="19D63D10"/>
    <w:rsid w:val="19D9F532"/>
    <w:rsid w:val="19DB323A"/>
    <w:rsid w:val="19DE8EF8"/>
    <w:rsid w:val="19E48650"/>
    <w:rsid w:val="19E72F59"/>
    <w:rsid w:val="19E75E21"/>
    <w:rsid w:val="19E9377F"/>
    <w:rsid w:val="19F015FF"/>
    <w:rsid w:val="19F66D4D"/>
    <w:rsid w:val="1A025697"/>
    <w:rsid w:val="1A072BD9"/>
    <w:rsid w:val="1A0865E1"/>
    <w:rsid w:val="1A0A19D8"/>
    <w:rsid w:val="1A0EE54D"/>
    <w:rsid w:val="1A1A78BB"/>
    <w:rsid w:val="1A1BC6F7"/>
    <w:rsid w:val="1A235C5F"/>
    <w:rsid w:val="1A2619D1"/>
    <w:rsid w:val="1A292AF9"/>
    <w:rsid w:val="1A29F31B"/>
    <w:rsid w:val="1A2B25D5"/>
    <w:rsid w:val="1A2F65A2"/>
    <w:rsid w:val="1A2F7C36"/>
    <w:rsid w:val="1A31778A"/>
    <w:rsid w:val="1A335ECC"/>
    <w:rsid w:val="1A33FE48"/>
    <w:rsid w:val="1A356EF6"/>
    <w:rsid w:val="1A3D09D1"/>
    <w:rsid w:val="1A4814A3"/>
    <w:rsid w:val="1A4A5070"/>
    <w:rsid w:val="1A526BE6"/>
    <w:rsid w:val="1A54A3E1"/>
    <w:rsid w:val="1A583C07"/>
    <w:rsid w:val="1A64298D"/>
    <w:rsid w:val="1A64C3DB"/>
    <w:rsid w:val="1A78DB24"/>
    <w:rsid w:val="1A7936F5"/>
    <w:rsid w:val="1A7A2FBD"/>
    <w:rsid w:val="1A7A7AB9"/>
    <w:rsid w:val="1A858132"/>
    <w:rsid w:val="1A86F053"/>
    <w:rsid w:val="1A8885CF"/>
    <w:rsid w:val="1A8F60E1"/>
    <w:rsid w:val="1A92D7FA"/>
    <w:rsid w:val="1A97B7F0"/>
    <w:rsid w:val="1A9B4912"/>
    <w:rsid w:val="1AA2FE22"/>
    <w:rsid w:val="1AA69C89"/>
    <w:rsid w:val="1AA7B3BC"/>
    <w:rsid w:val="1AA7B5BD"/>
    <w:rsid w:val="1AB0B169"/>
    <w:rsid w:val="1AB2A674"/>
    <w:rsid w:val="1AB70794"/>
    <w:rsid w:val="1AB97EAD"/>
    <w:rsid w:val="1ABA0898"/>
    <w:rsid w:val="1AC1762F"/>
    <w:rsid w:val="1AC2BA53"/>
    <w:rsid w:val="1ACA5AEA"/>
    <w:rsid w:val="1AD10F37"/>
    <w:rsid w:val="1ADA288F"/>
    <w:rsid w:val="1AE3404F"/>
    <w:rsid w:val="1AE7C515"/>
    <w:rsid w:val="1AE7E7EC"/>
    <w:rsid w:val="1AEEE852"/>
    <w:rsid w:val="1AEFEC23"/>
    <w:rsid w:val="1AF05700"/>
    <w:rsid w:val="1AF91281"/>
    <w:rsid w:val="1B0548C6"/>
    <w:rsid w:val="1B06A358"/>
    <w:rsid w:val="1B08713E"/>
    <w:rsid w:val="1B115D2A"/>
    <w:rsid w:val="1B19B8D7"/>
    <w:rsid w:val="1B1AD288"/>
    <w:rsid w:val="1B1F3439"/>
    <w:rsid w:val="1B210BF4"/>
    <w:rsid w:val="1B23D106"/>
    <w:rsid w:val="1B2414E2"/>
    <w:rsid w:val="1B27A34C"/>
    <w:rsid w:val="1B286D91"/>
    <w:rsid w:val="1B32E0C4"/>
    <w:rsid w:val="1B357FAD"/>
    <w:rsid w:val="1B38440A"/>
    <w:rsid w:val="1B3DFDC0"/>
    <w:rsid w:val="1B431680"/>
    <w:rsid w:val="1B4DF474"/>
    <w:rsid w:val="1B4EB1F1"/>
    <w:rsid w:val="1B5BDB59"/>
    <w:rsid w:val="1B5C8B43"/>
    <w:rsid w:val="1B5F57FD"/>
    <w:rsid w:val="1B641885"/>
    <w:rsid w:val="1B661237"/>
    <w:rsid w:val="1B6723F5"/>
    <w:rsid w:val="1B673354"/>
    <w:rsid w:val="1B737636"/>
    <w:rsid w:val="1B750502"/>
    <w:rsid w:val="1B7AEC5C"/>
    <w:rsid w:val="1B7F5415"/>
    <w:rsid w:val="1B854132"/>
    <w:rsid w:val="1B898C0B"/>
    <w:rsid w:val="1B8E54BA"/>
    <w:rsid w:val="1B958017"/>
    <w:rsid w:val="1B9A50E8"/>
    <w:rsid w:val="1BADB7B9"/>
    <w:rsid w:val="1BADD820"/>
    <w:rsid w:val="1BB8989A"/>
    <w:rsid w:val="1BBCAEF8"/>
    <w:rsid w:val="1BBE6312"/>
    <w:rsid w:val="1BBEE062"/>
    <w:rsid w:val="1BC08C7C"/>
    <w:rsid w:val="1BC33C58"/>
    <w:rsid w:val="1BC358F5"/>
    <w:rsid w:val="1BC4FB5A"/>
    <w:rsid w:val="1BCC6930"/>
    <w:rsid w:val="1BD61A9E"/>
    <w:rsid w:val="1BD8EE99"/>
    <w:rsid w:val="1BD95C29"/>
    <w:rsid w:val="1BDB1550"/>
    <w:rsid w:val="1BE5166F"/>
    <w:rsid w:val="1BE620D1"/>
    <w:rsid w:val="1BE63AE6"/>
    <w:rsid w:val="1BE9B1B9"/>
    <w:rsid w:val="1BEBA2AD"/>
    <w:rsid w:val="1BF84196"/>
    <w:rsid w:val="1BFE5CEA"/>
    <w:rsid w:val="1BFEF853"/>
    <w:rsid w:val="1C003F48"/>
    <w:rsid w:val="1C005004"/>
    <w:rsid w:val="1C0A8B55"/>
    <w:rsid w:val="1C0B41FC"/>
    <w:rsid w:val="1C0CC7C7"/>
    <w:rsid w:val="1C150756"/>
    <w:rsid w:val="1C15D572"/>
    <w:rsid w:val="1C1AFF8A"/>
    <w:rsid w:val="1C1F61F7"/>
    <w:rsid w:val="1C25E4B7"/>
    <w:rsid w:val="1C2D3FC7"/>
    <w:rsid w:val="1C2E18A0"/>
    <w:rsid w:val="1C31ADF1"/>
    <w:rsid w:val="1C320E0D"/>
    <w:rsid w:val="1C32B633"/>
    <w:rsid w:val="1C33BA41"/>
    <w:rsid w:val="1C350636"/>
    <w:rsid w:val="1C404004"/>
    <w:rsid w:val="1C471170"/>
    <w:rsid w:val="1C4BFD12"/>
    <w:rsid w:val="1C4C39BF"/>
    <w:rsid w:val="1C4FACD9"/>
    <w:rsid w:val="1C50312C"/>
    <w:rsid w:val="1C53B611"/>
    <w:rsid w:val="1C56FA47"/>
    <w:rsid w:val="1C5BCDF1"/>
    <w:rsid w:val="1C5C4787"/>
    <w:rsid w:val="1C5CF7FD"/>
    <w:rsid w:val="1C5F86EA"/>
    <w:rsid w:val="1C613E83"/>
    <w:rsid w:val="1C677D1A"/>
    <w:rsid w:val="1C69BB36"/>
    <w:rsid w:val="1C6D03E4"/>
    <w:rsid w:val="1C74DD37"/>
    <w:rsid w:val="1C7CAF7F"/>
    <w:rsid w:val="1C83FB04"/>
    <w:rsid w:val="1C84E4AF"/>
    <w:rsid w:val="1C852F9D"/>
    <w:rsid w:val="1C929906"/>
    <w:rsid w:val="1C9805D2"/>
    <w:rsid w:val="1CA1517D"/>
    <w:rsid w:val="1CA7C855"/>
    <w:rsid w:val="1CAA87E2"/>
    <w:rsid w:val="1CAFA89D"/>
    <w:rsid w:val="1CB062A0"/>
    <w:rsid w:val="1CB43E41"/>
    <w:rsid w:val="1CB836C5"/>
    <w:rsid w:val="1CBB28DD"/>
    <w:rsid w:val="1CBC604D"/>
    <w:rsid w:val="1CCC2138"/>
    <w:rsid w:val="1CCF535D"/>
    <w:rsid w:val="1CCFFDD4"/>
    <w:rsid w:val="1CD1BA13"/>
    <w:rsid w:val="1CD1CC9E"/>
    <w:rsid w:val="1CD25105"/>
    <w:rsid w:val="1CD2AA89"/>
    <w:rsid w:val="1CD89A2A"/>
    <w:rsid w:val="1CDD15EC"/>
    <w:rsid w:val="1CE7B90F"/>
    <w:rsid w:val="1CE97701"/>
    <w:rsid w:val="1CEAF558"/>
    <w:rsid w:val="1CEDDAFE"/>
    <w:rsid w:val="1CEF3CB5"/>
    <w:rsid w:val="1CEF50B7"/>
    <w:rsid w:val="1CF2D7F3"/>
    <w:rsid w:val="1CF4F799"/>
    <w:rsid w:val="1CF72743"/>
    <w:rsid w:val="1CF9188D"/>
    <w:rsid w:val="1CFDA00C"/>
    <w:rsid w:val="1D0355C8"/>
    <w:rsid w:val="1D08D7A4"/>
    <w:rsid w:val="1D0B5E5F"/>
    <w:rsid w:val="1D0C3272"/>
    <w:rsid w:val="1D0E2E9C"/>
    <w:rsid w:val="1D0F9C34"/>
    <w:rsid w:val="1D0FC730"/>
    <w:rsid w:val="1D13C5B7"/>
    <w:rsid w:val="1D157B21"/>
    <w:rsid w:val="1D15E935"/>
    <w:rsid w:val="1D1BB746"/>
    <w:rsid w:val="1D293D8D"/>
    <w:rsid w:val="1D2B9A80"/>
    <w:rsid w:val="1D2F1CF8"/>
    <w:rsid w:val="1D300377"/>
    <w:rsid w:val="1D3483A9"/>
    <w:rsid w:val="1D39BB7B"/>
    <w:rsid w:val="1D4006A3"/>
    <w:rsid w:val="1D4947A9"/>
    <w:rsid w:val="1D49B3A1"/>
    <w:rsid w:val="1D4D77DC"/>
    <w:rsid w:val="1D548AEC"/>
    <w:rsid w:val="1D575592"/>
    <w:rsid w:val="1D5D0670"/>
    <w:rsid w:val="1D60E179"/>
    <w:rsid w:val="1D6DF3A2"/>
    <w:rsid w:val="1D6F9942"/>
    <w:rsid w:val="1D7390D2"/>
    <w:rsid w:val="1D74E552"/>
    <w:rsid w:val="1D755047"/>
    <w:rsid w:val="1D7701BD"/>
    <w:rsid w:val="1D798FC8"/>
    <w:rsid w:val="1D7C9DDE"/>
    <w:rsid w:val="1D7FAC5D"/>
    <w:rsid w:val="1D82EB10"/>
    <w:rsid w:val="1D839AC8"/>
    <w:rsid w:val="1D8577C5"/>
    <w:rsid w:val="1D8C03E5"/>
    <w:rsid w:val="1D8C701E"/>
    <w:rsid w:val="1D8D9838"/>
    <w:rsid w:val="1D9ABFD9"/>
    <w:rsid w:val="1D9AC1E0"/>
    <w:rsid w:val="1D9DE812"/>
    <w:rsid w:val="1D9F19D2"/>
    <w:rsid w:val="1D9F38D9"/>
    <w:rsid w:val="1D9F630C"/>
    <w:rsid w:val="1DA221BF"/>
    <w:rsid w:val="1DA61246"/>
    <w:rsid w:val="1DA6BF55"/>
    <w:rsid w:val="1DA6DBA9"/>
    <w:rsid w:val="1DAD0C70"/>
    <w:rsid w:val="1DAE5D0F"/>
    <w:rsid w:val="1DAF3B15"/>
    <w:rsid w:val="1DB46153"/>
    <w:rsid w:val="1DB6095C"/>
    <w:rsid w:val="1DBA67E8"/>
    <w:rsid w:val="1DC116A9"/>
    <w:rsid w:val="1DC700C1"/>
    <w:rsid w:val="1DC74F53"/>
    <w:rsid w:val="1DC9F412"/>
    <w:rsid w:val="1DCC10BD"/>
    <w:rsid w:val="1DCFA32F"/>
    <w:rsid w:val="1DD1E6C1"/>
    <w:rsid w:val="1DD32D60"/>
    <w:rsid w:val="1DD54D17"/>
    <w:rsid w:val="1DD95AAB"/>
    <w:rsid w:val="1DDF5BEC"/>
    <w:rsid w:val="1DE2688E"/>
    <w:rsid w:val="1DE61A5D"/>
    <w:rsid w:val="1DE78EFD"/>
    <w:rsid w:val="1DE98EFB"/>
    <w:rsid w:val="1DEA895D"/>
    <w:rsid w:val="1DF04742"/>
    <w:rsid w:val="1DF0C34D"/>
    <w:rsid w:val="1DF52CB2"/>
    <w:rsid w:val="1DF71FE6"/>
    <w:rsid w:val="1DFA0E4D"/>
    <w:rsid w:val="1DFECCC3"/>
    <w:rsid w:val="1DFFFAAA"/>
    <w:rsid w:val="1E00EBF3"/>
    <w:rsid w:val="1E064841"/>
    <w:rsid w:val="1E06B52B"/>
    <w:rsid w:val="1E06F2E0"/>
    <w:rsid w:val="1E09A140"/>
    <w:rsid w:val="1E0D2482"/>
    <w:rsid w:val="1E11CB5B"/>
    <w:rsid w:val="1E122B3B"/>
    <w:rsid w:val="1E19F101"/>
    <w:rsid w:val="1E1EC0B0"/>
    <w:rsid w:val="1E201B3D"/>
    <w:rsid w:val="1E23C35C"/>
    <w:rsid w:val="1E26F074"/>
    <w:rsid w:val="1E27845D"/>
    <w:rsid w:val="1E287253"/>
    <w:rsid w:val="1E2C030A"/>
    <w:rsid w:val="1E2D6DE7"/>
    <w:rsid w:val="1E2EB880"/>
    <w:rsid w:val="1E307DEF"/>
    <w:rsid w:val="1E30F6F2"/>
    <w:rsid w:val="1E31E14B"/>
    <w:rsid w:val="1E32C6F7"/>
    <w:rsid w:val="1E34A48B"/>
    <w:rsid w:val="1E388450"/>
    <w:rsid w:val="1E3BBD97"/>
    <w:rsid w:val="1E3D9533"/>
    <w:rsid w:val="1E40B88E"/>
    <w:rsid w:val="1E447D72"/>
    <w:rsid w:val="1E48AE2E"/>
    <w:rsid w:val="1E48C25A"/>
    <w:rsid w:val="1E4A71E8"/>
    <w:rsid w:val="1E4B11C9"/>
    <w:rsid w:val="1E4E15B4"/>
    <w:rsid w:val="1E518152"/>
    <w:rsid w:val="1E53C188"/>
    <w:rsid w:val="1E5C73AF"/>
    <w:rsid w:val="1E5C8586"/>
    <w:rsid w:val="1E5F3609"/>
    <w:rsid w:val="1E60B7AE"/>
    <w:rsid w:val="1E622CE0"/>
    <w:rsid w:val="1E64B4C3"/>
    <w:rsid w:val="1E679622"/>
    <w:rsid w:val="1E686ACA"/>
    <w:rsid w:val="1E6D48FE"/>
    <w:rsid w:val="1E6E7AEA"/>
    <w:rsid w:val="1E728C58"/>
    <w:rsid w:val="1E73D6B3"/>
    <w:rsid w:val="1E744DEA"/>
    <w:rsid w:val="1E7458EF"/>
    <w:rsid w:val="1E7B0C80"/>
    <w:rsid w:val="1E8493EF"/>
    <w:rsid w:val="1E8524D6"/>
    <w:rsid w:val="1E85BB8C"/>
    <w:rsid w:val="1E8AA8E5"/>
    <w:rsid w:val="1E8B0190"/>
    <w:rsid w:val="1E95ACC9"/>
    <w:rsid w:val="1E9B82C1"/>
    <w:rsid w:val="1E9D68A8"/>
    <w:rsid w:val="1E9E1285"/>
    <w:rsid w:val="1EA02BAD"/>
    <w:rsid w:val="1EA10508"/>
    <w:rsid w:val="1EA36328"/>
    <w:rsid w:val="1EB86527"/>
    <w:rsid w:val="1EBDA1A2"/>
    <w:rsid w:val="1EC10A33"/>
    <w:rsid w:val="1EC160A9"/>
    <w:rsid w:val="1EC91F1F"/>
    <w:rsid w:val="1ECE8C98"/>
    <w:rsid w:val="1ECEE6DD"/>
    <w:rsid w:val="1ED5D461"/>
    <w:rsid w:val="1ED69DA1"/>
    <w:rsid w:val="1ED86CEA"/>
    <w:rsid w:val="1ED8E660"/>
    <w:rsid w:val="1EDD8574"/>
    <w:rsid w:val="1EDDCF45"/>
    <w:rsid w:val="1EE2A9BE"/>
    <w:rsid w:val="1EE555D8"/>
    <w:rsid w:val="1EE58402"/>
    <w:rsid w:val="1EEBAB98"/>
    <w:rsid w:val="1EF449C8"/>
    <w:rsid w:val="1EF471F8"/>
    <w:rsid w:val="1EFAFF44"/>
    <w:rsid w:val="1F0070ED"/>
    <w:rsid w:val="1F0783FA"/>
    <w:rsid w:val="1F095C91"/>
    <w:rsid w:val="1F0BCE55"/>
    <w:rsid w:val="1F0CBD22"/>
    <w:rsid w:val="1F11B7B9"/>
    <w:rsid w:val="1F17A77C"/>
    <w:rsid w:val="1F19D0D9"/>
    <w:rsid w:val="1F1A0E24"/>
    <w:rsid w:val="1F1C982C"/>
    <w:rsid w:val="1F1F665F"/>
    <w:rsid w:val="1F2367A1"/>
    <w:rsid w:val="1F272131"/>
    <w:rsid w:val="1F2822A5"/>
    <w:rsid w:val="1F2B0302"/>
    <w:rsid w:val="1F2EACAD"/>
    <w:rsid w:val="1F2FA198"/>
    <w:rsid w:val="1F339BF7"/>
    <w:rsid w:val="1F346D84"/>
    <w:rsid w:val="1F3C468B"/>
    <w:rsid w:val="1F42E2BE"/>
    <w:rsid w:val="1F4D9F4F"/>
    <w:rsid w:val="1F4F2922"/>
    <w:rsid w:val="1F4F31F0"/>
    <w:rsid w:val="1F4F4BC5"/>
    <w:rsid w:val="1F52901F"/>
    <w:rsid w:val="1F5740FF"/>
    <w:rsid w:val="1F5BC5F9"/>
    <w:rsid w:val="1F5BCC32"/>
    <w:rsid w:val="1F60603E"/>
    <w:rsid w:val="1F6B2E4C"/>
    <w:rsid w:val="1F7335C6"/>
    <w:rsid w:val="1F73AB82"/>
    <w:rsid w:val="1F79CBEB"/>
    <w:rsid w:val="1F7A39A7"/>
    <w:rsid w:val="1F7AC1D8"/>
    <w:rsid w:val="1F8039F3"/>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B06EF7"/>
    <w:rsid w:val="1FB0EA61"/>
    <w:rsid w:val="1FB686D1"/>
    <w:rsid w:val="1FCF8249"/>
    <w:rsid w:val="1FCFFC54"/>
    <w:rsid w:val="1FD1F19F"/>
    <w:rsid w:val="1FDDEB60"/>
    <w:rsid w:val="1FE24D68"/>
    <w:rsid w:val="1FE59B24"/>
    <w:rsid w:val="1FE78627"/>
    <w:rsid w:val="1FEBAAF3"/>
    <w:rsid w:val="1FF2F342"/>
    <w:rsid w:val="1FF3E158"/>
    <w:rsid w:val="1FF4B586"/>
    <w:rsid w:val="1FF5573D"/>
    <w:rsid w:val="1FF8EEE7"/>
    <w:rsid w:val="1FFFB41A"/>
    <w:rsid w:val="200065EA"/>
    <w:rsid w:val="200B2A81"/>
    <w:rsid w:val="200FFEEF"/>
    <w:rsid w:val="2011C33D"/>
    <w:rsid w:val="20177076"/>
    <w:rsid w:val="20223356"/>
    <w:rsid w:val="202404E0"/>
    <w:rsid w:val="202C3685"/>
    <w:rsid w:val="202EE0E8"/>
    <w:rsid w:val="2036366A"/>
    <w:rsid w:val="2036C8B9"/>
    <w:rsid w:val="2037FF07"/>
    <w:rsid w:val="2038EB2B"/>
    <w:rsid w:val="203ED695"/>
    <w:rsid w:val="203F8370"/>
    <w:rsid w:val="203FF793"/>
    <w:rsid w:val="2045FF95"/>
    <w:rsid w:val="20467932"/>
    <w:rsid w:val="204DB9C6"/>
    <w:rsid w:val="2050AA1A"/>
    <w:rsid w:val="205224B8"/>
    <w:rsid w:val="20524023"/>
    <w:rsid w:val="205C0B45"/>
    <w:rsid w:val="205D6ED4"/>
    <w:rsid w:val="2064D766"/>
    <w:rsid w:val="20686B35"/>
    <w:rsid w:val="20772150"/>
    <w:rsid w:val="207A6E4C"/>
    <w:rsid w:val="207CC099"/>
    <w:rsid w:val="207CC66B"/>
    <w:rsid w:val="207E276C"/>
    <w:rsid w:val="2084DCA8"/>
    <w:rsid w:val="208D2A04"/>
    <w:rsid w:val="20906B6E"/>
    <w:rsid w:val="2093D18D"/>
    <w:rsid w:val="20973E30"/>
    <w:rsid w:val="2098FA63"/>
    <w:rsid w:val="209CE9DB"/>
    <w:rsid w:val="209D354E"/>
    <w:rsid w:val="20A3436F"/>
    <w:rsid w:val="20A39AAD"/>
    <w:rsid w:val="20A73A52"/>
    <w:rsid w:val="20AA9F4D"/>
    <w:rsid w:val="20AB26CE"/>
    <w:rsid w:val="20AD2C02"/>
    <w:rsid w:val="20ADF19E"/>
    <w:rsid w:val="20B41D39"/>
    <w:rsid w:val="20B8DF6B"/>
    <w:rsid w:val="20BC487A"/>
    <w:rsid w:val="20C0A595"/>
    <w:rsid w:val="20C51F49"/>
    <w:rsid w:val="20C5207D"/>
    <w:rsid w:val="20C9AA1C"/>
    <w:rsid w:val="20CD7911"/>
    <w:rsid w:val="20D4AB89"/>
    <w:rsid w:val="20D8173B"/>
    <w:rsid w:val="20DEB31F"/>
    <w:rsid w:val="20E4071B"/>
    <w:rsid w:val="20E77F3E"/>
    <w:rsid w:val="20E9D18E"/>
    <w:rsid w:val="20F3C469"/>
    <w:rsid w:val="20FF0E60"/>
    <w:rsid w:val="2106514A"/>
    <w:rsid w:val="211C686C"/>
    <w:rsid w:val="212060DE"/>
    <w:rsid w:val="2124434D"/>
    <w:rsid w:val="212A6940"/>
    <w:rsid w:val="212BD137"/>
    <w:rsid w:val="21377294"/>
    <w:rsid w:val="2137A1E1"/>
    <w:rsid w:val="213D15B7"/>
    <w:rsid w:val="2140EB77"/>
    <w:rsid w:val="21423BC1"/>
    <w:rsid w:val="21428587"/>
    <w:rsid w:val="214E18B9"/>
    <w:rsid w:val="2157F819"/>
    <w:rsid w:val="21591A90"/>
    <w:rsid w:val="215BAA9A"/>
    <w:rsid w:val="215FA6F8"/>
    <w:rsid w:val="21656638"/>
    <w:rsid w:val="216B1BDC"/>
    <w:rsid w:val="216DD023"/>
    <w:rsid w:val="217ABC7A"/>
    <w:rsid w:val="2186388B"/>
    <w:rsid w:val="2187CAF6"/>
    <w:rsid w:val="218F8A18"/>
    <w:rsid w:val="218FE0A3"/>
    <w:rsid w:val="2191279E"/>
    <w:rsid w:val="21913510"/>
    <w:rsid w:val="21939833"/>
    <w:rsid w:val="21999208"/>
    <w:rsid w:val="219D0BCE"/>
    <w:rsid w:val="21A14511"/>
    <w:rsid w:val="21A40A84"/>
    <w:rsid w:val="21A61BAC"/>
    <w:rsid w:val="21AF7069"/>
    <w:rsid w:val="21B1E513"/>
    <w:rsid w:val="21BACA29"/>
    <w:rsid w:val="21BD3DBD"/>
    <w:rsid w:val="21BFACF7"/>
    <w:rsid w:val="21C6E609"/>
    <w:rsid w:val="21CCD6B9"/>
    <w:rsid w:val="21DA9ECA"/>
    <w:rsid w:val="21E3EE08"/>
    <w:rsid w:val="21EEC17B"/>
    <w:rsid w:val="21F32094"/>
    <w:rsid w:val="21FC5B4D"/>
    <w:rsid w:val="2201E83B"/>
    <w:rsid w:val="22066407"/>
    <w:rsid w:val="2208749A"/>
    <w:rsid w:val="220B6B3F"/>
    <w:rsid w:val="220E8E24"/>
    <w:rsid w:val="22100015"/>
    <w:rsid w:val="2210F7BB"/>
    <w:rsid w:val="2211EE42"/>
    <w:rsid w:val="2214EF1A"/>
    <w:rsid w:val="22165E90"/>
    <w:rsid w:val="221A4A80"/>
    <w:rsid w:val="221D9B4A"/>
    <w:rsid w:val="2220EA9A"/>
    <w:rsid w:val="22226D1D"/>
    <w:rsid w:val="2223FF19"/>
    <w:rsid w:val="222F946E"/>
    <w:rsid w:val="223E9D52"/>
    <w:rsid w:val="2246B726"/>
    <w:rsid w:val="224D67A7"/>
    <w:rsid w:val="2251DCD4"/>
    <w:rsid w:val="225706E1"/>
    <w:rsid w:val="225B39B2"/>
    <w:rsid w:val="225B42B4"/>
    <w:rsid w:val="225C165E"/>
    <w:rsid w:val="2260ECC3"/>
    <w:rsid w:val="226573D8"/>
    <w:rsid w:val="22671FFE"/>
    <w:rsid w:val="226E29C7"/>
    <w:rsid w:val="226FA4E1"/>
    <w:rsid w:val="22743F92"/>
    <w:rsid w:val="22787EFC"/>
    <w:rsid w:val="227E79D9"/>
    <w:rsid w:val="227ED660"/>
    <w:rsid w:val="228436A4"/>
    <w:rsid w:val="228AEC69"/>
    <w:rsid w:val="228D6BFC"/>
    <w:rsid w:val="2291E9E4"/>
    <w:rsid w:val="2293D62B"/>
    <w:rsid w:val="229979E2"/>
    <w:rsid w:val="229ADBB0"/>
    <w:rsid w:val="229B610D"/>
    <w:rsid w:val="22A0D16E"/>
    <w:rsid w:val="22A515F1"/>
    <w:rsid w:val="22A8BA41"/>
    <w:rsid w:val="22ACCBE2"/>
    <w:rsid w:val="22AFFE47"/>
    <w:rsid w:val="22B686E5"/>
    <w:rsid w:val="22BF765C"/>
    <w:rsid w:val="22C3AECB"/>
    <w:rsid w:val="22C50F84"/>
    <w:rsid w:val="22C7D920"/>
    <w:rsid w:val="22CA4EC9"/>
    <w:rsid w:val="22CAB486"/>
    <w:rsid w:val="22CC1B50"/>
    <w:rsid w:val="22CDD599"/>
    <w:rsid w:val="22D8082D"/>
    <w:rsid w:val="22D9EECB"/>
    <w:rsid w:val="22DAC1A9"/>
    <w:rsid w:val="22DDFB26"/>
    <w:rsid w:val="22E1C049"/>
    <w:rsid w:val="22E2ED7E"/>
    <w:rsid w:val="22E40B3B"/>
    <w:rsid w:val="22E95EC5"/>
    <w:rsid w:val="22EB1821"/>
    <w:rsid w:val="22ED16FA"/>
    <w:rsid w:val="22EE1A5F"/>
    <w:rsid w:val="22EEB9E7"/>
    <w:rsid w:val="22F5694A"/>
    <w:rsid w:val="22F75EB1"/>
    <w:rsid w:val="23004EAD"/>
    <w:rsid w:val="230D68C2"/>
    <w:rsid w:val="23135162"/>
    <w:rsid w:val="2318084D"/>
    <w:rsid w:val="231B2F68"/>
    <w:rsid w:val="232034AF"/>
    <w:rsid w:val="2328287D"/>
    <w:rsid w:val="2328715A"/>
    <w:rsid w:val="232A1014"/>
    <w:rsid w:val="232BC621"/>
    <w:rsid w:val="232CF20C"/>
    <w:rsid w:val="232E654E"/>
    <w:rsid w:val="232F4E05"/>
    <w:rsid w:val="233999A8"/>
    <w:rsid w:val="233A4919"/>
    <w:rsid w:val="233F7D30"/>
    <w:rsid w:val="23400699"/>
    <w:rsid w:val="23406411"/>
    <w:rsid w:val="2346D2E6"/>
    <w:rsid w:val="234BD54F"/>
    <w:rsid w:val="234D6D77"/>
    <w:rsid w:val="234D77F7"/>
    <w:rsid w:val="234E1BCD"/>
    <w:rsid w:val="234E90FB"/>
    <w:rsid w:val="2350D9F4"/>
    <w:rsid w:val="2351A44C"/>
    <w:rsid w:val="235A5544"/>
    <w:rsid w:val="235E9A36"/>
    <w:rsid w:val="236786A1"/>
    <w:rsid w:val="2371B7AA"/>
    <w:rsid w:val="2372D876"/>
    <w:rsid w:val="23732DF4"/>
    <w:rsid w:val="237902F1"/>
    <w:rsid w:val="23807E58"/>
    <w:rsid w:val="23816E58"/>
    <w:rsid w:val="23826C99"/>
    <w:rsid w:val="23853C31"/>
    <w:rsid w:val="239240BD"/>
    <w:rsid w:val="23978EDA"/>
    <w:rsid w:val="239B2E1B"/>
    <w:rsid w:val="23A23B5A"/>
    <w:rsid w:val="23A7356C"/>
    <w:rsid w:val="23A9694B"/>
    <w:rsid w:val="23A980E0"/>
    <w:rsid w:val="23B1380D"/>
    <w:rsid w:val="23B1D3DE"/>
    <w:rsid w:val="23B250CF"/>
    <w:rsid w:val="23B54562"/>
    <w:rsid w:val="23B58B4C"/>
    <w:rsid w:val="23BAFF9E"/>
    <w:rsid w:val="23C7C067"/>
    <w:rsid w:val="23C92A68"/>
    <w:rsid w:val="23CC18FD"/>
    <w:rsid w:val="23D20DE9"/>
    <w:rsid w:val="23D36E6E"/>
    <w:rsid w:val="23D510E7"/>
    <w:rsid w:val="23D59733"/>
    <w:rsid w:val="23D7A4EC"/>
    <w:rsid w:val="23D7FAE9"/>
    <w:rsid w:val="23E1A833"/>
    <w:rsid w:val="23E1D04B"/>
    <w:rsid w:val="23E20A3A"/>
    <w:rsid w:val="23E34D3B"/>
    <w:rsid w:val="23EB1023"/>
    <w:rsid w:val="23EFEE6A"/>
    <w:rsid w:val="23F19647"/>
    <w:rsid w:val="23F6B50A"/>
    <w:rsid w:val="23F74B16"/>
    <w:rsid w:val="2405037B"/>
    <w:rsid w:val="2405DAC2"/>
    <w:rsid w:val="24066C7D"/>
    <w:rsid w:val="240AE486"/>
    <w:rsid w:val="24131FE4"/>
    <w:rsid w:val="24181E21"/>
    <w:rsid w:val="24199E6A"/>
    <w:rsid w:val="241F8F5B"/>
    <w:rsid w:val="242325DA"/>
    <w:rsid w:val="24246716"/>
    <w:rsid w:val="2427A8B9"/>
    <w:rsid w:val="242EF1A8"/>
    <w:rsid w:val="2433024B"/>
    <w:rsid w:val="243ABC6D"/>
    <w:rsid w:val="244AAD7E"/>
    <w:rsid w:val="244F6E20"/>
    <w:rsid w:val="2453517B"/>
    <w:rsid w:val="24564064"/>
    <w:rsid w:val="245B9D5D"/>
    <w:rsid w:val="24688B11"/>
    <w:rsid w:val="246A9A61"/>
    <w:rsid w:val="246AF221"/>
    <w:rsid w:val="246BDDCF"/>
    <w:rsid w:val="24716EEC"/>
    <w:rsid w:val="2475B43C"/>
    <w:rsid w:val="247815C9"/>
    <w:rsid w:val="248367E9"/>
    <w:rsid w:val="2488A261"/>
    <w:rsid w:val="249B6730"/>
    <w:rsid w:val="24A04F97"/>
    <w:rsid w:val="24A16284"/>
    <w:rsid w:val="24AEA480"/>
    <w:rsid w:val="24AF2148"/>
    <w:rsid w:val="24B2A23C"/>
    <w:rsid w:val="24B4C306"/>
    <w:rsid w:val="24B6430E"/>
    <w:rsid w:val="24C06A23"/>
    <w:rsid w:val="24C33326"/>
    <w:rsid w:val="24C55BF8"/>
    <w:rsid w:val="24C8C860"/>
    <w:rsid w:val="24C9D4E2"/>
    <w:rsid w:val="24CC8C56"/>
    <w:rsid w:val="24D54C28"/>
    <w:rsid w:val="24D5EE1E"/>
    <w:rsid w:val="24E02351"/>
    <w:rsid w:val="24E19237"/>
    <w:rsid w:val="24E3107B"/>
    <w:rsid w:val="24E354A1"/>
    <w:rsid w:val="24E4155F"/>
    <w:rsid w:val="24E5B7FD"/>
    <w:rsid w:val="24EC8D54"/>
    <w:rsid w:val="24F4B193"/>
    <w:rsid w:val="24F52F8E"/>
    <w:rsid w:val="24FA0F90"/>
    <w:rsid w:val="24FAFBB1"/>
    <w:rsid w:val="24FD3445"/>
    <w:rsid w:val="24FD61DB"/>
    <w:rsid w:val="24FE8281"/>
    <w:rsid w:val="25066E16"/>
    <w:rsid w:val="25072709"/>
    <w:rsid w:val="250BEEA8"/>
    <w:rsid w:val="250D7D6F"/>
    <w:rsid w:val="250D873D"/>
    <w:rsid w:val="250E1AA7"/>
    <w:rsid w:val="2512784A"/>
    <w:rsid w:val="2521D8B7"/>
    <w:rsid w:val="2521F9CE"/>
    <w:rsid w:val="252373C2"/>
    <w:rsid w:val="25248C8F"/>
    <w:rsid w:val="252B54DB"/>
    <w:rsid w:val="252D5E5D"/>
    <w:rsid w:val="252E5089"/>
    <w:rsid w:val="252E73AD"/>
    <w:rsid w:val="25330626"/>
    <w:rsid w:val="253759B0"/>
    <w:rsid w:val="2537B261"/>
    <w:rsid w:val="2537BC58"/>
    <w:rsid w:val="25381292"/>
    <w:rsid w:val="253EF42D"/>
    <w:rsid w:val="25405BC8"/>
    <w:rsid w:val="2543426A"/>
    <w:rsid w:val="2543E380"/>
    <w:rsid w:val="2544E8BB"/>
    <w:rsid w:val="2546AE73"/>
    <w:rsid w:val="254BA59F"/>
    <w:rsid w:val="255168CD"/>
    <w:rsid w:val="2551A0C5"/>
    <w:rsid w:val="25570E5D"/>
    <w:rsid w:val="25604141"/>
    <w:rsid w:val="25618791"/>
    <w:rsid w:val="256879CA"/>
    <w:rsid w:val="2569EDCE"/>
    <w:rsid w:val="256A82A2"/>
    <w:rsid w:val="25716F27"/>
    <w:rsid w:val="257635A0"/>
    <w:rsid w:val="25771CF4"/>
    <w:rsid w:val="257946FF"/>
    <w:rsid w:val="257A921B"/>
    <w:rsid w:val="257C654B"/>
    <w:rsid w:val="25861DB0"/>
    <w:rsid w:val="2588A72D"/>
    <w:rsid w:val="258B0C0E"/>
    <w:rsid w:val="258B37AB"/>
    <w:rsid w:val="258BF7BB"/>
    <w:rsid w:val="258F60B4"/>
    <w:rsid w:val="2593B4F7"/>
    <w:rsid w:val="25968FEF"/>
    <w:rsid w:val="259D47D8"/>
    <w:rsid w:val="25A14212"/>
    <w:rsid w:val="25A62F76"/>
    <w:rsid w:val="25AD1BE0"/>
    <w:rsid w:val="25B3AD64"/>
    <w:rsid w:val="25B3FCCB"/>
    <w:rsid w:val="25B67CFA"/>
    <w:rsid w:val="25BBE99C"/>
    <w:rsid w:val="25C11FA8"/>
    <w:rsid w:val="25C1A53A"/>
    <w:rsid w:val="25C5512D"/>
    <w:rsid w:val="25C68CE1"/>
    <w:rsid w:val="25C9BC56"/>
    <w:rsid w:val="25CDB639"/>
    <w:rsid w:val="25D4E5AC"/>
    <w:rsid w:val="25DE1B9B"/>
    <w:rsid w:val="25E1E30A"/>
    <w:rsid w:val="25E71582"/>
    <w:rsid w:val="25E7E99A"/>
    <w:rsid w:val="25EAA4E0"/>
    <w:rsid w:val="25EACA54"/>
    <w:rsid w:val="25F50432"/>
    <w:rsid w:val="25F69613"/>
    <w:rsid w:val="25F803B3"/>
    <w:rsid w:val="25FBD7FA"/>
    <w:rsid w:val="25FC5DC4"/>
    <w:rsid w:val="25FEB672"/>
    <w:rsid w:val="2600D1D3"/>
    <w:rsid w:val="26022A60"/>
    <w:rsid w:val="26049FCE"/>
    <w:rsid w:val="26065CBE"/>
    <w:rsid w:val="2607AE30"/>
    <w:rsid w:val="260C01EA"/>
    <w:rsid w:val="260E3FBD"/>
    <w:rsid w:val="2611863B"/>
    <w:rsid w:val="26187B99"/>
    <w:rsid w:val="26189566"/>
    <w:rsid w:val="2618E639"/>
    <w:rsid w:val="261A2A20"/>
    <w:rsid w:val="261BD894"/>
    <w:rsid w:val="261C1CDC"/>
    <w:rsid w:val="262185DB"/>
    <w:rsid w:val="26282786"/>
    <w:rsid w:val="262DAA83"/>
    <w:rsid w:val="2635EC4C"/>
    <w:rsid w:val="26376533"/>
    <w:rsid w:val="2638B426"/>
    <w:rsid w:val="263B63CA"/>
    <w:rsid w:val="264BC49B"/>
    <w:rsid w:val="264D7584"/>
    <w:rsid w:val="2655FF52"/>
    <w:rsid w:val="2658D932"/>
    <w:rsid w:val="265B1DF8"/>
    <w:rsid w:val="265E95F0"/>
    <w:rsid w:val="2663F70A"/>
    <w:rsid w:val="2671B290"/>
    <w:rsid w:val="2672BB13"/>
    <w:rsid w:val="2672E93D"/>
    <w:rsid w:val="26738F42"/>
    <w:rsid w:val="26843C67"/>
    <w:rsid w:val="26845EEA"/>
    <w:rsid w:val="2687F3DA"/>
    <w:rsid w:val="2689DB8E"/>
    <w:rsid w:val="268D6191"/>
    <w:rsid w:val="2692402A"/>
    <w:rsid w:val="26965EFC"/>
    <w:rsid w:val="26A19686"/>
    <w:rsid w:val="26A1EE02"/>
    <w:rsid w:val="26A21CE8"/>
    <w:rsid w:val="26A47076"/>
    <w:rsid w:val="26A4AA65"/>
    <w:rsid w:val="26A619D4"/>
    <w:rsid w:val="26A98F40"/>
    <w:rsid w:val="26AABC27"/>
    <w:rsid w:val="26AB2F2E"/>
    <w:rsid w:val="26ABB11D"/>
    <w:rsid w:val="26B29450"/>
    <w:rsid w:val="26B83665"/>
    <w:rsid w:val="26B9D96C"/>
    <w:rsid w:val="26BAAF30"/>
    <w:rsid w:val="26C2998C"/>
    <w:rsid w:val="26C4ABCB"/>
    <w:rsid w:val="26D5C4F8"/>
    <w:rsid w:val="26DD5C6E"/>
    <w:rsid w:val="26DEDB78"/>
    <w:rsid w:val="26DF5B10"/>
    <w:rsid w:val="26DF73B0"/>
    <w:rsid w:val="26E1D769"/>
    <w:rsid w:val="26E840F6"/>
    <w:rsid w:val="26F44DE2"/>
    <w:rsid w:val="26F8B977"/>
    <w:rsid w:val="26FBA816"/>
    <w:rsid w:val="26FCBB51"/>
    <w:rsid w:val="26FF7EE4"/>
    <w:rsid w:val="27016702"/>
    <w:rsid w:val="27041844"/>
    <w:rsid w:val="27083058"/>
    <w:rsid w:val="27088D0D"/>
    <w:rsid w:val="2708D586"/>
    <w:rsid w:val="270A667C"/>
    <w:rsid w:val="270E1BDD"/>
    <w:rsid w:val="270EB15D"/>
    <w:rsid w:val="270F45AE"/>
    <w:rsid w:val="2712DA40"/>
    <w:rsid w:val="27134A45"/>
    <w:rsid w:val="27146CCD"/>
    <w:rsid w:val="2720048E"/>
    <w:rsid w:val="272D0705"/>
    <w:rsid w:val="2732E953"/>
    <w:rsid w:val="273961F6"/>
    <w:rsid w:val="2748CB54"/>
    <w:rsid w:val="27495765"/>
    <w:rsid w:val="274B5011"/>
    <w:rsid w:val="27523017"/>
    <w:rsid w:val="2752C62F"/>
    <w:rsid w:val="27581F52"/>
    <w:rsid w:val="275B6227"/>
    <w:rsid w:val="275D759B"/>
    <w:rsid w:val="27608D95"/>
    <w:rsid w:val="2764941C"/>
    <w:rsid w:val="276512CA"/>
    <w:rsid w:val="2766FA0F"/>
    <w:rsid w:val="276DCF56"/>
    <w:rsid w:val="277A4673"/>
    <w:rsid w:val="277B2B97"/>
    <w:rsid w:val="277C0217"/>
    <w:rsid w:val="277D58D7"/>
    <w:rsid w:val="278478F5"/>
    <w:rsid w:val="2786B127"/>
    <w:rsid w:val="278AEC52"/>
    <w:rsid w:val="278B61D9"/>
    <w:rsid w:val="2790B901"/>
    <w:rsid w:val="2791F03C"/>
    <w:rsid w:val="279463D2"/>
    <w:rsid w:val="279882DB"/>
    <w:rsid w:val="27A22849"/>
    <w:rsid w:val="27A2E13D"/>
    <w:rsid w:val="27A46CE7"/>
    <w:rsid w:val="27A4A561"/>
    <w:rsid w:val="27A58729"/>
    <w:rsid w:val="27A67A93"/>
    <w:rsid w:val="27AD8D25"/>
    <w:rsid w:val="27B36516"/>
    <w:rsid w:val="27BD0A1A"/>
    <w:rsid w:val="27BEACA5"/>
    <w:rsid w:val="27C403DF"/>
    <w:rsid w:val="27C5DAA9"/>
    <w:rsid w:val="27C69484"/>
    <w:rsid w:val="27C86089"/>
    <w:rsid w:val="27C8791F"/>
    <w:rsid w:val="27C9967D"/>
    <w:rsid w:val="27CB3F5F"/>
    <w:rsid w:val="27D9A93D"/>
    <w:rsid w:val="27E48802"/>
    <w:rsid w:val="27E64D7F"/>
    <w:rsid w:val="27F268D6"/>
    <w:rsid w:val="27F989BA"/>
    <w:rsid w:val="280D708F"/>
    <w:rsid w:val="280E9418"/>
    <w:rsid w:val="280FBD92"/>
    <w:rsid w:val="2814BEC2"/>
    <w:rsid w:val="281CB50D"/>
    <w:rsid w:val="281D56F7"/>
    <w:rsid w:val="281DF108"/>
    <w:rsid w:val="281E5398"/>
    <w:rsid w:val="281F73AD"/>
    <w:rsid w:val="281FBE6F"/>
    <w:rsid w:val="28254370"/>
    <w:rsid w:val="2825ABEF"/>
    <w:rsid w:val="282C62C3"/>
    <w:rsid w:val="2837DE21"/>
    <w:rsid w:val="283DED49"/>
    <w:rsid w:val="28406D09"/>
    <w:rsid w:val="284108E7"/>
    <w:rsid w:val="284159E5"/>
    <w:rsid w:val="284383AB"/>
    <w:rsid w:val="28447D33"/>
    <w:rsid w:val="2844EFAA"/>
    <w:rsid w:val="28479D16"/>
    <w:rsid w:val="284D9DB4"/>
    <w:rsid w:val="285069FF"/>
    <w:rsid w:val="2851912B"/>
    <w:rsid w:val="28554917"/>
    <w:rsid w:val="2856D332"/>
    <w:rsid w:val="2857BD5A"/>
    <w:rsid w:val="2857DAA5"/>
    <w:rsid w:val="2858C1E1"/>
    <w:rsid w:val="285AA015"/>
    <w:rsid w:val="286AF4D0"/>
    <w:rsid w:val="287FCCB6"/>
    <w:rsid w:val="2881EC33"/>
    <w:rsid w:val="28830417"/>
    <w:rsid w:val="2884B283"/>
    <w:rsid w:val="2889D3D8"/>
    <w:rsid w:val="288CDB0A"/>
    <w:rsid w:val="28956A06"/>
    <w:rsid w:val="2896B377"/>
    <w:rsid w:val="28983B6C"/>
    <w:rsid w:val="289923DA"/>
    <w:rsid w:val="289C6967"/>
    <w:rsid w:val="289E4F8F"/>
    <w:rsid w:val="289E7FBE"/>
    <w:rsid w:val="289FA0B4"/>
    <w:rsid w:val="28A3FAE2"/>
    <w:rsid w:val="28AA1F77"/>
    <w:rsid w:val="28B0DBC1"/>
    <w:rsid w:val="28B1BD25"/>
    <w:rsid w:val="28B32A95"/>
    <w:rsid w:val="28B61B70"/>
    <w:rsid w:val="28B73D7C"/>
    <w:rsid w:val="28B94166"/>
    <w:rsid w:val="28B96803"/>
    <w:rsid w:val="28B9E412"/>
    <w:rsid w:val="28BEBC90"/>
    <w:rsid w:val="28D15E5A"/>
    <w:rsid w:val="28D4B2EA"/>
    <w:rsid w:val="28D67E53"/>
    <w:rsid w:val="28D7F80F"/>
    <w:rsid w:val="28D84821"/>
    <w:rsid w:val="28DAB1A5"/>
    <w:rsid w:val="28DB8659"/>
    <w:rsid w:val="28DE47D6"/>
    <w:rsid w:val="28DE4CF8"/>
    <w:rsid w:val="28EA4C7F"/>
    <w:rsid w:val="28F38A5E"/>
    <w:rsid w:val="28FC624F"/>
    <w:rsid w:val="28FD5609"/>
    <w:rsid w:val="290566FA"/>
    <w:rsid w:val="290B0C56"/>
    <w:rsid w:val="290B997A"/>
    <w:rsid w:val="290CE551"/>
    <w:rsid w:val="290DBC56"/>
    <w:rsid w:val="290ED0FE"/>
    <w:rsid w:val="29139BBE"/>
    <w:rsid w:val="29177E7F"/>
    <w:rsid w:val="2924DA21"/>
    <w:rsid w:val="2926213F"/>
    <w:rsid w:val="2928908E"/>
    <w:rsid w:val="29425FA3"/>
    <w:rsid w:val="2947F565"/>
    <w:rsid w:val="294DAC0F"/>
    <w:rsid w:val="294E929B"/>
    <w:rsid w:val="294FDB18"/>
    <w:rsid w:val="295B16F4"/>
    <w:rsid w:val="295C16F7"/>
    <w:rsid w:val="295FDE30"/>
    <w:rsid w:val="29686A09"/>
    <w:rsid w:val="296C2C7D"/>
    <w:rsid w:val="296EB430"/>
    <w:rsid w:val="296F8362"/>
    <w:rsid w:val="29749CB0"/>
    <w:rsid w:val="2974C41C"/>
    <w:rsid w:val="2976C639"/>
    <w:rsid w:val="29779882"/>
    <w:rsid w:val="297AAB1B"/>
    <w:rsid w:val="297B4994"/>
    <w:rsid w:val="2986A477"/>
    <w:rsid w:val="298AEB31"/>
    <w:rsid w:val="299988C1"/>
    <w:rsid w:val="2999ABCF"/>
    <w:rsid w:val="299E882D"/>
    <w:rsid w:val="29A7756C"/>
    <w:rsid w:val="29A8A0C6"/>
    <w:rsid w:val="29A93CA3"/>
    <w:rsid w:val="29AF318A"/>
    <w:rsid w:val="29BA1B50"/>
    <w:rsid w:val="29BBB9C8"/>
    <w:rsid w:val="29BD3D26"/>
    <w:rsid w:val="29BFEFA7"/>
    <w:rsid w:val="29D5976D"/>
    <w:rsid w:val="29DC9FE8"/>
    <w:rsid w:val="29E4EAFB"/>
    <w:rsid w:val="29E9B3D6"/>
    <w:rsid w:val="29F056BE"/>
    <w:rsid w:val="29F2DD2D"/>
    <w:rsid w:val="29F63C62"/>
    <w:rsid w:val="29F8CB59"/>
    <w:rsid w:val="29FD8170"/>
    <w:rsid w:val="29FF5817"/>
    <w:rsid w:val="2A005DC5"/>
    <w:rsid w:val="2A023839"/>
    <w:rsid w:val="2A0D407A"/>
    <w:rsid w:val="2A0D645C"/>
    <w:rsid w:val="2A0F1156"/>
    <w:rsid w:val="2A1687C4"/>
    <w:rsid w:val="2A17C72F"/>
    <w:rsid w:val="2A234525"/>
    <w:rsid w:val="2A2A5348"/>
    <w:rsid w:val="2A2AFD64"/>
    <w:rsid w:val="2A2C62AB"/>
    <w:rsid w:val="2A2EF36B"/>
    <w:rsid w:val="2A3258E5"/>
    <w:rsid w:val="2A3821BD"/>
    <w:rsid w:val="2A3D9B08"/>
    <w:rsid w:val="2A41BA74"/>
    <w:rsid w:val="2A4AD270"/>
    <w:rsid w:val="2A5AA26E"/>
    <w:rsid w:val="2A5E733A"/>
    <w:rsid w:val="2A60D8B5"/>
    <w:rsid w:val="2A63729E"/>
    <w:rsid w:val="2A65BD4A"/>
    <w:rsid w:val="2A6D44A3"/>
    <w:rsid w:val="2A6D8FBA"/>
    <w:rsid w:val="2A757F5F"/>
    <w:rsid w:val="2A77FCE2"/>
    <w:rsid w:val="2A79A287"/>
    <w:rsid w:val="2A7C5531"/>
    <w:rsid w:val="2A7C819E"/>
    <w:rsid w:val="2A7E170D"/>
    <w:rsid w:val="2A80F9E0"/>
    <w:rsid w:val="2A8C5B6C"/>
    <w:rsid w:val="2A8D3370"/>
    <w:rsid w:val="2A90DB3C"/>
    <w:rsid w:val="2A920F98"/>
    <w:rsid w:val="2A925477"/>
    <w:rsid w:val="2A92BEE1"/>
    <w:rsid w:val="2A9782B1"/>
    <w:rsid w:val="2A9E19E2"/>
    <w:rsid w:val="2A9E2EB1"/>
    <w:rsid w:val="2A9EDA64"/>
    <w:rsid w:val="2AAB6A09"/>
    <w:rsid w:val="2AAD3437"/>
    <w:rsid w:val="2AAECBAB"/>
    <w:rsid w:val="2AB041FA"/>
    <w:rsid w:val="2AB43287"/>
    <w:rsid w:val="2ABB4A57"/>
    <w:rsid w:val="2ABFF941"/>
    <w:rsid w:val="2AC8AEBB"/>
    <w:rsid w:val="2ACD602E"/>
    <w:rsid w:val="2AD0ED11"/>
    <w:rsid w:val="2AD21D5D"/>
    <w:rsid w:val="2AD243E2"/>
    <w:rsid w:val="2AD7BB28"/>
    <w:rsid w:val="2ADAC127"/>
    <w:rsid w:val="2ADC5148"/>
    <w:rsid w:val="2ADC6CD5"/>
    <w:rsid w:val="2ADDB620"/>
    <w:rsid w:val="2ADE6769"/>
    <w:rsid w:val="2AE1FFCA"/>
    <w:rsid w:val="2AE91548"/>
    <w:rsid w:val="2AEAEF3F"/>
    <w:rsid w:val="2AED0A6E"/>
    <w:rsid w:val="2AF1B4C3"/>
    <w:rsid w:val="2AF1B6D2"/>
    <w:rsid w:val="2AF82B33"/>
    <w:rsid w:val="2AFA3191"/>
    <w:rsid w:val="2AFA3F8F"/>
    <w:rsid w:val="2B03E4DE"/>
    <w:rsid w:val="2B04A8D9"/>
    <w:rsid w:val="2B06CA9C"/>
    <w:rsid w:val="2B086CA2"/>
    <w:rsid w:val="2B08B227"/>
    <w:rsid w:val="2B0F420A"/>
    <w:rsid w:val="2B1162B2"/>
    <w:rsid w:val="2B15926C"/>
    <w:rsid w:val="2B20EE50"/>
    <w:rsid w:val="2B27F1B7"/>
    <w:rsid w:val="2B287E77"/>
    <w:rsid w:val="2B2AC554"/>
    <w:rsid w:val="2B2AD5B4"/>
    <w:rsid w:val="2B2D39B5"/>
    <w:rsid w:val="2B302DAE"/>
    <w:rsid w:val="2B31C471"/>
    <w:rsid w:val="2B356318"/>
    <w:rsid w:val="2B381276"/>
    <w:rsid w:val="2B397A07"/>
    <w:rsid w:val="2B3E2083"/>
    <w:rsid w:val="2B40A06D"/>
    <w:rsid w:val="2B41CCC7"/>
    <w:rsid w:val="2B4A3388"/>
    <w:rsid w:val="2B4C85BC"/>
    <w:rsid w:val="2B545F3A"/>
    <w:rsid w:val="2B5503A7"/>
    <w:rsid w:val="2B5B0B66"/>
    <w:rsid w:val="2B672352"/>
    <w:rsid w:val="2B69EF8A"/>
    <w:rsid w:val="2B72EE25"/>
    <w:rsid w:val="2B74C750"/>
    <w:rsid w:val="2B793A7B"/>
    <w:rsid w:val="2B7A3F7B"/>
    <w:rsid w:val="2B7C906C"/>
    <w:rsid w:val="2B80073E"/>
    <w:rsid w:val="2B801E5F"/>
    <w:rsid w:val="2B86AD8F"/>
    <w:rsid w:val="2B882F5C"/>
    <w:rsid w:val="2B8C4881"/>
    <w:rsid w:val="2B8DFDBE"/>
    <w:rsid w:val="2B902BDE"/>
    <w:rsid w:val="2B905326"/>
    <w:rsid w:val="2B972ED5"/>
    <w:rsid w:val="2B9C1673"/>
    <w:rsid w:val="2BA25062"/>
    <w:rsid w:val="2BA314CD"/>
    <w:rsid w:val="2BAC181F"/>
    <w:rsid w:val="2BB6B895"/>
    <w:rsid w:val="2BB98D99"/>
    <w:rsid w:val="2BBB5BC7"/>
    <w:rsid w:val="2BBBA3D2"/>
    <w:rsid w:val="2BBC3848"/>
    <w:rsid w:val="2BC0AB90"/>
    <w:rsid w:val="2BC20E92"/>
    <w:rsid w:val="2BC626F6"/>
    <w:rsid w:val="2BC6D40D"/>
    <w:rsid w:val="2BC924A4"/>
    <w:rsid w:val="2BD3402E"/>
    <w:rsid w:val="2BD34147"/>
    <w:rsid w:val="2BD7C027"/>
    <w:rsid w:val="2BD7C9E1"/>
    <w:rsid w:val="2BDC2310"/>
    <w:rsid w:val="2BE5605B"/>
    <w:rsid w:val="2BE9AB73"/>
    <w:rsid w:val="2BEDF3B4"/>
    <w:rsid w:val="2BEEACFB"/>
    <w:rsid w:val="2BF4D11E"/>
    <w:rsid w:val="2BF5712D"/>
    <w:rsid w:val="2BF77895"/>
    <w:rsid w:val="2BFC6552"/>
    <w:rsid w:val="2C007EB2"/>
    <w:rsid w:val="2C018B6D"/>
    <w:rsid w:val="2C053C99"/>
    <w:rsid w:val="2C063EA6"/>
    <w:rsid w:val="2C06E04A"/>
    <w:rsid w:val="2C076201"/>
    <w:rsid w:val="2C1562C2"/>
    <w:rsid w:val="2C1791AC"/>
    <w:rsid w:val="2C1C7E22"/>
    <w:rsid w:val="2C1E633B"/>
    <w:rsid w:val="2C1F2D0E"/>
    <w:rsid w:val="2C28FFBB"/>
    <w:rsid w:val="2C32E88E"/>
    <w:rsid w:val="2C358912"/>
    <w:rsid w:val="2C3EE6E5"/>
    <w:rsid w:val="2C44BA33"/>
    <w:rsid w:val="2C468349"/>
    <w:rsid w:val="2C4B2A00"/>
    <w:rsid w:val="2C538D24"/>
    <w:rsid w:val="2C5422C2"/>
    <w:rsid w:val="2C54D06F"/>
    <w:rsid w:val="2C572B1E"/>
    <w:rsid w:val="2C5B9EF0"/>
    <w:rsid w:val="2C6581C9"/>
    <w:rsid w:val="2C674F01"/>
    <w:rsid w:val="2C6899C5"/>
    <w:rsid w:val="2C6B809C"/>
    <w:rsid w:val="2C6C19BA"/>
    <w:rsid w:val="2C6C1E04"/>
    <w:rsid w:val="2C716A33"/>
    <w:rsid w:val="2C73C998"/>
    <w:rsid w:val="2C75E2C2"/>
    <w:rsid w:val="2C77760D"/>
    <w:rsid w:val="2C785B7A"/>
    <w:rsid w:val="2C8098F3"/>
    <w:rsid w:val="2C80AD82"/>
    <w:rsid w:val="2C8AF951"/>
    <w:rsid w:val="2C8C9F78"/>
    <w:rsid w:val="2C907AC0"/>
    <w:rsid w:val="2C910C78"/>
    <w:rsid w:val="2C93DA78"/>
    <w:rsid w:val="2C940C27"/>
    <w:rsid w:val="2C96C817"/>
    <w:rsid w:val="2C97D634"/>
    <w:rsid w:val="2C9CB50C"/>
    <w:rsid w:val="2C9FF514"/>
    <w:rsid w:val="2CAD1A60"/>
    <w:rsid w:val="2CB82DD7"/>
    <w:rsid w:val="2CBB754F"/>
    <w:rsid w:val="2CBD7CEB"/>
    <w:rsid w:val="2CBE84E6"/>
    <w:rsid w:val="2CC23E1E"/>
    <w:rsid w:val="2CC2EB80"/>
    <w:rsid w:val="2CC39F9E"/>
    <w:rsid w:val="2CC5CC67"/>
    <w:rsid w:val="2CC8AE45"/>
    <w:rsid w:val="2CC935DF"/>
    <w:rsid w:val="2CCF0982"/>
    <w:rsid w:val="2CD10EEF"/>
    <w:rsid w:val="2CD1C6DD"/>
    <w:rsid w:val="2CD21270"/>
    <w:rsid w:val="2CD350A6"/>
    <w:rsid w:val="2CD4090A"/>
    <w:rsid w:val="2CD4A1F7"/>
    <w:rsid w:val="2CD7DB0F"/>
    <w:rsid w:val="2CE11CB2"/>
    <w:rsid w:val="2CE97637"/>
    <w:rsid w:val="2CEA35B1"/>
    <w:rsid w:val="2CEF4F96"/>
    <w:rsid w:val="2CF23839"/>
    <w:rsid w:val="2CF97988"/>
    <w:rsid w:val="2CFB945A"/>
    <w:rsid w:val="2CFCA78D"/>
    <w:rsid w:val="2D03BE21"/>
    <w:rsid w:val="2D06F886"/>
    <w:rsid w:val="2D0D302E"/>
    <w:rsid w:val="2D1401BE"/>
    <w:rsid w:val="2D14FC5A"/>
    <w:rsid w:val="2D18B2B3"/>
    <w:rsid w:val="2D1D21E3"/>
    <w:rsid w:val="2D21E060"/>
    <w:rsid w:val="2D266F77"/>
    <w:rsid w:val="2D27F467"/>
    <w:rsid w:val="2D2BA999"/>
    <w:rsid w:val="2D30C75C"/>
    <w:rsid w:val="2D35660D"/>
    <w:rsid w:val="2D373738"/>
    <w:rsid w:val="2D38270D"/>
    <w:rsid w:val="2D401714"/>
    <w:rsid w:val="2D414814"/>
    <w:rsid w:val="2D43B0CE"/>
    <w:rsid w:val="2D46857C"/>
    <w:rsid w:val="2D4BB257"/>
    <w:rsid w:val="2D4DB65D"/>
    <w:rsid w:val="2D517F1E"/>
    <w:rsid w:val="2D52E1DD"/>
    <w:rsid w:val="2D56B698"/>
    <w:rsid w:val="2D57092C"/>
    <w:rsid w:val="2D581663"/>
    <w:rsid w:val="2D591975"/>
    <w:rsid w:val="2D623F76"/>
    <w:rsid w:val="2D636799"/>
    <w:rsid w:val="2D687682"/>
    <w:rsid w:val="2D6AE9A6"/>
    <w:rsid w:val="2D6C00C5"/>
    <w:rsid w:val="2D6C651E"/>
    <w:rsid w:val="2D6DABC0"/>
    <w:rsid w:val="2D6EFCDB"/>
    <w:rsid w:val="2D776739"/>
    <w:rsid w:val="2D7A1B88"/>
    <w:rsid w:val="2D7A3FE5"/>
    <w:rsid w:val="2D7AFDA5"/>
    <w:rsid w:val="2D7CCCF7"/>
    <w:rsid w:val="2D7FA0EA"/>
    <w:rsid w:val="2D808020"/>
    <w:rsid w:val="2D809D09"/>
    <w:rsid w:val="2D8164DF"/>
    <w:rsid w:val="2D826CC5"/>
    <w:rsid w:val="2D82DCF4"/>
    <w:rsid w:val="2D845B50"/>
    <w:rsid w:val="2D87757F"/>
    <w:rsid w:val="2D8E43EE"/>
    <w:rsid w:val="2D8FC903"/>
    <w:rsid w:val="2D93A34A"/>
    <w:rsid w:val="2D963A0C"/>
    <w:rsid w:val="2D96406A"/>
    <w:rsid w:val="2D967697"/>
    <w:rsid w:val="2D99014E"/>
    <w:rsid w:val="2D9B0975"/>
    <w:rsid w:val="2DA3BBD9"/>
    <w:rsid w:val="2DA7EC79"/>
    <w:rsid w:val="2DB14349"/>
    <w:rsid w:val="2DB55664"/>
    <w:rsid w:val="2DB60CFE"/>
    <w:rsid w:val="2DBD85FC"/>
    <w:rsid w:val="2DC20E91"/>
    <w:rsid w:val="2DCBA1B0"/>
    <w:rsid w:val="2DD437C2"/>
    <w:rsid w:val="2DD65443"/>
    <w:rsid w:val="2DDF944F"/>
    <w:rsid w:val="2DDFDD3E"/>
    <w:rsid w:val="2DE31BD2"/>
    <w:rsid w:val="2DE3EB9B"/>
    <w:rsid w:val="2DE561AF"/>
    <w:rsid w:val="2DEA2F1D"/>
    <w:rsid w:val="2DEDDDA4"/>
    <w:rsid w:val="2DF47771"/>
    <w:rsid w:val="2DFE6E9F"/>
    <w:rsid w:val="2DFED9C5"/>
    <w:rsid w:val="2DFF8D43"/>
    <w:rsid w:val="2E0C75A6"/>
    <w:rsid w:val="2E1261E9"/>
    <w:rsid w:val="2E1B6250"/>
    <w:rsid w:val="2E1FC02D"/>
    <w:rsid w:val="2E203F86"/>
    <w:rsid w:val="2E21651B"/>
    <w:rsid w:val="2E266DD3"/>
    <w:rsid w:val="2E2A2154"/>
    <w:rsid w:val="2E2D2561"/>
    <w:rsid w:val="2E2E0980"/>
    <w:rsid w:val="2E335418"/>
    <w:rsid w:val="2E37D2B1"/>
    <w:rsid w:val="2E3931D2"/>
    <w:rsid w:val="2E3AC1AD"/>
    <w:rsid w:val="2E3B2557"/>
    <w:rsid w:val="2E4429B4"/>
    <w:rsid w:val="2E4ED08D"/>
    <w:rsid w:val="2E4EED62"/>
    <w:rsid w:val="2E5095EC"/>
    <w:rsid w:val="2E54CA71"/>
    <w:rsid w:val="2E5E552B"/>
    <w:rsid w:val="2E5E9394"/>
    <w:rsid w:val="2E633F11"/>
    <w:rsid w:val="2E69F42D"/>
    <w:rsid w:val="2E6F9AB5"/>
    <w:rsid w:val="2E76BFD0"/>
    <w:rsid w:val="2E7B1E92"/>
    <w:rsid w:val="2E7BAED7"/>
    <w:rsid w:val="2E8189C1"/>
    <w:rsid w:val="2E86C4FB"/>
    <w:rsid w:val="2E8B3362"/>
    <w:rsid w:val="2E8BD5E3"/>
    <w:rsid w:val="2E8E6E93"/>
    <w:rsid w:val="2E913546"/>
    <w:rsid w:val="2E95F677"/>
    <w:rsid w:val="2E9B550A"/>
    <w:rsid w:val="2E9E2C2A"/>
    <w:rsid w:val="2EA083D1"/>
    <w:rsid w:val="2EA0F286"/>
    <w:rsid w:val="2EA5506E"/>
    <w:rsid w:val="2EA85130"/>
    <w:rsid w:val="2EAA6859"/>
    <w:rsid w:val="2EABFB67"/>
    <w:rsid w:val="2EAD1E0D"/>
    <w:rsid w:val="2EAD3C1B"/>
    <w:rsid w:val="2EAE116A"/>
    <w:rsid w:val="2EB4070A"/>
    <w:rsid w:val="2EBAD49A"/>
    <w:rsid w:val="2EBCB40B"/>
    <w:rsid w:val="2EBDDEEA"/>
    <w:rsid w:val="2EBED0AC"/>
    <w:rsid w:val="2EC6FA15"/>
    <w:rsid w:val="2ECBA604"/>
    <w:rsid w:val="2ECD119E"/>
    <w:rsid w:val="2ECD63E2"/>
    <w:rsid w:val="2ECF1227"/>
    <w:rsid w:val="2ECF687A"/>
    <w:rsid w:val="2ED1E500"/>
    <w:rsid w:val="2ED34685"/>
    <w:rsid w:val="2ED64C2E"/>
    <w:rsid w:val="2ED858FC"/>
    <w:rsid w:val="2EE1432D"/>
    <w:rsid w:val="2EE36F0B"/>
    <w:rsid w:val="2EE6E97C"/>
    <w:rsid w:val="2EE986BE"/>
    <w:rsid w:val="2EEF6F32"/>
    <w:rsid w:val="2EF3BD78"/>
    <w:rsid w:val="2EF50484"/>
    <w:rsid w:val="2EF81F2A"/>
    <w:rsid w:val="2EF89618"/>
    <w:rsid w:val="2EFAF6DB"/>
    <w:rsid w:val="2EFC803D"/>
    <w:rsid w:val="2F01B82B"/>
    <w:rsid w:val="2F02C7C2"/>
    <w:rsid w:val="2F03A41E"/>
    <w:rsid w:val="2F0AB90B"/>
    <w:rsid w:val="2F1061AD"/>
    <w:rsid w:val="2F15B969"/>
    <w:rsid w:val="2F16320A"/>
    <w:rsid w:val="2F16C9AF"/>
    <w:rsid w:val="2F17BB11"/>
    <w:rsid w:val="2F18D9F4"/>
    <w:rsid w:val="2F1C1CF5"/>
    <w:rsid w:val="2F2F9300"/>
    <w:rsid w:val="2F2FD3E5"/>
    <w:rsid w:val="2F3270DF"/>
    <w:rsid w:val="2F32FD71"/>
    <w:rsid w:val="2F3C644B"/>
    <w:rsid w:val="2F3C78F5"/>
    <w:rsid w:val="2F3D14B7"/>
    <w:rsid w:val="2F3DA12F"/>
    <w:rsid w:val="2F401E9E"/>
    <w:rsid w:val="2F40FE22"/>
    <w:rsid w:val="2F410DB7"/>
    <w:rsid w:val="2F4147FC"/>
    <w:rsid w:val="2F4BD820"/>
    <w:rsid w:val="2F52E4A9"/>
    <w:rsid w:val="2F53C54D"/>
    <w:rsid w:val="2F56F3BC"/>
    <w:rsid w:val="2F5F1AB8"/>
    <w:rsid w:val="2F64DB23"/>
    <w:rsid w:val="2F64F798"/>
    <w:rsid w:val="2F6B8B71"/>
    <w:rsid w:val="2F6EB734"/>
    <w:rsid w:val="2F706274"/>
    <w:rsid w:val="2F70867C"/>
    <w:rsid w:val="2F73BA92"/>
    <w:rsid w:val="2F775E63"/>
    <w:rsid w:val="2F79072D"/>
    <w:rsid w:val="2F7F3FEA"/>
    <w:rsid w:val="2F86E37E"/>
    <w:rsid w:val="2F89FB6C"/>
    <w:rsid w:val="2F94854A"/>
    <w:rsid w:val="2F9E1F30"/>
    <w:rsid w:val="2F9E4F87"/>
    <w:rsid w:val="2FAB641D"/>
    <w:rsid w:val="2FC08E47"/>
    <w:rsid w:val="2FCBF672"/>
    <w:rsid w:val="2FCC1C2A"/>
    <w:rsid w:val="2FCF03A2"/>
    <w:rsid w:val="2FD46644"/>
    <w:rsid w:val="2FD61FB4"/>
    <w:rsid w:val="2FD8A4FE"/>
    <w:rsid w:val="2FDFF67A"/>
    <w:rsid w:val="2FE08A13"/>
    <w:rsid w:val="2FE3DAB6"/>
    <w:rsid w:val="2FE884A8"/>
    <w:rsid w:val="2FE9CF64"/>
    <w:rsid w:val="2FEDA446"/>
    <w:rsid w:val="2FEEC272"/>
    <w:rsid w:val="2FF24A54"/>
    <w:rsid w:val="2FF33170"/>
    <w:rsid w:val="2FF366E5"/>
    <w:rsid w:val="2FF71A4D"/>
    <w:rsid w:val="2FF80869"/>
    <w:rsid w:val="2FFB4060"/>
    <w:rsid w:val="30008369"/>
    <w:rsid w:val="30024F15"/>
    <w:rsid w:val="3003907E"/>
    <w:rsid w:val="3008D82E"/>
    <w:rsid w:val="300BB689"/>
    <w:rsid w:val="300C945B"/>
    <w:rsid w:val="300DA0EA"/>
    <w:rsid w:val="300E6A80"/>
    <w:rsid w:val="30120686"/>
    <w:rsid w:val="30123F0B"/>
    <w:rsid w:val="30126838"/>
    <w:rsid w:val="3018B147"/>
    <w:rsid w:val="3018B86C"/>
    <w:rsid w:val="3018C426"/>
    <w:rsid w:val="301FB6BB"/>
    <w:rsid w:val="301FC09D"/>
    <w:rsid w:val="3020693E"/>
    <w:rsid w:val="30216C66"/>
    <w:rsid w:val="3026AED8"/>
    <w:rsid w:val="3027B9DE"/>
    <w:rsid w:val="30287CD4"/>
    <w:rsid w:val="302881E7"/>
    <w:rsid w:val="302EA05A"/>
    <w:rsid w:val="30305662"/>
    <w:rsid w:val="30341B86"/>
    <w:rsid w:val="30383321"/>
    <w:rsid w:val="30385C92"/>
    <w:rsid w:val="3038BBBA"/>
    <w:rsid w:val="303F5C96"/>
    <w:rsid w:val="30407B76"/>
    <w:rsid w:val="30454D25"/>
    <w:rsid w:val="3047C672"/>
    <w:rsid w:val="304AB88A"/>
    <w:rsid w:val="30544603"/>
    <w:rsid w:val="3054E800"/>
    <w:rsid w:val="30558022"/>
    <w:rsid w:val="3057695A"/>
    <w:rsid w:val="30578F6B"/>
    <w:rsid w:val="3058C9C7"/>
    <w:rsid w:val="305C44A0"/>
    <w:rsid w:val="305D1285"/>
    <w:rsid w:val="306112FE"/>
    <w:rsid w:val="3062DEFA"/>
    <w:rsid w:val="30690F4F"/>
    <w:rsid w:val="306F3C02"/>
    <w:rsid w:val="3078310B"/>
    <w:rsid w:val="307AD57B"/>
    <w:rsid w:val="308BA5D5"/>
    <w:rsid w:val="30910BE7"/>
    <w:rsid w:val="3097F290"/>
    <w:rsid w:val="309B7EDC"/>
    <w:rsid w:val="309F1658"/>
    <w:rsid w:val="30A44BA7"/>
    <w:rsid w:val="30A876C2"/>
    <w:rsid w:val="30AA9BFC"/>
    <w:rsid w:val="30AB14A2"/>
    <w:rsid w:val="30AC0F05"/>
    <w:rsid w:val="30B9A708"/>
    <w:rsid w:val="30C0B0A5"/>
    <w:rsid w:val="30C2AEFE"/>
    <w:rsid w:val="30C4BD9F"/>
    <w:rsid w:val="30C4E2A7"/>
    <w:rsid w:val="30CEA295"/>
    <w:rsid w:val="30D1845B"/>
    <w:rsid w:val="30D6A594"/>
    <w:rsid w:val="30D711CF"/>
    <w:rsid w:val="30D8400E"/>
    <w:rsid w:val="30D84D38"/>
    <w:rsid w:val="30D87E15"/>
    <w:rsid w:val="30D8AEA3"/>
    <w:rsid w:val="30DD8854"/>
    <w:rsid w:val="30E6486E"/>
    <w:rsid w:val="30E7C829"/>
    <w:rsid w:val="30E9E0FF"/>
    <w:rsid w:val="30EA4972"/>
    <w:rsid w:val="30EBB35B"/>
    <w:rsid w:val="30ED3E22"/>
    <w:rsid w:val="30ED595B"/>
    <w:rsid w:val="30EE7262"/>
    <w:rsid w:val="30FA63C4"/>
    <w:rsid w:val="310B5386"/>
    <w:rsid w:val="310BDAB5"/>
    <w:rsid w:val="310C7391"/>
    <w:rsid w:val="310E48E1"/>
    <w:rsid w:val="3113EF3E"/>
    <w:rsid w:val="311D0271"/>
    <w:rsid w:val="31233C0F"/>
    <w:rsid w:val="3123915D"/>
    <w:rsid w:val="3133774A"/>
    <w:rsid w:val="3136E51F"/>
    <w:rsid w:val="313ACA50"/>
    <w:rsid w:val="313E25C1"/>
    <w:rsid w:val="31456043"/>
    <w:rsid w:val="3147BB71"/>
    <w:rsid w:val="315A893C"/>
    <w:rsid w:val="315E4BDD"/>
    <w:rsid w:val="315F3B51"/>
    <w:rsid w:val="316E74AF"/>
    <w:rsid w:val="317659A1"/>
    <w:rsid w:val="317B8B7F"/>
    <w:rsid w:val="317DCD91"/>
    <w:rsid w:val="3185F175"/>
    <w:rsid w:val="31862CDE"/>
    <w:rsid w:val="31863E9F"/>
    <w:rsid w:val="31873216"/>
    <w:rsid w:val="319300DD"/>
    <w:rsid w:val="31944C39"/>
    <w:rsid w:val="319503AC"/>
    <w:rsid w:val="31953772"/>
    <w:rsid w:val="3197E5EE"/>
    <w:rsid w:val="31981217"/>
    <w:rsid w:val="31988538"/>
    <w:rsid w:val="31A85DD0"/>
    <w:rsid w:val="31AB9259"/>
    <w:rsid w:val="31AE3899"/>
    <w:rsid w:val="31AF6513"/>
    <w:rsid w:val="31AF9380"/>
    <w:rsid w:val="31B3E57F"/>
    <w:rsid w:val="31B762B7"/>
    <w:rsid w:val="31C34EC7"/>
    <w:rsid w:val="31C39F4E"/>
    <w:rsid w:val="31C8B1E6"/>
    <w:rsid w:val="31D28AA2"/>
    <w:rsid w:val="31D442B4"/>
    <w:rsid w:val="31D5F7A1"/>
    <w:rsid w:val="31D9F27C"/>
    <w:rsid w:val="31DCD9BA"/>
    <w:rsid w:val="31EBAF44"/>
    <w:rsid w:val="31F557F3"/>
    <w:rsid w:val="31FB90DA"/>
    <w:rsid w:val="31FFB5D2"/>
    <w:rsid w:val="32051075"/>
    <w:rsid w:val="32085BD1"/>
    <w:rsid w:val="320C0DBB"/>
    <w:rsid w:val="320C99AE"/>
    <w:rsid w:val="320D8DE4"/>
    <w:rsid w:val="3210A9F7"/>
    <w:rsid w:val="32113B3E"/>
    <w:rsid w:val="32114161"/>
    <w:rsid w:val="32148408"/>
    <w:rsid w:val="321B3276"/>
    <w:rsid w:val="321C5575"/>
    <w:rsid w:val="3220280B"/>
    <w:rsid w:val="3221F84D"/>
    <w:rsid w:val="322865CC"/>
    <w:rsid w:val="3228C0BA"/>
    <w:rsid w:val="32295955"/>
    <w:rsid w:val="32299C89"/>
    <w:rsid w:val="322A426D"/>
    <w:rsid w:val="322B05C6"/>
    <w:rsid w:val="322FEBD5"/>
    <w:rsid w:val="32318AE6"/>
    <w:rsid w:val="3239E693"/>
    <w:rsid w:val="323B904B"/>
    <w:rsid w:val="32423329"/>
    <w:rsid w:val="32435E16"/>
    <w:rsid w:val="32491432"/>
    <w:rsid w:val="32582522"/>
    <w:rsid w:val="325BE0F8"/>
    <w:rsid w:val="325C9E2E"/>
    <w:rsid w:val="325F6854"/>
    <w:rsid w:val="32677E6C"/>
    <w:rsid w:val="326E534E"/>
    <w:rsid w:val="3273844E"/>
    <w:rsid w:val="3273F04F"/>
    <w:rsid w:val="32771B25"/>
    <w:rsid w:val="3278EA3A"/>
    <w:rsid w:val="32845EBB"/>
    <w:rsid w:val="32846080"/>
    <w:rsid w:val="32848DFC"/>
    <w:rsid w:val="3285D938"/>
    <w:rsid w:val="328E6E92"/>
    <w:rsid w:val="3290E738"/>
    <w:rsid w:val="329645F4"/>
    <w:rsid w:val="3296652B"/>
    <w:rsid w:val="3296B2F8"/>
    <w:rsid w:val="32981161"/>
    <w:rsid w:val="329D665C"/>
    <w:rsid w:val="32A87FF1"/>
    <w:rsid w:val="32AD43CD"/>
    <w:rsid w:val="32B0C0DC"/>
    <w:rsid w:val="32B69294"/>
    <w:rsid w:val="32B80411"/>
    <w:rsid w:val="32B97162"/>
    <w:rsid w:val="32B9AECE"/>
    <w:rsid w:val="32C2FD8A"/>
    <w:rsid w:val="32C60F56"/>
    <w:rsid w:val="32C6958D"/>
    <w:rsid w:val="32CDDB3F"/>
    <w:rsid w:val="32CFD9D9"/>
    <w:rsid w:val="32D3C3D5"/>
    <w:rsid w:val="32E00A9D"/>
    <w:rsid w:val="32E13441"/>
    <w:rsid w:val="32E20740"/>
    <w:rsid w:val="32E94F07"/>
    <w:rsid w:val="32EB72DB"/>
    <w:rsid w:val="32F016FC"/>
    <w:rsid w:val="32F277C1"/>
    <w:rsid w:val="32F86A7E"/>
    <w:rsid w:val="32F8A838"/>
    <w:rsid w:val="32F9ACE0"/>
    <w:rsid w:val="32FBC42F"/>
    <w:rsid w:val="32FEB753"/>
    <w:rsid w:val="330284D6"/>
    <w:rsid w:val="3306D979"/>
    <w:rsid w:val="330DE953"/>
    <w:rsid w:val="330E0411"/>
    <w:rsid w:val="330E0922"/>
    <w:rsid w:val="33143BB2"/>
    <w:rsid w:val="33166E0B"/>
    <w:rsid w:val="331D628F"/>
    <w:rsid w:val="3321DED3"/>
    <w:rsid w:val="33243601"/>
    <w:rsid w:val="3324E354"/>
    <w:rsid w:val="332510FC"/>
    <w:rsid w:val="332A0CA8"/>
    <w:rsid w:val="332B796F"/>
    <w:rsid w:val="3331D80C"/>
    <w:rsid w:val="3333039C"/>
    <w:rsid w:val="33364444"/>
    <w:rsid w:val="33377CC5"/>
    <w:rsid w:val="333B2B55"/>
    <w:rsid w:val="333B9ECC"/>
    <w:rsid w:val="333E7D4C"/>
    <w:rsid w:val="3343BEF3"/>
    <w:rsid w:val="33441231"/>
    <w:rsid w:val="33476845"/>
    <w:rsid w:val="334E050E"/>
    <w:rsid w:val="33576CBB"/>
    <w:rsid w:val="33685E96"/>
    <w:rsid w:val="3368749F"/>
    <w:rsid w:val="3368F68F"/>
    <w:rsid w:val="336F46E0"/>
    <w:rsid w:val="337017A7"/>
    <w:rsid w:val="337743E5"/>
    <w:rsid w:val="3378686C"/>
    <w:rsid w:val="337E0B3C"/>
    <w:rsid w:val="3381C712"/>
    <w:rsid w:val="33827B35"/>
    <w:rsid w:val="3387D46F"/>
    <w:rsid w:val="338885C0"/>
    <w:rsid w:val="338F0786"/>
    <w:rsid w:val="3390A5F6"/>
    <w:rsid w:val="339555BC"/>
    <w:rsid w:val="3395D047"/>
    <w:rsid w:val="3397613B"/>
    <w:rsid w:val="3397910C"/>
    <w:rsid w:val="339C6779"/>
    <w:rsid w:val="339C9FE3"/>
    <w:rsid w:val="339CF337"/>
    <w:rsid w:val="339FA114"/>
    <w:rsid w:val="33A20465"/>
    <w:rsid w:val="33A37B6A"/>
    <w:rsid w:val="33A71BDC"/>
    <w:rsid w:val="33A72FA8"/>
    <w:rsid w:val="33A8B9B3"/>
    <w:rsid w:val="33AAAFCF"/>
    <w:rsid w:val="33B1E800"/>
    <w:rsid w:val="33B20F70"/>
    <w:rsid w:val="33B4AB3C"/>
    <w:rsid w:val="33B4EA1F"/>
    <w:rsid w:val="33BFC22E"/>
    <w:rsid w:val="33C102CD"/>
    <w:rsid w:val="33C6EC41"/>
    <w:rsid w:val="33C9B3B9"/>
    <w:rsid w:val="33CF41B5"/>
    <w:rsid w:val="33D203D7"/>
    <w:rsid w:val="33D36894"/>
    <w:rsid w:val="33D67247"/>
    <w:rsid w:val="33DA596E"/>
    <w:rsid w:val="33DAFAE2"/>
    <w:rsid w:val="33E28440"/>
    <w:rsid w:val="33E7822C"/>
    <w:rsid w:val="33E7A722"/>
    <w:rsid w:val="33EC66B7"/>
    <w:rsid w:val="33EFFDCF"/>
    <w:rsid w:val="33F250AC"/>
    <w:rsid w:val="33F307D2"/>
    <w:rsid w:val="33F41C81"/>
    <w:rsid w:val="33F619B2"/>
    <w:rsid w:val="33F71063"/>
    <w:rsid w:val="33F9B026"/>
    <w:rsid w:val="33FB9518"/>
    <w:rsid w:val="3401F56D"/>
    <w:rsid w:val="34034ECD"/>
    <w:rsid w:val="34081430"/>
    <w:rsid w:val="3409C844"/>
    <w:rsid w:val="340A59A0"/>
    <w:rsid w:val="340CFC25"/>
    <w:rsid w:val="34137171"/>
    <w:rsid w:val="34199593"/>
    <w:rsid w:val="341A3DEB"/>
    <w:rsid w:val="341BBB56"/>
    <w:rsid w:val="341C2E45"/>
    <w:rsid w:val="341C772A"/>
    <w:rsid w:val="34220706"/>
    <w:rsid w:val="342363E4"/>
    <w:rsid w:val="342D02C2"/>
    <w:rsid w:val="343222BD"/>
    <w:rsid w:val="3440FF7A"/>
    <w:rsid w:val="3441B7F4"/>
    <w:rsid w:val="3445A96C"/>
    <w:rsid w:val="344A51AA"/>
    <w:rsid w:val="344B5544"/>
    <w:rsid w:val="34575EB4"/>
    <w:rsid w:val="34591834"/>
    <w:rsid w:val="3465EB86"/>
    <w:rsid w:val="34670F6C"/>
    <w:rsid w:val="3469E9F9"/>
    <w:rsid w:val="347C0337"/>
    <w:rsid w:val="347CFEBC"/>
    <w:rsid w:val="3482EF00"/>
    <w:rsid w:val="3487B327"/>
    <w:rsid w:val="34899BF4"/>
    <w:rsid w:val="348B35C9"/>
    <w:rsid w:val="3493FF6A"/>
    <w:rsid w:val="34979490"/>
    <w:rsid w:val="349A03E4"/>
    <w:rsid w:val="349A2708"/>
    <w:rsid w:val="34A1E87D"/>
    <w:rsid w:val="34A863A0"/>
    <w:rsid w:val="34B92120"/>
    <w:rsid w:val="34BCA2A0"/>
    <w:rsid w:val="34C8F013"/>
    <w:rsid w:val="34CC7077"/>
    <w:rsid w:val="34CFE0B8"/>
    <w:rsid w:val="34D23FE7"/>
    <w:rsid w:val="34D650C0"/>
    <w:rsid w:val="34DA6906"/>
    <w:rsid w:val="34DB3970"/>
    <w:rsid w:val="34E2281B"/>
    <w:rsid w:val="34E346DA"/>
    <w:rsid w:val="34EB269B"/>
    <w:rsid w:val="3508F86D"/>
    <w:rsid w:val="350A4A55"/>
    <w:rsid w:val="350B65F8"/>
    <w:rsid w:val="3510172F"/>
    <w:rsid w:val="351797DA"/>
    <w:rsid w:val="35182F52"/>
    <w:rsid w:val="35342BEB"/>
    <w:rsid w:val="35347BA9"/>
    <w:rsid w:val="3534B7C5"/>
    <w:rsid w:val="35353259"/>
    <w:rsid w:val="3537A404"/>
    <w:rsid w:val="3539D171"/>
    <w:rsid w:val="353C0B39"/>
    <w:rsid w:val="353DB611"/>
    <w:rsid w:val="353EA9FE"/>
    <w:rsid w:val="35424923"/>
    <w:rsid w:val="354796FE"/>
    <w:rsid w:val="354C0D94"/>
    <w:rsid w:val="354F5041"/>
    <w:rsid w:val="354F5838"/>
    <w:rsid w:val="3554963C"/>
    <w:rsid w:val="3556E6A0"/>
    <w:rsid w:val="3558A0BC"/>
    <w:rsid w:val="35597122"/>
    <w:rsid w:val="355F8DEF"/>
    <w:rsid w:val="3560FA17"/>
    <w:rsid w:val="35631A8E"/>
    <w:rsid w:val="356B9075"/>
    <w:rsid w:val="356C0202"/>
    <w:rsid w:val="3577E9E9"/>
    <w:rsid w:val="357C670C"/>
    <w:rsid w:val="357CAD01"/>
    <w:rsid w:val="357CB434"/>
    <w:rsid w:val="357DC0D5"/>
    <w:rsid w:val="357DE7AB"/>
    <w:rsid w:val="358517A5"/>
    <w:rsid w:val="3585DE56"/>
    <w:rsid w:val="358B9A1B"/>
    <w:rsid w:val="359A4D9B"/>
    <w:rsid w:val="359F1F2E"/>
    <w:rsid w:val="359F4494"/>
    <w:rsid w:val="35A0CDFC"/>
    <w:rsid w:val="35A6B7AF"/>
    <w:rsid w:val="35A8CC86"/>
    <w:rsid w:val="35AC481C"/>
    <w:rsid w:val="35AD8689"/>
    <w:rsid w:val="35AF5D5B"/>
    <w:rsid w:val="35BADF6E"/>
    <w:rsid w:val="35BB71AC"/>
    <w:rsid w:val="35BBBA65"/>
    <w:rsid w:val="35BE1E81"/>
    <w:rsid w:val="35CB341B"/>
    <w:rsid w:val="35D10EE7"/>
    <w:rsid w:val="35D87010"/>
    <w:rsid w:val="35DAE557"/>
    <w:rsid w:val="35DF64D8"/>
    <w:rsid w:val="35DFA272"/>
    <w:rsid w:val="35E11A44"/>
    <w:rsid w:val="35ED255F"/>
    <w:rsid w:val="35EED4A3"/>
    <w:rsid w:val="35F08110"/>
    <w:rsid w:val="35F7FD7D"/>
    <w:rsid w:val="3600CAE6"/>
    <w:rsid w:val="36094FF8"/>
    <w:rsid w:val="360F6C35"/>
    <w:rsid w:val="36185EF0"/>
    <w:rsid w:val="3618CF1D"/>
    <w:rsid w:val="361AEA4C"/>
    <w:rsid w:val="361D0E85"/>
    <w:rsid w:val="361D33E3"/>
    <w:rsid w:val="362059B5"/>
    <w:rsid w:val="3621D07E"/>
    <w:rsid w:val="36252667"/>
    <w:rsid w:val="36301615"/>
    <w:rsid w:val="36321B50"/>
    <w:rsid w:val="363292F1"/>
    <w:rsid w:val="3635A54A"/>
    <w:rsid w:val="3635E500"/>
    <w:rsid w:val="364182AE"/>
    <w:rsid w:val="36421C95"/>
    <w:rsid w:val="36441CBC"/>
    <w:rsid w:val="36484E4B"/>
    <w:rsid w:val="364A92D6"/>
    <w:rsid w:val="364E717C"/>
    <w:rsid w:val="3650A7D1"/>
    <w:rsid w:val="365542AE"/>
    <w:rsid w:val="3655B052"/>
    <w:rsid w:val="365B60A4"/>
    <w:rsid w:val="365E0FAA"/>
    <w:rsid w:val="366481D7"/>
    <w:rsid w:val="366DB9F0"/>
    <w:rsid w:val="366DEB6D"/>
    <w:rsid w:val="36755A30"/>
    <w:rsid w:val="3677AC6B"/>
    <w:rsid w:val="367BB342"/>
    <w:rsid w:val="367BBD3C"/>
    <w:rsid w:val="367C34CE"/>
    <w:rsid w:val="367C62B6"/>
    <w:rsid w:val="367E2E03"/>
    <w:rsid w:val="3684357F"/>
    <w:rsid w:val="368C573C"/>
    <w:rsid w:val="36A0D044"/>
    <w:rsid w:val="36A39993"/>
    <w:rsid w:val="36B00614"/>
    <w:rsid w:val="36BD3F42"/>
    <w:rsid w:val="36BE36D7"/>
    <w:rsid w:val="36BEC04E"/>
    <w:rsid w:val="36BFEEC0"/>
    <w:rsid w:val="36C084C8"/>
    <w:rsid w:val="36C721C9"/>
    <w:rsid w:val="36D29AEE"/>
    <w:rsid w:val="36D5C858"/>
    <w:rsid w:val="36D7D818"/>
    <w:rsid w:val="36D812AD"/>
    <w:rsid w:val="36E0BD6A"/>
    <w:rsid w:val="36E16C73"/>
    <w:rsid w:val="36E2BAC1"/>
    <w:rsid w:val="36E45DD0"/>
    <w:rsid w:val="36E6E61C"/>
    <w:rsid w:val="36F0C3FF"/>
    <w:rsid w:val="36F215F1"/>
    <w:rsid w:val="36F31902"/>
    <w:rsid w:val="36F31A23"/>
    <w:rsid w:val="36F48D47"/>
    <w:rsid w:val="36F69789"/>
    <w:rsid w:val="36F7961C"/>
    <w:rsid w:val="36FEEAEF"/>
    <w:rsid w:val="3704BF56"/>
    <w:rsid w:val="370E40B6"/>
    <w:rsid w:val="3717E4FB"/>
    <w:rsid w:val="371AF399"/>
    <w:rsid w:val="371BA381"/>
    <w:rsid w:val="371E3241"/>
    <w:rsid w:val="371F68FF"/>
    <w:rsid w:val="37240CB3"/>
    <w:rsid w:val="3728CBDD"/>
    <w:rsid w:val="37295211"/>
    <w:rsid w:val="372E3693"/>
    <w:rsid w:val="37301C3B"/>
    <w:rsid w:val="37333A42"/>
    <w:rsid w:val="37387B15"/>
    <w:rsid w:val="373A9A4D"/>
    <w:rsid w:val="37418425"/>
    <w:rsid w:val="37438E8A"/>
    <w:rsid w:val="374462B1"/>
    <w:rsid w:val="3746C2F9"/>
    <w:rsid w:val="37498AFC"/>
    <w:rsid w:val="374C8119"/>
    <w:rsid w:val="37559A3C"/>
    <w:rsid w:val="375679CB"/>
    <w:rsid w:val="3757D29B"/>
    <w:rsid w:val="3758E2E3"/>
    <w:rsid w:val="3759CB97"/>
    <w:rsid w:val="375A97F8"/>
    <w:rsid w:val="375C8691"/>
    <w:rsid w:val="375EE876"/>
    <w:rsid w:val="37600A48"/>
    <w:rsid w:val="376B2A65"/>
    <w:rsid w:val="376C2632"/>
    <w:rsid w:val="377195E4"/>
    <w:rsid w:val="3772B0A1"/>
    <w:rsid w:val="377B1D2D"/>
    <w:rsid w:val="378509B7"/>
    <w:rsid w:val="3789AA44"/>
    <w:rsid w:val="3789DAC4"/>
    <w:rsid w:val="378EF267"/>
    <w:rsid w:val="379076B7"/>
    <w:rsid w:val="379FF9A3"/>
    <w:rsid w:val="37AD3137"/>
    <w:rsid w:val="37ADD50B"/>
    <w:rsid w:val="37B533CA"/>
    <w:rsid w:val="37B68164"/>
    <w:rsid w:val="37C1B839"/>
    <w:rsid w:val="37C344BE"/>
    <w:rsid w:val="37C61844"/>
    <w:rsid w:val="37CB3741"/>
    <w:rsid w:val="37CE71D5"/>
    <w:rsid w:val="37D407A7"/>
    <w:rsid w:val="37D89FCA"/>
    <w:rsid w:val="37DB7FD5"/>
    <w:rsid w:val="37DE6062"/>
    <w:rsid w:val="37E2845A"/>
    <w:rsid w:val="37E85B96"/>
    <w:rsid w:val="37EB8B82"/>
    <w:rsid w:val="37EBD380"/>
    <w:rsid w:val="37EF9CBE"/>
    <w:rsid w:val="37F63F21"/>
    <w:rsid w:val="37FE5255"/>
    <w:rsid w:val="37FF8C99"/>
    <w:rsid w:val="3800EA4A"/>
    <w:rsid w:val="380A3479"/>
    <w:rsid w:val="38100074"/>
    <w:rsid w:val="381068AA"/>
    <w:rsid w:val="3813E451"/>
    <w:rsid w:val="3817FBF4"/>
    <w:rsid w:val="381DFDF5"/>
    <w:rsid w:val="381FBC4E"/>
    <w:rsid w:val="382408C9"/>
    <w:rsid w:val="3829C836"/>
    <w:rsid w:val="38399556"/>
    <w:rsid w:val="383B29F6"/>
    <w:rsid w:val="383CDF18"/>
    <w:rsid w:val="383CF654"/>
    <w:rsid w:val="383D3517"/>
    <w:rsid w:val="383FA2FA"/>
    <w:rsid w:val="3843602C"/>
    <w:rsid w:val="384710AB"/>
    <w:rsid w:val="3848C014"/>
    <w:rsid w:val="384BF7D9"/>
    <w:rsid w:val="384CD882"/>
    <w:rsid w:val="384D1F78"/>
    <w:rsid w:val="384EED31"/>
    <w:rsid w:val="385293E5"/>
    <w:rsid w:val="38595C60"/>
    <w:rsid w:val="3859FC8A"/>
    <w:rsid w:val="385BE1A5"/>
    <w:rsid w:val="385E23A0"/>
    <w:rsid w:val="385E9EEB"/>
    <w:rsid w:val="385F05D3"/>
    <w:rsid w:val="385F4331"/>
    <w:rsid w:val="38624E5B"/>
    <w:rsid w:val="386AD469"/>
    <w:rsid w:val="386EB87E"/>
    <w:rsid w:val="3875DA4A"/>
    <w:rsid w:val="3877E13B"/>
    <w:rsid w:val="387BC128"/>
    <w:rsid w:val="387BC9AD"/>
    <w:rsid w:val="3881A3C1"/>
    <w:rsid w:val="38830E57"/>
    <w:rsid w:val="388539BD"/>
    <w:rsid w:val="3896E9F1"/>
    <w:rsid w:val="3899DDE7"/>
    <w:rsid w:val="389A67D0"/>
    <w:rsid w:val="389B2310"/>
    <w:rsid w:val="38A08CE6"/>
    <w:rsid w:val="38A2F766"/>
    <w:rsid w:val="38A443D4"/>
    <w:rsid w:val="38AC566D"/>
    <w:rsid w:val="38B2983D"/>
    <w:rsid w:val="38B32C25"/>
    <w:rsid w:val="38B491DD"/>
    <w:rsid w:val="38B686D4"/>
    <w:rsid w:val="38B773E2"/>
    <w:rsid w:val="38B7B665"/>
    <w:rsid w:val="38B7FAD6"/>
    <w:rsid w:val="38B9A22C"/>
    <w:rsid w:val="38B9C7C1"/>
    <w:rsid w:val="38BCFD37"/>
    <w:rsid w:val="38BD53DF"/>
    <w:rsid w:val="38C4CA5E"/>
    <w:rsid w:val="38D06105"/>
    <w:rsid w:val="38D3444F"/>
    <w:rsid w:val="38D65C5B"/>
    <w:rsid w:val="38D7EBF4"/>
    <w:rsid w:val="38D9E7EA"/>
    <w:rsid w:val="38DCC9BE"/>
    <w:rsid w:val="38DF0A3F"/>
    <w:rsid w:val="38E08EBC"/>
    <w:rsid w:val="38E8B5E4"/>
    <w:rsid w:val="38EDF138"/>
    <w:rsid w:val="38EFE84D"/>
    <w:rsid w:val="38F2E6B8"/>
    <w:rsid w:val="38F32BEF"/>
    <w:rsid w:val="38F3C85C"/>
    <w:rsid w:val="38F7F0E7"/>
    <w:rsid w:val="3900B3E0"/>
    <w:rsid w:val="3901F5FD"/>
    <w:rsid w:val="3902AF28"/>
    <w:rsid w:val="390689DE"/>
    <w:rsid w:val="390AE1A5"/>
    <w:rsid w:val="390B4FE1"/>
    <w:rsid w:val="390B5BC4"/>
    <w:rsid w:val="3910B4EF"/>
    <w:rsid w:val="39159FF8"/>
    <w:rsid w:val="3916C931"/>
    <w:rsid w:val="391BECF0"/>
    <w:rsid w:val="391D8F97"/>
    <w:rsid w:val="391EE83E"/>
    <w:rsid w:val="39233FEE"/>
    <w:rsid w:val="3923F0E5"/>
    <w:rsid w:val="392645C6"/>
    <w:rsid w:val="39283877"/>
    <w:rsid w:val="39288E3C"/>
    <w:rsid w:val="3928A57D"/>
    <w:rsid w:val="392D5514"/>
    <w:rsid w:val="392F4B5E"/>
    <w:rsid w:val="3933889E"/>
    <w:rsid w:val="3938B8E3"/>
    <w:rsid w:val="3944F896"/>
    <w:rsid w:val="3945D1F7"/>
    <w:rsid w:val="3950DDBC"/>
    <w:rsid w:val="3955E915"/>
    <w:rsid w:val="39591C78"/>
    <w:rsid w:val="396360ED"/>
    <w:rsid w:val="396706EF"/>
    <w:rsid w:val="39686730"/>
    <w:rsid w:val="3969E46E"/>
    <w:rsid w:val="396A5C88"/>
    <w:rsid w:val="396B83C2"/>
    <w:rsid w:val="396D9406"/>
    <w:rsid w:val="3971085E"/>
    <w:rsid w:val="39783489"/>
    <w:rsid w:val="397A9238"/>
    <w:rsid w:val="39812D64"/>
    <w:rsid w:val="39825433"/>
    <w:rsid w:val="39856DA0"/>
    <w:rsid w:val="3985D935"/>
    <w:rsid w:val="39863D95"/>
    <w:rsid w:val="398B63AA"/>
    <w:rsid w:val="39901DAD"/>
    <w:rsid w:val="39944865"/>
    <w:rsid w:val="399747E7"/>
    <w:rsid w:val="39989478"/>
    <w:rsid w:val="399A2BD9"/>
    <w:rsid w:val="39A06AED"/>
    <w:rsid w:val="39A9D505"/>
    <w:rsid w:val="39ACD378"/>
    <w:rsid w:val="39B26B9E"/>
    <w:rsid w:val="39B54560"/>
    <w:rsid w:val="39B8E8CC"/>
    <w:rsid w:val="39B92F19"/>
    <w:rsid w:val="39BC6F75"/>
    <w:rsid w:val="39BDC46A"/>
    <w:rsid w:val="39C2955D"/>
    <w:rsid w:val="39C3373F"/>
    <w:rsid w:val="39C4E882"/>
    <w:rsid w:val="39C8DA2D"/>
    <w:rsid w:val="39D047E0"/>
    <w:rsid w:val="39D4EEB0"/>
    <w:rsid w:val="39DC0491"/>
    <w:rsid w:val="39DD2AF3"/>
    <w:rsid w:val="39E67FE5"/>
    <w:rsid w:val="39E6DC0E"/>
    <w:rsid w:val="39E70342"/>
    <w:rsid w:val="39E8E123"/>
    <w:rsid w:val="39ED6DCC"/>
    <w:rsid w:val="39EED2D2"/>
    <w:rsid w:val="39F386F4"/>
    <w:rsid w:val="39F698A7"/>
    <w:rsid w:val="39FE12D2"/>
    <w:rsid w:val="3A037AD2"/>
    <w:rsid w:val="3A04EB17"/>
    <w:rsid w:val="3A0AC945"/>
    <w:rsid w:val="3A0BB28B"/>
    <w:rsid w:val="3A0C845A"/>
    <w:rsid w:val="3A1187A3"/>
    <w:rsid w:val="3A136C64"/>
    <w:rsid w:val="3A165CFA"/>
    <w:rsid w:val="3A2500D6"/>
    <w:rsid w:val="3A276D2C"/>
    <w:rsid w:val="3A2AB887"/>
    <w:rsid w:val="3A2B6024"/>
    <w:rsid w:val="3A2C6490"/>
    <w:rsid w:val="3A332A57"/>
    <w:rsid w:val="3A38411F"/>
    <w:rsid w:val="3A39CA6A"/>
    <w:rsid w:val="3A3AA947"/>
    <w:rsid w:val="3A481646"/>
    <w:rsid w:val="3A48CF2A"/>
    <w:rsid w:val="3A48E231"/>
    <w:rsid w:val="3A4E8FB6"/>
    <w:rsid w:val="3A510A93"/>
    <w:rsid w:val="3A51CBEC"/>
    <w:rsid w:val="3A609263"/>
    <w:rsid w:val="3A637804"/>
    <w:rsid w:val="3A664537"/>
    <w:rsid w:val="3A66BCE0"/>
    <w:rsid w:val="3A676B62"/>
    <w:rsid w:val="3A6BFE62"/>
    <w:rsid w:val="3A6C3E35"/>
    <w:rsid w:val="3A6EFF2D"/>
    <w:rsid w:val="3A7A381E"/>
    <w:rsid w:val="3A82AB8F"/>
    <w:rsid w:val="3A83923A"/>
    <w:rsid w:val="3A88AAA1"/>
    <w:rsid w:val="3A8BB8AE"/>
    <w:rsid w:val="3A8E1A8D"/>
    <w:rsid w:val="3A961E1E"/>
    <w:rsid w:val="3A976964"/>
    <w:rsid w:val="3A9BEA3A"/>
    <w:rsid w:val="3A9C6876"/>
    <w:rsid w:val="3AA96D01"/>
    <w:rsid w:val="3AAAC0AF"/>
    <w:rsid w:val="3AB0D2D4"/>
    <w:rsid w:val="3AB82CED"/>
    <w:rsid w:val="3AB8766D"/>
    <w:rsid w:val="3ABE9F46"/>
    <w:rsid w:val="3AC456AE"/>
    <w:rsid w:val="3AC94593"/>
    <w:rsid w:val="3ACD9923"/>
    <w:rsid w:val="3ACE259E"/>
    <w:rsid w:val="3AD88BE4"/>
    <w:rsid w:val="3AD8B6F4"/>
    <w:rsid w:val="3ADBD76F"/>
    <w:rsid w:val="3AE0A36A"/>
    <w:rsid w:val="3AE1D300"/>
    <w:rsid w:val="3AE55A6C"/>
    <w:rsid w:val="3AE66DC4"/>
    <w:rsid w:val="3AE76300"/>
    <w:rsid w:val="3AE9EE0A"/>
    <w:rsid w:val="3AEB87C0"/>
    <w:rsid w:val="3AF8F6FB"/>
    <w:rsid w:val="3B04E722"/>
    <w:rsid w:val="3B094568"/>
    <w:rsid w:val="3B0A022A"/>
    <w:rsid w:val="3B0ABFE1"/>
    <w:rsid w:val="3B111E70"/>
    <w:rsid w:val="3B12171B"/>
    <w:rsid w:val="3B127ACA"/>
    <w:rsid w:val="3B14613F"/>
    <w:rsid w:val="3B17C45C"/>
    <w:rsid w:val="3B1A4BDD"/>
    <w:rsid w:val="3B204A38"/>
    <w:rsid w:val="3B21367A"/>
    <w:rsid w:val="3B25CB12"/>
    <w:rsid w:val="3B25D993"/>
    <w:rsid w:val="3B272EB5"/>
    <w:rsid w:val="3B2C7448"/>
    <w:rsid w:val="3B2EFF52"/>
    <w:rsid w:val="3B301AF6"/>
    <w:rsid w:val="3B32B150"/>
    <w:rsid w:val="3B359717"/>
    <w:rsid w:val="3B38AEA1"/>
    <w:rsid w:val="3B3A4AF0"/>
    <w:rsid w:val="3B3BCAD2"/>
    <w:rsid w:val="3B400797"/>
    <w:rsid w:val="3B411776"/>
    <w:rsid w:val="3B42080A"/>
    <w:rsid w:val="3B472680"/>
    <w:rsid w:val="3B472BD0"/>
    <w:rsid w:val="3B472EF5"/>
    <w:rsid w:val="3B4866C0"/>
    <w:rsid w:val="3B4B8513"/>
    <w:rsid w:val="3B4C82AE"/>
    <w:rsid w:val="3B51BFD1"/>
    <w:rsid w:val="3B52B55C"/>
    <w:rsid w:val="3B52BC5E"/>
    <w:rsid w:val="3B5AF2B0"/>
    <w:rsid w:val="3B61DD5F"/>
    <w:rsid w:val="3B6280E4"/>
    <w:rsid w:val="3B65A4C2"/>
    <w:rsid w:val="3B6C7FA5"/>
    <w:rsid w:val="3B6D41A6"/>
    <w:rsid w:val="3B721E0E"/>
    <w:rsid w:val="3B736AC9"/>
    <w:rsid w:val="3B73BAF4"/>
    <w:rsid w:val="3B78E7D6"/>
    <w:rsid w:val="3B7A4A5D"/>
    <w:rsid w:val="3B869953"/>
    <w:rsid w:val="3B8941E2"/>
    <w:rsid w:val="3B899E24"/>
    <w:rsid w:val="3B8A1E9C"/>
    <w:rsid w:val="3B8C9163"/>
    <w:rsid w:val="3B906A93"/>
    <w:rsid w:val="3BA3B089"/>
    <w:rsid w:val="3BA61842"/>
    <w:rsid w:val="3BAED3BB"/>
    <w:rsid w:val="3BB4E681"/>
    <w:rsid w:val="3BB74B94"/>
    <w:rsid w:val="3BBB45F4"/>
    <w:rsid w:val="3BBB9D41"/>
    <w:rsid w:val="3BBBF0D9"/>
    <w:rsid w:val="3BC89EBF"/>
    <w:rsid w:val="3BCBFE00"/>
    <w:rsid w:val="3BCDEFD2"/>
    <w:rsid w:val="3BD4656A"/>
    <w:rsid w:val="3BD4D166"/>
    <w:rsid w:val="3BD6A954"/>
    <w:rsid w:val="3BDCD84F"/>
    <w:rsid w:val="3BE32F28"/>
    <w:rsid w:val="3BE72361"/>
    <w:rsid w:val="3BE81782"/>
    <w:rsid w:val="3BE8E993"/>
    <w:rsid w:val="3BE9B0B8"/>
    <w:rsid w:val="3BEB0578"/>
    <w:rsid w:val="3BEFF152"/>
    <w:rsid w:val="3BFFF28E"/>
    <w:rsid w:val="3C07E1F7"/>
    <w:rsid w:val="3C0B38E4"/>
    <w:rsid w:val="3C0C3C18"/>
    <w:rsid w:val="3C0C8EF6"/>
    <w:rsid w:val="3C0EA0FD"/>
    <w:rsid w:val="3C0F6DA9"/>
    <w:rsid w:val="3C1093B8"/>
    <w:rsid w:val="3C1211B0"/>
    <w:rsid w:val="3C1473C1"/>
    <w:rsid w:val="3C166C14"/>
    <w:rsid w:val="3C1A2730"/>
    <w:rsid w:val="3C1A7CD6"/>
    <w:rsid w:val="3C1B22B1"/>
    <w:rsid w:val="3C1C2559"/>
    <w:rsid w:val="3C1DFA8E"/>
    <w:rsid w:val="3C1EF91A"/>
    <w:rsid w:val="3C1F060F"/>
    <w:rsid w:val="3C26141C"/>
    <w:rsid w:val="3C2ACCB1"/>
    <w:rsid w:val="3C2EFE81"/>
    <w:rsid w:val="3C2F2B73"/>
    <w:rsid w:val="3C309152"/>
    <w:rsid w:val="3C37BF70"/>
    <w:rsid w:val="3C3E26A2"/>
    <w:rsid w:val="3C41B675"/>
    <w:rsid w:val="3C43FEAB"/>
    <w:rsid w:val="3C44F228"/>
    <w:rsid w:val="3C463D1D"/>
    <w:rsid w:val="3C4C72AD"/>
    <w:rsid w:val="3C4E919F"/>
    <w:rsid w:val="3C4FE6EA"/>
    <w:rsid w:val="3C6A393C"/>
    <w:rsid w:val="3C70B987"/>
    <w:rsid w:val="3C72519F"/>
    <w:rsid w:val="3C7363D5"/>
    <w:rsid w:val="3C7918D7"/>
    <w:rsid w:val="3C97E397"/>
    <w:rsid w:val="3C987033"/>
    <w:rsid w:val="3C9D7398"/>
    <w:rsid w:val="3CA117A8"/>
    <w:rsid w:val="3CA164B3"/>
    <w:rsid w:val="3CA53A7D"/>
    <w:rsid w:val="3CA66613"/>
    <w:rsid w:val="3CA80A7E"/>
    <w:rsid w:val="3CA96F33"/>
    <w:rsid w:val="3CACA7EA"/>
    <w:rsid w:val="3CB232FA"/>
    <w:rsid w:val="3CB4AE49"/>
    <w:rsid w:val="3CBD4966"/>
    <w:rsid w:val="3CBEDC3E"/>
    <w:rsid w:val="3CC1EAA1"/>
    <w:rsid w:val="3CC2645E"/>
    <w:rsid w:val="3CC49D15"/>
    <w:rsid w:val="3CC9AA17"/>
    <w:rsid w:val="3CCD7D4A"/>
    <w:rsid w:val="3CCED911"/>
    <w:rsid w:val="3CD6431D"/>
    <w:rsid w:val="3CD93AE3"/>
    <w:rsid w:val="3CDAAB59"/>
    <w:rsid w:val="3CDEF126"/>
    <w:rsid w:val="3CF08170"/>
    <w:rsid w:val="3CF964B7"/>
    <w:rsid w:val="3CFBB50C"/>
    <w:rsid w:val="3CFEE212"/>
    <w:rsid w:val="3CFF06F5"/>
    <w:rsid w:val="3D02BAD3"/>
    <w:rsid w:val="3D122426"/>
    <w:rsid w:val="3D18EA2D"/>
    <w:rsid w:val="3D1B2D9D"/>
    <w:rsid w:val="3D23D02D"/>
    <w:rsid w:val="3D347D2F"/>
    <w:rsid w:val="3D36365B"/>
    <w:rsid w:val="3D37273A"/>
    <w:rsid w:val="3D37DD83"/>
    <w:rsid w:val="3D3F443B"/>
    <w:rsid w:val="3D45F765"/>
    <w:rsid w:val="3D495E51"/>
    <w:rsid w:val="3D4B1494"/>
    <w:rsid w:val="3D580AF5"/>
    <w:rsid w:val="3D581503"/>
    <w:rsid w:val="3D596E0C"/>
    <w:rsid w:val="3D59DD0C"/>
    <w:rsid w:val="3D5F0DEE"/>
    <w:rsid w:val="3D75EE5E"/>
    <w:rsid w:val="3D77A7AB"/>
    <w:rsid w:val="3D7A236E"/>
    <w:rsid w:val="3D7A2514"/>
    <w:rsid w:val="3D7FAEE9"/>
    <w:rsid w:val="3D818F2F"/>
    <w:rsid w:val="3D8BC1B3"/>
    <w:rsid w:val="3D92147C"/>
    <w:rsid w:val="3D9B63AE"/>
    <w:rsid w:val="3D9B861F"/>
    <w:rsid w:val="3D9DB223"/>
    <w:rsid w:val="3D9E2DC8"/>
    <w:rsid w:val="3DA79E1D"/>
    <w:rsid w:val="3DA7EA3E"/>
    <w:rsid w:val="3DA9753F"/>
    <w:rsid w:val="3DACC1EB"/>
    <w:rsid w:val="3DAD5762"/>
    <w:rsid w:val="3DB0ABB5"/>
    <w:rsid w:val="3DB4F8F2"/>
    <w:rsid w:val="3DB84C5A"/>
    <w:rsid w:val="3DC12CBE"/>
    <w:rsid w:val="3DCA462A"/>
    <w:rsid w:val="3DCB13D4"/>
    <w:rsid w:val="3DD45EE9"/>
    <w:rsid w:val="3DD47690"/>
    <w:rsid w:val="3DD50CA6"/>
    <w:rsid w:val="3DD69C41"/>
    <w:rsid w:val="3DD868E6"/>
    <w:rsid w:val="3DD8B5B4"/>
    <w:rsid w:val="3DED2171"/>
    <w:rsid w:val="3DF47138"/>
    <w:rsid w:val="3DF659B7"/>
    <w:rsid w:val="3DFD1184"/>
    <w:rsid w:val="3E0303CF"/>
    <w:rsid w:val="3E0673FF"/>
    <w:rsid w:val="3E08CDB7"/>
    <w:rsid w:val="3E09E1AC"/>
    <w:rsid w:val="3E0D5B22"/>
    <w:rsid w:val="3E11EB04"/>
    <w:rsid w:val="3E136607"/>
    <w:rsid w:val="3E1AA221"/>
    <w:rsid w:val="3E1B4E51"/>
    <w:rsid w:val="3E1F435A"/>
    <w:rsid w:val="3E231590"/>
    <w:rsid w:val="3E26C964"/>
    <w:rsid w:val="3E2BFBFC"/>
    <w:rsid w:val="3E2CD2B8"/>
    <w:rsid w:val="3E2EC094"/>
    <w:rsid w:val="3E33B534"/>
    <w:rsid w:val="3E344094"/>
    <w:rsid w:val="3E3AEB93"/>
    <w:rsid w:val="3E3CDA1A"/>
    <w:rsid w:val="3E3DBD94"/>
    <w:rsid w:val="3E3E76D6"/>
    <w:rsid w:val="3E3FE95F"/>
    <w:rsid w:val="3E46AA7C"/>
    <w:rsid w:val="3E47D17B"/>
    <w:rsid w:val="3E4F627E"/>
    <w:rsid w:val="3E54A1BC"/>
    <w:rsid w:val="3E569C85"/>
    <w:rsid w:val="3E584F60"/>
    <w:rsid w:val="3E593929"/>
    <w:rsid w:val="3E5CFB98"/>
    <w:rsid w:val="3E5DFFBE"/>
    <w:rsid w:val="3E672E46"/>
    <w:rsid w:val="3E68DE19"/>
    <w:rsid w:val="3E6D6ED8"/>
    <w:rsid w:val="3E750B44"/>
    <w:rsid w:val="3E75C0B5"/>
    <w:rsid w:val="3E78AE46"/>
    <w:rsid w:val="3E82CCCA"/>
    <w:rsid w:val="3E84DF5F"/>
    <w:rsid w:val="3E88FF65"/>
    <w:rsid w:val="3E8ACB68"/>
    <w:rsid w:val="3E8C368B"/>
    <w:rsid w:val="3E8EEC11"/>
    <w:rsid w:val="3E8EFA9C"/>
    <w:rsid w:val="3E93697B"/>
    <w:rsid w:val="3E97AFFA"/>
    <w:rsid w:val="3E9C5723"/>
    <w:rsid w:val="3EAB6A4C"/>
    <w:rsid w:val="3EB194E7"/>
    <w:rsid w:val="3EB5134D"/>
    <w:rsid w:val="3EB5316C"/>
    <w:rsid w:val="3EB5C98A"/>
    <w:rsid w:val="3EBC1FD9"/>
    <w:rsid w:val="3EC79222"/>
    <w:rsid w:val="3EC883F9"/>
    <w:rsid w:val="3EC9DF79"/>
    <w:rsid w:val="3ECB6BA2"/>
    <w:rsid w:val="3ECE8DCF"/>
    <w:rsid w:val="3ED51F9E"/>
    <w:rsid w:val="3ED5E95B"/>
    <w:rsid w:val="3ED80D5E"/>
    <w:rsid w:val="3ED8B535"/>
    <w:rsid w:val="3EDDE241"/>
    <w:rsid w:val="3EE0B8A8"/>
    <w:rsid w:val="3EF402F6"/>
    <w:rsid w:val="3EF53A88"/>
    <w:rsid w:val="3EF9AF7B"/>
    <w:rsid w:val="3EFB4CB1"/>
    <w:rsid w:val="3EFC3009"/>
    <w:rsid w:val="3F023D3E"/>
    <w:rsid w:val="3F06247E"/>
    <w:rsid w:val="3F084051"/>
    <w:rsid w:val="3F0B0DCF"/>
    <w:rsid w:val="3F0C6DE2"/>
    <w:rsid w:val="3F156990"/>
    <w:rsid w:val="3F1B088F"/>
    <w:rsid w:val="3F2200D9"/>
    <w:rsid w:val="3F25B248"/>
    <w:rsid w:val="3F2905C4"/>
    <w:rsid w:val="3F294BEB"/>
    <w:rsid w:val="3F297764"/>
    <w:rsid w:val="3F309103"/>
    <w:rsid w:val="3F351978"/>
    <w:rsid w:val="3F364588"/>
    <w:rsid w:val="3F429946"/>
    <w:rsid w:val="3F436022"/>
    <w:rsid w:val="3F47A4A1"/>
    <w:rsid w:val="3F49CABF"/>
    <w:rsid w:val="3F4C4518"/>
    <w:rsid w:val="3F53C93D"/>
    <w:rsid w:val="3F5A1B7D"/>
    <w:rsid w:val="3F5E4C09"/>
    <w:rsid w:val="3F5F8514"/>
    <w:rsid w:val="3F604FCA"/>
    <w:rsid w:val="3F612FFD"/>
    <w:rsid w:val="3F66168B"/>
    <w:rsid w:val="3F6CC40A"/>
    <w:rsid w:val="3F6E104E"/>
    <w:rsid w:val="3F7434E7"/>
    <w:rsid w:val="3F763C4A"/>
    <w:rsid w:val="3F781417"/>
    <w:rsid w:val="3F7E7DFE"/>
    <w:rsid w:val="3F85A05B"/>
    <w:rsid w:val="3F8DF47B"/>
    <w:rsid w:val="3F8F59C8"/>
    <w:rsid w:val="3F8F6382"/>
    <w:rsid w:val="3F9A6610"/>
    <w:rsid w:val="3FA0A998"/>
    <w:rsid w:val="3FA9073B"/>
    <w:rsid w:val="3FB571A7"/>
    <w:rsid w:val="3FBB7428"/>
    <w:rsid w:val="3FBBF595"/>
    <w:rsid w:val="3FBC6104"/>
    <w:rsid w:val="3FBFB163"/>
    <w:rsid w:val="3FC0A260"/>
    <w:rsid w:val="3FCAFA93"/>
    <w:rsid w:val="3FCC8D30"/>
    <w:rsid w:val="3FD4978D"/>
    <w:rsid w:val="3FDF18C6"/>
    <w:rsid w:val="3FE10FF5"/>
    <w:rsid w:val="3FE883B4"/>
    <w:rsid w:val="3FE8CAC4"/>
    <w:rsid w:val="3FEA6BA7"/>
    <w:rsid w:val="3FEB29EA"/>
    <w:rsid w:val="3FEBD2B9"/>
    <w:rsid w:val="3FEFAE1E"/>
    <w:rsid w:val="3FF864EB"/>
    <w:rsid w:val="3FFA76EF"/>
    <w:rsid w:val="3FFCBC88"/>
    <w:rsid w:val="4003F907"/>
    <w:rsid w:val="400472C0"/>
    <w:rsid w:val="40074C99"/>
    <w:rsid w:val="400862C4"/>
    <w:rsid w:val="40087971"/>
    <w:rsid w:val="400EB04A"/>
    <w:rsid w:val="400EFE84"/>
    <w:rsid w:val="4014CAE5"/>
    <w:rsid w:val="4027684D"/>
    <w:rsid w:val="4027EB10"/>
    <w:rsid w:val="402B8F49"/>
    <w:rsid w:val="402C15B4"/>
    <w:rsid w:val="402E63D3"/>
    <w:rsid w:val="402F0AF8"/>
    <w:rsid w:val="4031E26A"/>
    <w:rsid w:val="4031F911"/>
    <w:rsid w:val="4032FC00"/>
    <w:rsid w:val="403BF8FC"/>
    <w:rsid w:val="4045E31D"/>
    <w:rsid w:val="4047F31A"/>
    <w:rsid w:val="404BE612"/>
    <w:rsid w:val="404F3A27"/>
    <w:rsid w:val="404F5BAE"/>
    <w:rsid w:val="40520951"/>
    <w:rsid w:val="4052A331"/>
    <w:rsid w:val="40542BF9"/>
    <w:rsid w:val="405C6F46"/>
    <w:rsid w:val="405C7C9B"/>
    <w:rsid w:val="405C7E33"/>
    <w:rsid w:val="405CCD8B"/>
    <w:rsid w:val="405E77C8"/>
    <w:rsid w:val="405EF847"/>
    <w:rsid w:val="405F6D1B"/>
    <w:rsid w:val="40638196"/>
    <w:rsid w:val="40670F18"/>
    <w:rsid w:val="406D6370"/>
    <w:rsid w:val="4070A621"/>
    <w:rsid w:val="4070C164"/>
    <w:rsid w:val="40734EAA"/>
    <w:rsid w:val="4076B01B"/>
    <w:rsid w:val="40780F54"/>
    <w:rsid w:val="407D28CE"/>
    <w:rsid w:val="4082D6B4"/>
    <w:rsid w:val="4084220E"/>
    <w:rsid w:val="40864A9C"/>
    <w:rsid w:val="4087B0F6"/>
    <w:rsid w:val="408B2E15"/>
    <w:rsid w:val="408F3C71"/>
    <w:rsid w:val="409182D9"/>
    <w:rsid w:val="4097A333"/>
    <w:rsid w:val="40997933"/>
    <w:rsid w:val="409CF517"/>
    <w:rsid w:val="409F4ED6"/>
    <w:rsid w:val="40A41A32"/>
    <w:rsid w:val="40A73A2A"/>
    <w:rsid w:val="40AB0714"/>
    <w:rsid w:val="40AB80F4"/>
    <w:rsid w:val="40AC7F86"/>
    <w:rsid w:val="40B350A6"/>
    <w:rsid w:val="40B421FF"/>
    <w:rsid w:val="40B93C78"/>
    <w:rsid w:val="40BDCEE1"/>
    <w:rsid w:val="40BF00EE"/>
    <w:rsid w:val="40C23555"/>
    <w:rsid w:val="40C5547F"/>
    <w:rsid w:val="40C6E1C4"/>
    <w:rsid w:val="40C6FB59"/>
    <w:rsid w:val="40CBF54A"/>
    <w:rsid w:val="40CEF12A"/>
    <w:rsid w:val="40D7DC78"/>
    <w:rsid w:val="40DC98DD"/>
    <w:rsid w:val="40DD469D"/>
    <w:rsid w:val="40DF8B00"/>
    <w:rsid w:val="40E17241"/>
    <w:rsid w:val="40E3F231"/>
    <w:rsid w:val="40E3F6DC"/>
    <w:rsid w:val="40E57785"/>
    <w:rsid w:val="40FD0480"/>
    <w:rsid w:val="4107219A"/>
    <w:rsid w:val="41083C03"/>
    <w:rsid w:val="411345F9"/>
    <w:rsid w:val="411789A6"/>
    <w:rsid w:val="41183032"/>
    <w:rsid w:val="411BED43"/>
    <w:rsid w:val="4120B4B2"/>
    <w:rsid w:val="4125DF37"/>
    <w:rsid w:val="412A06FD"/>
    <w:rsid w:val="4133FED1"/>
    <w:rsid w:val="413DCF42"/>
    <w:rsid w:val="413F4B40"/>
    <w:rsid w:val="4146FFE6"/>
    <w:rsid w:val="41479378"/>
    <w:rsid w:val="414C241F"/>
    <w:rsid w:val="4150D9DE"/>
    <w:rsid w:val="41540D55"/>
    <w:rsid w:val="41556E5E"/>
    <w:rsid w:val="41583165"/>
    <w:rsid w:val="415EA7A5"/>
    <w:rsid w:val="415FABAE"/>
    <w:rsid w:val="4162906B"/>
    <w:rsid w:val="4165342C"/>
    <w:rsid w:val="4169B22A"/>
    <w:rsid w:val="4171DC34"/>
    <w:rsid w:val="41750615"/>
    <w:rsid w:val="418424DD"/>
    <w:rsid w:val="4188F7CD"/>
    <w:rsid w:val="41894290"/>
    <w:rsid w:val="418BCE9B"/>
    <w:rsid w:val="418CDB58"/>
    <w:rsid w:val="418D7B3F"/>
    <w:rsid w:val="4191869E"/>
    <w:rsid w:val="4193901A"/>
    <w:rsid w:val="4195160B"/>
    <w:rsid w:val="4198719D"/>
    <w:rsid w:val="41AB92A4"/>
    <w:rsid w:val="41B1FFC7"/>
    <w:rsid w:val="41B41A8D"/>
    <w:rsid w:val="41BE1C55"/>
    <w:rsid w:val="41BF1010"/>
    <w:rsid w:val="41C1F302"/>
    <w:rsid w:val="41C1F6F2"/>
    <w:rsid w:val="41C818B3"/>
    <w:rsid w:val="41C9092A"/>
    <w:rsid w:val="41C92230"/>
    <w:rsid w:val="41CA24EA"/>
    <w:rsid w:val="41CA9916"/>
    <w:rsid w:val="41CFBB6A"/>
    <w:rsid w:val="41DD010A"/>
    <w:rsid w:val="41DE3D71"/>
    <w:rsid w:val="41E03470"/>
    <w:rsid w:val="41E390C5"/>
    <w:rsid w:val="41E6F442"/>
    <w:rsid w:val="41E7AD1B"/>
    <w:rsid w:val="41EB55A1"/>
    <w:rsid w:val="41ED4FA6"/>
    <w:rsid w:val="41EDC960"/>
    <w:rsid w:val="41EFFC5A"/>
    <w:rsid w:val="41F29B16"/>
    <w:rsid w:val="41FB0246"/>
    <w:rsid w:val="41FF311A"/>
    <w:rsid w:val="420466CB"/>
    <w:rsid w:val="420B211A"/>
    <w:rsid w:val="420E5AA5"/>
    <w:rsid w:val="4210D9F7"/>
    <w:rsid w:val="42138CDB"/>
    <w:rsid w:val="4217CEF0"/>
    <w:rsid w:val="421DF1B7"/>
    <w:rsid w:val="421EEBAA"/>
    <w:rsid w:val="422353C5"/>
    <w:rsid w:val="4226E2F9"/>
    <w:rsid w:val="4228B10D"/>
    <w:rsid w:val="4228F3E1"/>
    <w:rsid w:val="42293B9B"/>
    <w:rsid w:val="42320165"/>
    <w:rsid w:val="423383A8"/>
    <w:rsid w:val="423A36C1"/>
    <w:rsid w:val="42428AA4"/>
    <w:rsid w:val="424BCFF6"/>
    <w:rsid w:val="424C81E6"/>
    <w:rsid w:val="425117F8"/>
    <w:rsid w:val="42562380"/>
    <w:rsid w:val="42578EA7"/>
    <w:rsid w:val="425BC59B"/>
    <w:rsid w:val="425CA6FA"/>
    <w:rsid w:val="425DDBED"/>
    <w:rsid w:val="425E04AC"/>
    <w:rsid w:val="4269D872"/>
    <w:rsid w:val="426B60FC"/>
    <w:rsid w:val="4270F62D"/>
    <w:rsid w:val="427287ED"/>
    <w:rsid w:val="4273F5A5"/>
    <w:rsid w:val="42797977"/>
    <w:rsid w:val="427D2F29"/>
    <w:rsid w:val="4282DE16"/>
    <w:rsid w:val="4286674D"/>
    <w:rsid w:val="4287CF21"/>
    <w:rsid w:val="4289FBEA"/>
    <w:rsid w:val="428A5A13"/>
    <w:rsid w:val="428BC54C"/>
    <w:rsid w:val="4295903D"/>
    <w:rsid w:val="42991A37"/>
    <w:rsid w:val="42997717"/>
    <w:rsid w:val="429D71F6"/>
    <w:rsid w:val="429D76BB"/>
    <w:rsid w:val="429E126D"/>
    <w:rsid w:val="42A2AD5C"/>
    <w:rsid w:val="42A39D18"/>
    <w:rsid w:val="42A4B251"/>
    <w:rsid w:val="42A55974"/>
    <w:rsid w:val="42A8C041"/>
    <w:rsid w:val="42AC1F29"/>
    <w:rsid w:val="42AEF3B5"/>
    <w:rsid w:val="42B8F8A6"/>
    <w:rsid w:val="42BDEF5C"/>
    <w:rsid w:val="42C45E0C"/>
    <w:rsid w:val="42C84F2A"/>
    <w:rsid w:val="42CC8312"/>
    <w:rsid w:val="42CD1CA6"/>
    <w:rsid w:val="42CD27FA"/>
    <w:rsid w:val="42CD44A0"/>
    <w:rsid w:val="42CE1170"/>
    <w:rsid w:val="42CEAA7C"/>
    <w:rsid w:val="42CF1CB8"/>
    <w:rsid w:val="42CF5803"/>
    <w:rsid w:val="42CFEB24"/>
    <w:rsid w:val="42D080F5"/>
    <w:rsid w:val="42D0C353"/>
    <w:rsid w:val="42D17120"/>
    <w:rsid w:val="42D8DBAA"/>
    <w:rsid w:val="42DA1653"/>
    <w:rsid w:val="42DCAA50"/>
    <w:rsid w:val="42DD304B"/>
    <w:rsid w:val="42E7B397"/>
    <w:rsid w:val="42EAEC83"/>
    <w:rsid w:val="42EBBFBC"/>
    <w:rsid w:val="42EBCCD3"/>
    <w:rsid w:val="42EBD7D1"/>
    <w:rsid w:val="42EC0689"/>
    <w:rsid w:val="42EDF69B"/>
    <w:rsid w:val="42EEECB8"/>
    <w:rsid w:val="42EF38FF"/>
    <w:rsid w:val="42EF979D"/>
    <w:rsid w:val="42F570C0"/>
    <w:rsid w:val="42FB10CB"/>
    <w:rsid w:val="42FF2777"/>
    <w:rsid w:val="4300DD3D"/>
    <w:rsid w:val="4303177F"/>
    <w:rsid w:val="4304A9D0"/>
    <w:rsid w:val="43056214"/>
    <w:rsid w:val="430629BB"/>
    <w:rsid w:val="430AB99F"/>
    <w:rsid w:val="430C1022"/>
    <w:rsid w:val="430FBBA7"/>
    <w:rsid w:val="43135117"/>
    <w:rsid w:val="4314D2AE"/>
    <w:rsid w:val="431B603D"/>
    <w:rsid w:val="431B7774"/>
    <w:rsid w:val="431FF902"/>
    <w:rsid w:val="4320805B"/>
    <w:rsid w:val="432285D2"/>
    <w:rsid w:val="4324D7AE"/>
    <w:rsid w:val="4327E3F8"/>
    <w:rsid w:val="432CE156"/>
    <w:rsid w:val="4333E36E"/>
    <w:rsid w:val="43344CFC"/>
    <w:rsid w:val="433A6EC6"/>
    <w:rsid w:val="433D1EF3"/>
    <w:rsid w:val="4340E5E4"/>
    <w:rsid w:val="43476305"/>
    <w:rsid w:val="434ED4B2"/>
    <w:rsid w:val="43527946"/>
    <w:rsid w:val="43585255"/>
    <w:rsid w:val="43599A21"/>
    <w:rsid w:val="435A8C07"/>
    <w:rsid w:val="435B1194"/>
    <w:rsid w:val="435C108C"/>
    <w:rsid w:val="436351BB"/>
    <w:rsid w:val="4364148E"/>
    <w:rsid w:val="436482CD"/>
    <w:rsid w:val="43657105"/>
    <w:rsid w:val="4368FF00"/>
    <w:rsid w:val="43743F52"/>
    <w:rsid w:val="4376F619"/>
    <w:rsid w:val="43783ED6"/>
    <w:rsid w:val="437F57DD"/>
    <w:rsid w:val="437F5A7E"/>
    <w:rsid w:val="437FABC2"/>
    <w:rsid w:val="4384A986"/>
    <w:rsid w:val="438AAD27"/>
    <w:rsid w:val="438CDD2A"/>
    <w:rsid w:val="4398DCA5"/>
    <w:rsid w:val="439AA0D1"/>
    <w:rsid w:val="439E7FD5"/>
    <w:rsid w:val="43A4501F"/>
    <w:rsid w:val="43A520EA"/>
    <w:rsid w:val="43AB2050"/>
    <w:rsid w:val="43AFB016"/>
    <w:rsid w:val="43AFD92F"/>
    <w:rsid w:val="43B0B6A6"/>
    <w:rsid w:val="43B4A87A"/>
    <w:rsid w:val="43B705F5"/>
    <w:rsid w:val="43B85F87"/>
    <w:rsid w:val="43C0E597"/>
    <w:rsid w:val="43C2DAD3"/>
    <w:rsid w:val="43C71DD9"/>
    <w:rsid w:val="43CA0402"/>
    <w:rsid w:val="43CB7C41"/>
    <w:rsid w:val="43D30794"/>
    <w:rsid w:val="43E5DFCC"/>
    <w:rsid w:val="43EB967C"/>
    <w:rsid w:val="43F0C595"/>
    <w:rsid w:val="43F797FD"/>
    <w:rsid w:val="43FDF744"/>
    <w:rsid w:val="4402C33F"/>
    <w:rsid w:val="4405DACD"/>
    <w:rsid w:val="440803A8"/>
    <w:rsid w:val="44090066"/>
    <w:rsid w:val="4415ABCB"/>
    <w:rsid w:val="441C54A2"/>
    <w:rsid w:val="441EA93C"/>
    <w:rsid w:val="442B77A0"/>
    <w:rsid w:val="44353653"/>
    <w:rsid w:val="4441A865"/>
    <w:rsid w:val="44511C8A"/>
    <w:rsid w:val="445296D1"/>
    <w:rsid w:val="4461A7BF"/>
    <w:rsid w:val="4464F487"/>
    <w:rsid w:val="446571CC"/>
    <w:rsid w:val="446ABE8E"/>
    <w:rsid w:val="446BDABE"/>
    <w:rsid w:val="446C436A"/>
    <w:rsid w:val="44722E86"/>
    <w:rsid w:val="4472E01F"/>
    <w:rsid w:val="4478D7EB"/>
    <w:rsid w:val="447B68EF"/>
    <w:rsid w:val="4484318E"/>
    <w:rsid w:val="448C4493"/>
    <w:rsid w:val="449044AE"/>
    <w:rsid w:val="44958CBB"/>
    <w:rsid w:val="44991C6F"/>
    <w:rsid w:val="44998BA3"/>
    <w:rsid w:val="449B9492"/>
    <w:rsid w:val="44A40362"/>
    <w:rsid w:val="44A4DC2B"/>
    <w:rsid w:val="44AE0421"/>
    <w:rsid w:val="44AF1811"/>
    <w:rsid w:val="44B12C02"/>
    <w:rsid w:val="44B3EF41"/>
    <w:rsid w:val="44B5EA71"/>
    <w:rsid w:val="44B66115"/>
    <w:rsid w:val="44B699C4"/>
    <w:rsid w:val="44B6FBBA"/>
    <w:rsid w:val="44BBCB52"/>
    <w:rsid w:val="44C840E9"/>
    <w:rsid w:val="44CB06CF"/>
    <w:rsid w:val="44CC0850"/>
    <w:rsid w:val="44D39A76"/>
    <w:rsid w:val="44D596F7"/>
    <w:rsid w:val="44DABE62"/>
    <w:rsid w:val="44E21BB7"/>
    <w:rsid w:val="44E327EB"/>
    <w:rsid w:val="44F5C4C5"/>
    <w:rsid w:val="44FA55D3"/>
    <w:rsid w:val="44FDBACD"/>
    <w:rsid w:val="44FE9FDC"/>
    <w:rsid w:val="45002235"/>
    <w:rsid w:val="45041C49"/>
    <w:rsid w:val="4504CF61"/>
    <w:rsid w:val="45065037"/>
    <w:rsid w:val="450B7077"/>
    <w:rsid w:val="450EACA3"/>
    <w:rsid w:val="451B1E51"/>
    <w:rsid w:val="451C76DB"/>
    <w:rsid w:val="451C79E9"/>
    <w:rsid w:val="451E3612"/>
    <w:rsid w:val="451EACB1"/>
    <w:rsid w:val="4525C63D"/>
    <w:rsid w:val="4527B8DD"/>
    <w:rsid w:val="452830F5"/>
    <w:rsid w:val="452A4096"/>
    <w:rsid w:val="4532FC82"/>
    <w:rsid w:val="4533AB35"/>
    <w:rsid w:val="45369012"/>
    <w:rsid w:val="45446F84"/>
    <w:rsid w:val="4552A321"/>
    <w:rsid w:val="4552D5B4"/>
    <w:rsid w:val="4553A999"/>
    <w:rsid w:val="455453EF"/>
    <w:rsid w:val="45562081"/>
    <w:rsid w:val="455D7267"/>
    <w:rsid w:val="4561925B"/>
    <w:rsid w:val="4562A7DA"/>
    <w:rsid w:val="4571C0E9"/>
    <w:rsid w:val="4574963A"/>
    <w:rsid w:val="457BF533"/>
    <w:rsid w:val="457C4791"/>
    <w:rsid w:val="457E149B"/>
    <w:rsid w:val="457F2209"/>
    <w:rsid w:val="4584AB14"/>
    <w:rsid w:val="458766DD"/>
    <w:rsid w:val="45879D05"/>
    <w:rsid w:val="458A6578"/>
    <w:rsid w:val="458E87A8"/>
    <w:rsid w:val="4591EB74"/>
    <w:rsid w:val="45969976"/>
    <w:rsid w:val="45972F07"/>
    <w:rsid w:val="459C4977"/>
    <w:rsid w:val="459F2007"/>
    <w:rsid w:val="459F40EA"/>
    <w:rsid w:val="45A3B25F"/>
    <w:rsid w:val="45A5BA61"/>
    <w:rsid w:val="45A89F7C"/>
    <w:rsid w:val="45AE4A02"/>
    <w:rsid w:val="45B13363"/>
    <w:rsid w:val="45B1B12C"/>
    <w:rsid w:val="45BAE4EE"/>
    <w:rsid w:val="45BF5D9C"/>
    <w:rsid w:val="45CBB197"/>
    <w:rsid w:val="45CF4C04"/>
    <w:rsid w:val="45DECBF3"/>
    <w:rsid w:val="45EA61EF"/>
    <w:rsid w:val="45F982CF"/>
    <w:rsid w:val="45FD7820"/>
    <w:rsid w:val="45FEEC95"/>
    <w:rsid w:val="46013F8E"/>
    <w:rsid w:val="4601CBB0"/>
    <w:rsid w:val="4603D2A6"/>
    <w:rsid w:val="4604EC02"/>
    <w:rsid w:val="4606BD7A"/>
    <w:rsid w:val="4608239B"/>
    <w:rsid w:val="46098240"/>
    <w:rsid w:val="46178615"/>
    <w:rsid w:val="461D847B"/>
    <w:rsid w:val="4627CC10"/>
    <w:rsid w:val="463182EF"/>
    <w:rsid w:val="4635BCAF"/>
    <w:rsid w:val="46378767"/>
    <w:rsid w:val="4638724B"/>
    <w:rsid w:val="463A1A4F"/>
    <w:rsid w:val="463FB8FD"/>
    <w:rsid w:val="46482FD3"/>
    <w:rsid w:val="464A1079"/>
    <w:rsid w:val="464D722E"/>
    <w:rsid w:val="4654A520"/>
    <w:rsid w:val="46598861"/>
    <w:rsid w:val="465B595F"/>
    <w:rsid w:val="465C3223"/>
    <w:rsid w:val="465CD700"/>
    <w:rsid w:val="465E75F4"/>
    <w:rsid w:val="465FB7F4"/>
    <w:rsid w:val="465FD53B"/>
    <w:rsid w:val="4664D6C7"/>
    <w:rsid w:val="466AE0D4"/>
    <w:rsid w:val="46737BEC"/>
    <w:rsid w:val="4681704A"/>
    <w:rsid w:val="4698EF67"/>
    <w:rsid w:val="469FEA4A"/>
    <w:rsid w:val="46A3CB7D"/>
    <w:rsid w:val="46ABE014"/>
    <w:rsid w:val="46AE7A56"/>
    <w:rsid w:val="46B8554B"/>
    <w:rsid w:val="46B9F598"/>
    <w:rsid w:val="46CD601A"/>
    <w:rsid w:val="46D7D348"/>
    <w:rsid w:val="46DBB84C"/>
    <w:rsid w:val="46DC3AFC"/>
    <w:rsid w:val="46E7C3D3"/>
    <w:rsid w:val="46F6E63D"/>
    <w:rsid w:val="46FBBE6B"/>
    <w:rsid w:val="46FC2BE1"/>
    <w:rsid w:val="4703C42D"/>
    <w:rsid w:val="47046958"/>
    <w:rsid w:val="4704BC8D"/>
    <w:rsid w:val="47071088"/>
    <w:rsid w:val="470C7AC6"/>
    <w:rsid w:val="471100C8"/>
    <w:rsid w:val="47114561"/>
    <w:rsid w:val="47129C40"/>
    <w:rsid w:val="471901DB"/>
    <w:rsid w:val="471909EF"/>
    <w:rsid w:val="471EFA3A"/>
    <w:rsid w:val="4721075A"/>
    <w:rsid w:val="47220229"/>
    <w:rsid w:val="472ABAFA"/>
    <w:rsid w:val="472CDA71"/>
    <w:rsid w:val="472F35D7"/>
    <w:rsid w:val="4740BF56"/>
    <w:rsid w:val="4747F926"/>
    <w:rsid w:val="474F9F5B"/>
    <w:rsid w:val="4753DA81"/>
    <w:rsid w:val="4755DDB5"/>
    <w:rsid w:val="475804FE"/>
    <w:rsid w:val="475FED99"/>
    <w:rsid w:val="47600E07"/>
    <w:rsid w:val="4760AE1A"/>
    <w:rsid w:val="47640B34"/>
    <w:rsid w:val="476B8205"/>
    <w:rsid w:val="47730AAB"/>
    <w:rsid w:val="477DDA28"/>
    <w:rsid w:val="4785E8EE"/>
    <w:rsid w:val="47884E5F"/>
    <w:rsid w:val="47905646"/>
    <w:rsid w:val="4793DBF6"/>
    <w:rsid w:val="47960F02"/>
    <w:rsid w:val="47970853"/>
    <w:rsid w:val="4799470E"/>
    <w:rsid w:val="4799AAF1"/>
    <w:rsid w:val="479B9BB5"/>
    <w:rsid w:val="47A28E55"/>
    <w:rsid w:val="47A9D086"/>
    <w:rsid w:val="47A9E063"/>
    <w:rsid w:val="47AC76A8"/>
    <w:rsid w:val="47B275FC"/>
    <w:rsid w:val="47B5149C"/>
    <w:rsid w:val="47B63DD8"/>
    <w:rsid w:val="47B6F89F"/>
    <w:rsid w:val="47BE6453"/>
    <w:rsid w:val="47C19A29"/>
    <w:rsid w:val="47C4C454"/>
    <w:rsid w:val="47C4DBAC"/>
    <w:rsid w:val="47C5377D"/>
    <w:rsid w:val="47C6BBD3"/>
    <w:rsid w:val="47CB6F71"/>
    <w:rsid w:val="47CBBFC1"/>
    <w:rsid w:val="47CDA6EC"/>
    <w:rsid w:val="47D33397"/>
    <w:rsid w:val="47D7AA61"/>
    <w:rsid w:val="47DD60F8"/>
    <w:rsid w:val="47E17AD1"/>
    <w:rsid w:val="47E2E4C6"/>
    <w:rsid w:val="47E5AA25"/>
    <w:rsid w:val="47EB0C47"/>
    <w:rsid w:val="47ED9E23"/>
    <w:rsid w:val="47EDC62F"/>
    <w:rsid w:val="47F169AA"/>
    <w:rsid w:val="47FBC983"/>
    <w:rsid w:val="4800D79D"/>
    <w:rsid w:val="480358B7"/>
    <w:rsid w:val="48059266"/>
    <w:rsid w:val="48064A2D"/>
    <w:rsid w:val="4806828E"/>
    <w:rsid w:val="48075086"/>
    <w:rsid w:val="481133DA"/>
    <w:rsid w:val="481416E4"/>
    <w:rsid w:val="481442DE"/>
    <w:rsid w:val="4816EEAC"/>
    <w:rsid w:val="481D1A73"/>
    <w:rsid w:val="481DB73F"/>
    <w:rsid w:val="481E2820"/>
    <w:rsid w:val="481EF444"/>
    <w:rsid w:val="4822015E"/>
    <w:rsid w:val="482303DE"/>
    <w:rsid w:val="4827DDD6"/>
    <w:rsid w:val="4828AAE2"/>
    <w:rsid w:val="482DFC5E"/>
    <w:rsid w:val="48309662"/>
    <w:rsid w:val="4838817F"/>
    <w:rsid w:val="4838D2BC"/>
    <w:rsid w:val="48400004"/>
    <w:rsid w:val="48420B5C"/>
    <w:rsid w:val="48424C35"/>
    <w:rsid w:val="48445789"/>
    <w:rsid w:val="48457C2E"/>
    <w:rsid w:val="4845FD22"/>
    <w:rsid w:val="4847396D"/>
    <w:rsid w:val="484A4388"/>
    <w:rsid w:val="4850CF87"/>
    <w:rsid w:val="485557ED"/>
    <w:rsid w:val="4857A6A6"/>
    <w:rsid w:val="48589220"/>
    <w:rsid w:val="4863AECC"/>
    <w:rsid w:val="486B3B67"/>
    <w:rsid w:val="486D9393"/>
    <w:rsid w:val="486E9B72"/>
    <w:rsid w:val="4871F8B7"/>
    <w:rsid w:val="48732EF9"/>
    <w:rsid w:val="48760686"/>
    <w:rsid w:val="48763300"/>
    <w:rsid w:val="48794F2B"/>
    <w:rsid w:val="487A05A2"/>
    <w:rsid w:val="487B8405"/>
    <w:rsid w:val="487D5D4B"/>
    <w:rsid w:val="48828951"/>
    <w:rsid w:val="4882E847"/>
    <w:rsid w:val="48832AB4"/>
    <w:rsid w:val="48837403"/>
    <w:rsid w:val="488561BB"/>
    <w:rsid w:val="488840A0"/>
    <w:rsid w:val="4892554D"/>
    <w:rsid w:val="4892C2DB"/>
    <w:rsid w:val="48950591"/>
    <w:rsid w:val="48954440"/>
    <w:rsid w:val="48959EEA"/>
    <w:rsid w:val="489C899A"/>
    <w:rsid w:val="48A0439C"/>
    <w:rsid w:val="48A08CEE"/>
    <w:rsid w:val="48A5DF42"/>
    <w:rsid w:val="48AA671F"/>
    <w:rsid w:val="48AA8F06"/>
    <w:rsid w:val="48AD5048"/>
    <w:rsid w:val="48ADE5C6"/>
    <w:rsid w:val="48AE825F"/>
    <w:rsid w:val="48BA401B"/>
    <w:rsid w:val="48C5D10E"/>
    <w:rsid w:val="48CB9329"/>
    <w:rsid w:val="48CFC18B"/>
    <w:rsid w:val="48D63E22"/>
    <w:rsid w:val="48DC6F6F"/>
    <w:rsid w:val="48DC8FB7"/>
    <w:rsid w:val="48DFF986"/>
    <w:rsid w:val="48E16438"/>
    <w:rsid w:val="48E88E65"/>
    <w:rsid w:val="48E99FFA"/>
    <w:rsid w:val="48EA17D1"/>
    <w:rsid w:val="48F8C942"/>
    <w:rsid w:val="48FBB2CF"/>
    <w:rsid w:val="49054AC1"/>
    <w:rsid w:val="490B1C77"/>
    <w:rsid w:val="490E8BCD"/>
    <w:rsid w:val="491053AF"/>
    <w:rsid w:val="49133F79"/>
    <w:rsid w:val="4915BAAF"/>
    <w:rsid w:val="49192CD6"/>
    <w:rsid w:val="491CF594"/>
    <w:rsid w:val="4922FAF1"/>
    <w:rsid w:val="4923829B"/>
    <w:rsid w:val="4925524E"/>
    <w:rsid w:val="4927C62D"/>
    <w:rsid w:val="49303C75"/>
    <w:rsid w:val="493211CC"/>
    <w:rsid w:val="49323E71"/>
    <w:rsid w:val="49323FA1"/>
    <w:rsid w:val="493A247E"/>
    <w:rsid w:val="493A2486"/>
    <w:rsid w:val="49414D16"/>
    <w:rsid w:val="4942D865"/>
    <w:rsid w:val="494DEFA5"/>
    <w:rsid w:val="495134B7"/>
    <w:rsid w:val="495A5BAF"/>
    <w:rsid w:val="495F5E68"/>
    <w:rsid w:val="496B33B5"/>
    <w:rsid w:val="496DD546"/>
    <w:rsid w:val="496ED198"/>
    <w:rsid w:val="496EF6A6"/>
    <w:rsid w:val="497A86EE"/>
    <w:rsid w:val="497B775A"/>
    <w:rsid w:val="497D8469"/>
    <w:rsid w:val="498065CC"/>
    <w:rsid w:val="4981E2B0"/>
    <w:rsid w:val="4989EBF8"/>
    <w:rsid w:val="498E35AE"/>
    <w:rsid w:val="499048F7"/>
    <w:rsid w:val="49909F0E"/>
    <w:rsid w:val="49920285"/>
    <w:rsid w:val="499244D4"/>
    <w:rsid w:val="49954FE6"/>
    <w:rsid w:val="49980866"/>
    <w:rsid w:val="49985175"/>
    <w:rsid w:val="499AAE87"/>
    <w:rsid w:val="499F332A"/>
    <w:rsid w:val="49A0551F"/>
    <w:rsid w:val="49AF6935"/>
    <w:rsid w:val="49B19F01"/>
    <w:rsid w:val="49B39308"/>
    <w:rsid w:val="49B43917"/>
    <w:rsid w:val="49BA89D7"/>
    <w:rsid w:val="49CC1F30"/>
    <w:rsid w:val="49D19787"/>
    <w:rsid w:val="49D2A99B"/>
    <w:rsid w:val="49D45795"/>
    <w:rsid w:val="49D5A1D5"/>
    <w:rsid w:val="49D8E746"/>
    <w:rsid w:val="49DA24EF"/>
    <w:rsid w:val="49DBB320"/>
    <w:rsid w:val="49DC8894"/>
    <w:rsid w:val="49E8781A"/>
    <w:rsid w:val="49ED71E4"/>
    <w:rsid w:val="49F13CAF"/>
    <w:rsid w:val="49F6526E"/>
    <w:rsid w:val="49F66B7F"/>
    <w:rsid w:val="49F6BB5E"/>
    <w:rsid w:val="49FC1E82"/>
    <w:rsid w:val="4A001D0F"/>
    <w:rsid w:val="4A06E5B5"/>
    <w:rsid w:val="4A07B53F"/>
    <w:rsid w:val="4A081A09"/>
    <w:rsid w:val="4A0A71EB"/>
    <w:rsid w:val="4A0FF4B4"/>
    <w:rsid w:val="4A12B748"/>
    <w:rsid w:val="4A138AD7"/>
    <w:rsid w:val="4A19E4F3"/>
    <w:rsid w:val="4A1A1B56"/>
    <w:rsid w:val="4A1EF19A"/>
    <w:rsid w:val="4A266C6A"/>
    <w:rsid w:val="4A29D6BC"/>
    <w:rsid w:val="4A2CBF09"/>
    <w:rsid w:val="4A2DF171"/>
    <w:rsid w:val="4A32088F"/>
    <w:rsid w:val="4A333FCC"/>
    <w:rsid w:val="4A35037E"/>
    <w:rsid w:val="4A3987FC"/>
    <w:rsid w:val="4A41B997"/>
    <w:rsid w:val="4A420331"/>
    <w:rsid w:val="4A521421"/>
    <w:rsid w:val="4A52CE17"/>
    <w:rsid w:val="4A531263"/>
    <w:rsid w:val="4A5D7017"/>
    <w:rsid w:val="4A5E00A1"/>
    <w:rsid w:val="4A6080EB"/>
    <w:rsid w:val="4A65FB76"/>
    <w:rsid w:val="4A6D8A31"/>
    <w:rsid w:val="4A7020E9"/>
    <w:rsid w:val="4A71CD69"/>
    <w:rsid w:val="4A7531B9"/>
    <w:rsid w:val="4A7B410E"/>
    <w:rsid w:val="4A7F8A0D"/>
    <w:rsid w:val="4A839B0F"/>
    <w:rsid w:val="4A8628F0"/>
    <w:rsid w:val="4A913F1F"/>
    <w:rsid w:val="4A91C349"/>
    <w:rsid w:val="4A91E2B0"/>
    <w:rsid w:val="4A9BA07D"/>
    <w:rsid w:val="4A9E89ED"/>
    <w:rsid w:val="4A9EFB57"/>
    <w:rsid w:val="4AA59C11"/>
    <w:rsid w:val="4AA80902"/>
    <w:rsid w:val="4AAA677C"/>
    <w:rsid w:val="4AB3A2D3"/>
    <w:rsid w:val="4AB7992D"/>
    <w:rsid w:val="4AC1C8F9"/>
    <w:rsid w:val="4AC87194"/>
    <w:rsid w:val="4AD1A413"/>
    <w:rsid w:val="4AD88CBB"/>
    <w:rsid w:val="4AE38212"/>
    <w:rsid w:val="4AE960D0"/>
    <w:rsid w:val="4AF9E888"/>
    <w:rsid w:val="4AFE8FEF"/>
    <w:rsid w:val="4B016968"/>
    <w:rsid w:val="4B0558D4"/>
    <w:rsid w:val="4B0BD89E"/>
    <w:rsid w:val="4B0D5D60"/>
    <w:rsid w:val="4B0DB62A"/>
    <w:rsid w:val="4B190254"/>
    <w:rsid w:val="4B19E10E"/>
    <w:rsid w:val="4B1D8757"/>
    <w:rsid w:val="4B2145EC"/>
    <w:rsid w:val="4B221A2D"/>
    <w:rsid w:val="4B2313C0"/>
    <w:rsid w:val="4B238AC6"/>
    <w:rsid w:val="4B25B981"/>
    <w:rsid w:val="4B30DDA7"/>
    <w:rsid w:val="4B34B463"/>
    <w:rsid w:val="4B367B05"/>
    <w:rsid w:val="4B3697AC"/>
    <w:rsid w:val="4B36B526"/>
    <w:rsid w:val="4B3FBAE6"/>
    <w:rsid w:val="4B41F5EF"/>
    <w:rsid w:val="4B46CC1E"/>
    <w:rsid w:val="4B47D774"/>
    <w:rsid w:val="4B4F7BD1"/>
    <w:rsid w:val="4B51566B"/>
    <w:rsid w:val="4B51C37C"/>
    <w:rsid w:val="4B56BC7E"/>
    <w:rsid w:val="4B59D209"/>
    <w:rsid w:val="4B5C001C"/>
    <w:rsid w:val="4B5D655F"/>
    <w:rsid w:val="4B5FD369"/>
    <w:rsid w:val="4B655335"/>
    <w:rsid w:val="4B6F144E"/>
    <w:rsid w:val="4B7131B0"/>
    <w:rsid w:val="4B77F1FC"/>
    <w:rsid w:val="4B791BDE"/>
    <w:rsid w:val="4B7FA12F"/>
    <w:rsid w:val="4B84C6CC"/>
    <w:rsid w:val="4B84EA26"/>
    <w:rsid w:val="4B88C0E6"/>
    <w:rsid w:val="4B8D42A1"/>
    <w:rsid w:val="4B8F4768"/>
    <w:rsid w:val="4B8F6D40"/>
    <w:rsid w:val="4B8F6EE9"/>
    <w:rsid w:val="4B909799"/>
    <w:rsid w:val="4B9220B4"/>
    <w:rsid w:val="4B93EC3E"/>
    <w:rsid w:val="4B972838"/>
    <w:rsid w:val="4BAF933E"/>
    <w:rsid w:val="4BAFA46D"/>
    <w:rsid w:val="4BB3CC75"/>
    <w:rsid w:val="4BB9A82C"/>
    <w:rsid w:val="4BBD248B"/>
    <w:rsid w:val="4BC172E5"/>
    <w:rsid w:val="4BC31936"/>
    <w:rsid w:val="4BC40F4C"/>
    <w:rsid w:val="4BC49EDF"/>
    <w:rsid w:val="4BC55313"/>
    <w:rsid w:val="4BC66CFB"/>
    <w:rsid w:val="4BC68DC8"/>
    <w:rsid w:val="4BC9EC72"/>
    <w:rsid w:val="4BCA327B"/>
    <w:rsid w:val="4BCD18A0"/>
    <w:rsid w:val="4BCE65B5"/>
    <w:rsid w:val="4BD44987"/>
    <w:rsid w:val="4BD60BDE"/>
    <w:rsid w:val="4BD6AC34"/>
    <w:rsid w:val="4BD6CDB6"/>
    <w:rsid w:val="4BD8475A"/>
    <w:rsid w:val="4BDADFF3"/>
    <w:rsid w:val="4BDD9DC9"/>
    <w:rsid w:val="4BE1E20B"/>
    <w:rsid w:val="4BE31CC3"/>
    <w:rsid w:val="4BE3D248"/>
    <w:rsid w:val="4BE49A38"/>
    <w:rsid w:val="4BE76E91"/>
    <w:rsid w:val="4BE984EA"/>
    <w:rsid w:val="4BE9AB51"/>
    <w:rsid w:val="4BEDB029"/>
    <w:rsid w:val="4BEE9E78"/>
    <w:rsid w:val="4BEEAE74"/>
    <w:rsid w:val="4BF346B0"/>
    <w:rsid w:val="4BF376E6"/>
    <w:rsid w:val="4BF52F5C"/>
    <w:rsid w:val="4BF722A2"/>
    <w:rsid w:val="4BF9FA34"/>
    <w:rsid w:val="4BFD6D16"/>
    <w:rsid w:val="4BFE01B8"/>
    <w:rsid w:val="4C004AE8"/>
    <w:rsid w:val="4C00E0FE"/>
    <w:rsid w:val="4C02124F"/>
    <w:rsid w:val="4C077880"/>
    <w:rsid w:val="4C07D54C"/>
    <w:rsid w:val="4C08DC29"/>
    <w:rsid w:val="4C0A0909"/>
    <w:rsid w:val="4C0A0BCE"/>
    <w:rsid w:val="4C0FA2AE"/>
    <w:rsid w:val="4C1296AA"/>
    <w:rsid w:val="4C13FE49"/>
    <w:rsid w:val="4C160F59"/>
    <w:rsid w:val="4C183557"/>
    <w:rsid w:val="4C1A3F91"/>
    <w:rsid w:val="4C1D80E7"/>
    <w:rsid w:val="4C1E29E7"/>
    <w:rsid w:val="4C1E6FF5"/>
    <w:rsid w:val="4C202DC5"/>
    <w:rsid w:val="4C29AF92"/>
    <w:rsid w:val="4C393B4B"/>
    <w:rsid w:val="4C3B01E3"/>
    <w:rsid w:val="4C3BF2FF"/>
    <w:rsid w:val="4C3DABB9"/>
    <w:rsid w:val="4C3DF383"/>
    <w:rsid w:val="4C435857"/>
    <w:rsid w:val="4C4B8213"/>
    <w:rsid w:val="4C5180F3"/>
    <w:rsid w:val="4C58AF51"/>
    <w:rsid w:val="4C5EAAA0"/>
    <w:rsid w:val="4C6976AB"/>
    <w:rsid w:val="4C6BB24E"/>
    <w:rsid w:val="4C7FD87B"/>
    <w:rsid w:val="4C813565"/>
    <w:rsid w:val="4C823BF4"/>
    <w:rsid w:val="4C8544BE"/>
    <w:rsid w:val="4C87273C"/>
    <w:rsid w:val="4C8A23DA"/>
    <w:rsid w:val="4C8AFDDD"/>
    <w:rsid w:val="4C8B51B1"/>
    <w:rsid w:val="4C94FCE6"/>
    <w:rsid w:val="4C9E845A"/>
    <w:rsid w:val="4CA01D2B"/>
    <w:rsid w:val="4CA8A952"/>
    <w:rsid w:val="4CA99402"/>
    <w:rsid w:val="4CAC3BA6"/>
    <w:rsid w:val="4CB47C39"/>
    <w:rsid w:val="4CB7883A"/>
    <w:rsid w:val="4CC4C5A7"/>
    <w:rsid w:val="4CC8DE98"/>
    <w:rsid w:val="4CCF8C1E"/>
    <w:rsid w:val="4CD117EE"/>
    <w:rsid w:val="4CDA695D"/>
    <w:rsid w:val="4CE1946D"/>
    <w:rsid w:val="4CE3A2B2"/>
    <w:rsid w:val="4CE57F7B"/>
    <w:rsid w:val="4CE72EFD"/>
    <w:rsid w:val="4CF20860"/>
    <w:rsid w:val="4CF2A687"/>
    <w:rsid w:val="4CF39C42"/>
    <w:rsid w:val="4CF6527C"/>
    <w:rsid w:val="4CF6BFAC"/>
    <w:rsid w:val="4CFA34F8"/>
    <w:rsid w:val="4D00C0D7"/>
    <w:rsid w:val="4D057C5C"/>
    <w:rsid w:val="4D06844C"/>
    <w:rsid w:val="4D0AFBD9"/>
    <w:rsid w:val="4D0BD4D7"/>
    <w:rsid w:val="4D10E8DC"/>
    <w:rsid w:val="4D159329"/>
    <w:rsid w:val="4D172ADD"/>
    <w:rsid w:val="4D1B6BA2"/>
    <w:rsid w:val="4D237620"/>
    <w:rsid w:val="4D2BC4F7"/>
    <w:rsid w:val="4D2CCCBE"/>
    <w:rsid w:val="4D328C20"/>
    <w:rsid w:val="4D32DD93"/>
    <w:rsid w:val="4D382398"/>
    <w:rsid w:val="4D41BD70"/>
    <w:rsid w:val="4D460194"/>
    <w:rsid w:val="4D51D61A"/>
    <w:rsid w:val="4D54A362"/>
    <w:rsid w:val="4D5C3656"/>
    <w:rsid w:val="4D5D00F0"/>
    <w:rsid w:val="4D601053"/>
    <w:rsid w:val="4D620E80"/>
    <w:rsid w:val="4D66EB1A"/>
    <w:rsid w:val="4D674CDD"/>
    <w:rsid w:val="4D6A7D09"/>
    <w:rsid w:val="4D6B27E0"/>
    <w:rsid w:val="4D705321"/>
    <w:rsid w:val="4D76EC48"/>
    <w:rsid w:val="4D77876F"/>
    <w:rsid w:val="4D78AC5E"/>
    <w:rsid w:val="4D79739F"/>
    <w:rsid w:val="4D7C7F35"/>
    <w:rsid w:val="4D7DE23E"/>
    <w:rsid w:val="4D7E1D62"/>
    <w:rsid w:val="4D7FA7E2"/>
    <w:rsid w:val="4D84F81E"/>
    <w:rsid w:val="4D88F4EB"/>
    <w:rsid w:val="4D8B3BDE"/>
    <w:rsid w:val="4D8B9FA4"/>
    <w:rsid w:val="4D90845C"/>
    <w:rsid w:val="4D931FA9"/>
    <w:rsid w:val="4D963C64"/>
    <w:rsid w:val="4D97A329"/>
    <w:rsid w:val="4DA70D17"/>
    <w:rsid w:val="4DA7EAEA"/>
    <w:rsid w:val="4DB264A1"/>
    <w:rsid w:val="4DBA6111"/>
    <w:rsid w:val="4DC3B1B2"/>
    <w:rsid w:val="4DC4F5E9"/>
    <w:rsid w:val="4DC60D87"/>
    <w:rsid w:val="4DC760B4"/>
    <w:rsid w:val="4DCA301A"/>
    <w:rsid w:val="4DCC6F08"/>
    <w:rsid w:val="4DCC98D5"/>
    <w:rsid w:val="4DD3BDB6"/>
    <w:rsid w:val="4DD7C72B"/>
    <w:rsid w:val="4DDB95E1"/>
    <w:rsid w:val="4DDC0785"/>
    <w:rsid w:val="4DE2454F"/>
    <w:rsid w:val="4DE3BB23"/>
    <w:rsid w:val="4DE8DEC1"/>
    <w:rsid w:val="4DE941DA"/>
    <w:rsid w:val="4DE9765E"/>
    <w:rsid w:val="4DF03812"/>
    <w:rsid w:val="4DFBE357"/>
    <w:rsid w:val="4E030B72"/>
    <w:rsid w:val="4E05536A"/>
    <w:rsid w:val="4E08FF0C"/>
    <w:rsid w:val="4E116433"/>
    <w:rsid w:val="4E13139D"/>
    <w:rsid w:val="4E1DC9C4"/>
    <w:rsid w:val="4E1E1A03"/>
    <w:rsid w:val="4E20885A"/>
    <w:rsid w:val="4E252CAC"/>
    <w:rsid w:val="4E271974"/>
    <w:rsid w:val="4E2A81F7"/>
    <w:rsid w:val="4E2E97AB"/>
    <w:rsid w:val="4E2F01E1"/>
    <w:rsid w:val="4E3220AE"/>
    <w:rsid w:val="4E33C0E1"/>
    <w:rsid w:val="4E41348B"/>
    <w:rsid w:val="4E4556EC"/>
    <w:rsid w:val="4E4783A1"/>
    <w:rsid w:val="4E4AC3F0"/>
    <w:rsid w:val="4E4F188F"/>
    <w:rsid w:val="4E56D232"/>
    <w:rsid w:val="4E57FBA1"/>
    <w:rsid w:val="4E58B06E"/>
    <w:rsid w:val="4E5972CB"/>
    <w:rsid w:val="4E5E7FD7"/>
    <w:rsid w:val="4E603EAB"/>
    <w:rsid w:val="4E7291C5"/>
    <w:rsid w:val="4E76EED8"/>
    <w:rsid w:val="4E77392D"/>
    <w:rsid w:val="4E7F9C8B"/>
    <w:rsid w:val="4E857A15"/>
    <w:rsid w:val="4E888AA2"/>
    <w:rsid w:val="4E90BC96"/>
    <w:rsid w:val="4E9184E9"/>
    <w:rsid w:val="4E93C9D9"/>
    <w:rsid w:val="4E947A46"/>
    <w:rsid w:val="4E98DA47"/>
    <w:rsid w:val="4E9A9A31"/>
    <w:rsid w:val="4E9CA45D"/>
    <w:rsid w:val="4E9EC04E"/>
    <w:rsid w:val="4E9FBCDB"/>
    <w:rsid w:val="4EAB19C4"/>
    <w:rsid w:val="4EADAAE0"/>
    <w:rsid w:val="4EB75C25"/>
    <w:rsid w:val="4EBD94B5"/>
    <w:rsid w:val="4EC117F3"/>
    <w:rsid w:val="4EC13AD2"/>
    <w:rsid w:val="4EC3D560"/>
    <w:rsid w:val="4EC6C68C"/>
    <w:rsid w:val="4ED15AF6"/>
    <w:rsid w:val="4ED6C5EB"/>
    <w:rsid w:val="4EDC4060"/>
    <w:rsid w:val="4EE06418"/>
    <w:rsid w:val="4EE0D938"/>
    <w:rsid w:val="4EE882C1"/>
    <w:rsid w:val="4EE899B0"/>
    <w:rsid w:val="4EE8F5EE"/>
    <w:rsid w:val="4EE9A56E"/>
    <w:rsid w:val="4EE9E676"/>
    <w:rsid w:val="4EEAA1D0"/>
    <w:rsid w:val="4EEC945A"/>
    <w:rsid w:val="4EED870E"/>
    <w:rsid w:val="4EEEFF5A"/>
    <w:rsid w:val="4EF03F8C"/>
    <w:rsid w:val="4EF262BD"/>
    <w:rsid w:val="4EF551E0"/>
    <w:rsid w:val="4EFBFC60"/>
    <w:rsid w:val="4EFCDF90"/>
    <w:rsid w:val="4F0579B2"/>
    <w:rsid w:val="4F086A65"/>
    <w:rsid w:val="4F0CBB11"/>
    <w:rsid w:val="4F0DE08D"/>
    <w:rsid w:val="4F11980E"/>
    <w:rsid w:val="4F12361E"/>
    <w:rsid w:val="4F160944"/>
    <w:rsid w:val="4F212288"/>
    <w:rsid w:val="4F21D0EF"/>
    <w:rsid w:val="4F240AE8"/>
    <w:rsid w:val="4F255AAE"/>
    <w:rsid w:val="4F2A4011"/>
    <w:rsid w:val="4F2B7DFE"/>
    <w:rsid w:val="4F2CC1F2"/>
    <w:rsid w:val="4F34701F"/>
    <w:rsid w:val="4F398014"/>
    <w:rsid w:val="4F3BBC3A"/>
    <w:rsid w:val="4F3E2751"/>
    <w:rsid w:val="4F46D047"/>
    <w:rsid w:val="4F48D032"/>
    <w:rsid w:val="4F4B9D4A"/>
    <w:rsid w:val="4F4EAF22"/>
    <w:rsid w:val="4F5AAB74"/>
    <w:rsid w:val="4F5B0E32"/>
    <w:rsid w:val="4F5DAE38"/>
    <w:rsid w:val="4F61AD53"/>
    <w:rsid w:val="4F64B0C7"/>
    <w:rsid w:val="4F688D4B"/>
    <w:rsid w:val="4F77DA9F"/>
    <w:rsid w:val="4F838256"/>
    <w:rsid w:val="4F85D066"/>
    <w:rsid w:val="4F87FF21"/>
    <w:rsid w:val="4F899D31"/>
    <w:rsid w:val="4F8AA5E7"/>
    <w:rsid w:val="4F93506F"/>
    <w:rsid w:val="4F9BF1D0"/>
    <w:rsid w:val="4F9C8993"/>
    <w:rsid w:val="4F9F8BA0"/>
    <w:rsid w:val="4FA78203"/>
    <w:rsid w:val="4FB908B0"/>
    <w:rsid w:val="4FC352C4"/>
    <w:rsid w:val="4FC48397"/>
    <w:rsid w:val="4FC55B84"/>
    <w:rsid w:val="4FC5FD76"/>
    <w:rsid w:val="4FC97638"/>
    <w:rsid w:val="4FCB5730"/>
    <w:rsid w:val="4FCF3628"/>
    <w:rsid w:val="4FD0B7C9"/>
    <w:rsid w:val="4FD49C2B"/>
    <w:rsid w:val="4FD76E2A"/>
    <w:rsid w:val="4FD9EFCF"/>
    <w:rsid w:val="4FDC17B5"/>
    <w:rsid w:val="4FDE382A"/>
    <w:rsid w:val="4FDF8196"/>
    <w:rsid w:val="4FE9F9C9"/>
    <w:rsid w:val="4FEA3AF1"/>
    <w:rsid w:val="4FEB8789"/>
    <w:rsid w:val="4FEBC09E"/>
    <w:rsid w:val="4FEBC9A4"/>
    <w:rsid w:val="4FF05B35"/>
    <w:rsid w:val="4FF21704"/>
    <w:rsid w:val="4FF7104F"/>
    <w:rsid w:val="4FFA0F4E"/>
    <w:rsid w:val="4FFB3278"/>
    <w:rsid w:val="4FFFFFE6"/>
    <w:rsid w:val="5003EE80"/>
    <w:rsid w:val="50068802"/>
    <w:rsid w:val="5007A8F9"/>
    <w:rsid w:val="50085CFD"/>
    <w:rsid w:val="50088531"/>
    <w:rsid w:val="501599EC"/>
    <w:rsid w:val="50175BFA"/>
    <w:rsid w:val="5018FDF8"/>
    <w:rsid w:val="501A1C2F"/>
    <w:rsid w:val="501E6ABB"/>
    <w:rsid w:val="50259739"/>
    <w:rsid w:val="503646AF"/>
    <w:rsid w:val="503F019E"/>
    <w:rsid w:val="503F5E57"/>
    <w:rsid w:val="50421F6B"/>
    <w:rsid w:val="504248EB"/>
    <w:rsid w:val="504377B1"/>
    <w:rsid w:val="5043BA23"/>
    <w:rsid w:val="5047C8BC"/>
    <w:rsid w:val="504C13E8"/>
    <w:rsid w:val="504C185D"/>
    <w:rsid w:val="504FE831"/>
    <w:rsid w:val="505080A7"/>
    <w:rsid w:val="5051ED06"/>
    <w:rsid w:val="50532322"/>
    <w:rsid w:val="50579787"/>
    <w:rsid w:val="505A5E92"/>
    <w:rsid w:val="505B47F3"/>
    <w:rsid w:val="505C4F77"/>
    <w:rsid w:val="505D9F06"/>
    <w:rsid w:val="5062D885"/>
    <w:rsid w:val="5064399D"/>
    <w:rsid w:val="50676F6E"/>
    <w:rsid w:val="5068258E"/>
    <w:rsid w:val="507285FD"/>
    <w:rsid w:val="50738BD8"/>
    <w:rsid w:val="50764A24"/>
    <w:rsid w:val="5076CA6A"/>
    <w:rsid w:val="50775528"/>
    <w:rsid w:val="5077EACE"/>
    <w:rsid w:val="507AC86C"/>
    <w:rsid w:val="507D9FCB"/>
    <w:rsid w:val="5080F819"/>
    <w:rsid w:val="5082F446"/>
    <w:rsid w:val="50838967"/>
    <w:rsid w:val="508BB7E0"/>
    <w:rsid w:val="5091CD91"/>
    <w:rsid w:val="50942808"/>
    <w:rsid w:val="5098204B"/>
    <w:rsid w:val="50989151"/>
    <w:rsid w:val="5098E36B"/>
    <w:rsid w:val="509B7BE8"/>
    <w:rsid w:val="509CC94F"/>
    <w:rsid w:val="50AC1407"/>
    <w:rsid w:val="50AE14A1"/>
    <w:rsid w:val="50AEF732"/>
    <w:rsid w:val="50AF4AE6"/>
    <w:rsid w:val="50B5FE9B"/>
    <w:rsid w:val="50B80B5B"/>
    <w:rsid w:val="50C1AFCE"/>
    <w:rsid w:val="50C26E96"/>
    <w:rsid w:val="50C6BFF6"/>
    <w:rsid w:val="50C7116B"/>
    <w:rsid w:val="50D1B82E"/>
    <w:rsid w:val="50D679FB"/>
    <w:rsid w:val="50D6C931"/>
    <w:rsid w:val="50DBD01A"/>
    <w:rsid w:val="50E6FFB4"/>
    <w:rsid w:val="50E7FBD7"/>
    <w:rsid w:val="50ECD6AF"/>
    <w:rsid w:val="50F243DF"/>
    <w:rsid w:val="50F2FAB2"/>
    <w:rsid w:val="510133CC"/>
    <w:rsid w:val="51014843"/>
    <w:rsid w:val="51027B69"/>
    <w:rsid w:val="510A72A8"/>
    <w:rsid w:val="5110D52D"/>
    <w:rsid w:val="5110FCD2"/>
    <w:rsid w:val="51176A7E"/>
    <w:rsid w:val="51195B3F"/>
    <w:rsid w:val="511C95E2"/>
    <w:rsid w:val="511EE2D0"/>
    <w:rsid w:val="5120702C"/>
    <w:rsid w:val="5128133A"/>
    <w:rsid w:val="512DC6D9"/>
    <w:rsid w:val="5131A5A8"/>
    <w:rsid w:val="5138BCFA"/>
    <w:rsid w:val="513F2B27"/>
    <w:rsid w:val="513F648C"/>
    <w:rsid w:val="51498C39"/>
    <w:rsid w:val="514CB378"/>
    <w:rsid w:val="514F61EA"/>
    <w:rsid w:val="5150F2CD"/>
    <w:rsid w:val="51520DD1"/>
    <w:rsid w:val="5152D9FA"/>
    <w:rsid w:val="515E43D1"/>
    <w:rsid w:val="51614EA7"/>
    <w:rsid w:val="51781DE2"/>
    <w:rsid w:val="517A2E8B"/>
    <w:rsid w:val="517B4F33"/>
    <w:rsid w:val="5183366F"/>
    <w:rsid w:val="518365E3"/>
    <w:rsid w:val="518A040F"/>
    <w:rsid w:val="518ADA2C"/>
    <w:rsid w:val="518B63A4"/>
    <w:rsid w:val="5193C282"/>
    <w:rsid w:val="519A1AD4"/>
    <w:rsid w:val="519DE5E9"/>
    <w:rsid w:val="519FA806"/>
    <w:rsid w:val="519FD82B"/>
    <w:rsid w:val="51A1FCC7"/>
    <w:rsid w:val="51A8578A"/>
    <w:rsid w:val="51AD1916"/>
    <w:rsid w:val="51ADF76F"/>
    <w:rsid w:val="51B37F08"/>
    <w:rsid w:val="51B9E6E7"/>
    <w:rsid w:val="51C3A654"/>
    <w:rsid w:val="51C6443D"/>
    <w:rsid w:val="51C7DE0F"/>
    <w:rsid w:val="51C80604"/>
    <w:rsid w:val="51CEBA82"/>
    <w:rsid w:val="51D93ED0"/>
    <w:rsid w:val="51DA338F"/>
    <w:rsid w:val="51DA33E3"/>
    <w:rsid w:val="51DAA1ED"/>
    <w:rsid w:val="51DB6F3D"/>
    <w:rsid w:val="51DDEC37"/>
    <w:rsid w:val="51DF23DD"/>
    <w:rsid w:val="51DF23EA"/>
    <w:rsid w:val="51DFC650"/>
    <w:rsid w:val="51E37621"/>
    <w:rsid w:val="51EDDE50"/>
    <w:rsid w:val="51F10938"/>
    <w:rsid w:val="51FED521"/>
    <w:rsid w:val="52019251"/>
    <w:rsid w:val="52070EFF"/>
    <w:rsid w:val="520A8FCA"/>
    <w:rsid w:val="5213EFE1"/>
    <w:rsid w:val="521B6AF7"/>
    <w:rsid w:val="521F6A0D"/>
    <w:rsid w:val="52248C29"/>
    <w:rsid w:val="5228FA4C"/>
    <w:rsid w:val="52291A77"/>
    <w:rsid w:val="522A037F"/>
    <w:rsid w:val="5231F561"/>
    <w:rsid w:val="523296E2"/>
    <w:rsid w:val="523AE0C0"/>
    <w:rsid w:val="523B4EB4"/>
    <w:rsid w:val="523E207B"/>
    <w:rsid w:val="523E39F6"/>
    <w:rsid w:val="523FFF17"/>
    <w:rsid w:val="524480F2"/>
    <w:rsid w:val="52448827"/>
    <w:rsid w:val="52459F7E"/>
    <w:rsid w:val="524B04B7"/>
    <w:rsid w:val="524B1CDE"/>
    <w:rsid w:val="524EB913"/>
    <w:rsid w:val="5256164A"/>
    <w:rsid w:val="525DDFFC"/>
    <w:rsid w:val="5260DF6B"/>
    <w:rsid w:val="5263C4F5"/>
    <w:rsid w:val="52661762"/>
    <w:rsid w:val="526B7215"/>
    <w:rsid w:val="5270D142"/>
    <w:rsid w:val="5273BDC4"/>
    <w:rsid w:val="5273C068"/>
    <w:rsid w:val="52743B3A"/>
    <w:rsid w:val="527494CA"/>
    <w:rsid w:val="5275AEBB"/>
    <w:rsid w:val="5278DE98"/>
    <w:rsid w:val="527F10B3"/>
    <w:rsid w:val="5280E273"/>
    <w:rsid w:val="52813BA3"/>
    <w:rsid w:val="52833E0C"/>
    <w:rsid w:val="52855A18"/>
    <w:rsid w:val="529CDBE3"/>
    <w:rsid w:val="529D3DC4"/>
    <w:rsid w:val="529FD0DA"/>
    <w:rsid w:val="52A02E0D"/>
    <w:rsid w:val="52A14CF1"/>
    <w:rsid w:val="52A50EEC"/>
    <w:rsid w:val="52A64309"/>
    <w:rsid w:val="52A8E6E8"/>
    <w:rsid w:val="52ACBE70"/>
    <w:rsid w:val="52ACFD83"/>
    <w:rsid w:val="52AD7940"/>
    <w:rsid w:val="52AF166F"/>
    <w:rsid w:val="52AF310E"/>
    <w:rsid w:val="52B12A3E"/>
    <w:rsid w:val="52B97657"/>
    <w:rsid w:val="52CB8991"/>
    <w:rsid w:val="52CD26BF"/>
    <w:rsid w:val="52D14A25"/>
    <w:rsid w:val="52D50AC9"/>
    <w:rsid w:val="52D5C94C"/>
    <w:rsid w:val="52D7D4A9"/>
    <w:rsid w:val="52DEADA3"/>
    <w:rsid w:val="52E0C733"/>
    <w:rsid w:val="52E0CB44"/>
    <w:rsid w:val="52E914B5"/>
    <w:rsid w:val="52EDDAFB"/>
    <w:rsid w:val="52F0DD3F"/>
    <w:rsid w:val="52F816FD"/>
    <w:rsid w:val="52FD2B0C"/>
    <w:rsid w:val="52FD6FFF"/>
    <w:rsid w:val="5304CE0E"/>
    <w:rsid w:val="530FE024"/>
    <w:rsid w:val="5317CBEC"/>
    <w:rsid w:val="531B6D09"/>
    <w:rsid w:val="531EBA4A"/>
    <w:rsid w:val="5320782F"/>
    <w:rsid w:val="5320A4C5"/>
    <w:rsid w:val="532D6963"/>
    <w:rsid w:val="532FCCE4"/>
    <w:rsid w:val="532FDECF"/>
    <w:rsid w:val="533027C7"/>
    <w:rsid w:val="5337E733"/>
    <w:rsid w:val="5339B0FA"/>
    <w:rsid w:val="53424379"/>
    <w:rsid w:val="534328CB"/>
    <w:rsid w:val="53464438"/>
    <w:rsid w:val="534AA870"/>
    <w:rsid w:val="5350C333"/>
    <w:rsid w:val="5350E892"/>
    <w:rsid w:val="535CFEAB"/>
    <w:rsid w:val="535FB5A2"/>
    <w:rsid w:val="53612828"/>
    <w:rsid w:val="5361D8F1"/>
    <w:rsid w:val="5362AB0B"/>
    <w:rsid w:val="5362EABC"/>
    <w:rsid w:val="53647C99"/>
    <w:rsid w:val="5366F0BE"/>
    <w:rsid w:val="536CC254"/>
    <w:rsid w:val="536E5DB7"/>
    <w:rsid w:val="537065B1"/>
    <w:rsid w:val="53726775"/>
    <w:rsid w:val="537C0167"/>
    <w:rsid w:val="53918CD1"/>
    <w:rsid w:val="5391D858"/>
    <w:rsid w:val="5391FAC0"/>
    <w:rsid w:val="53929F90"/>
    <w:rsid w:val="5393DE85"/>
    <w:rsid w:val="53949B65"/>
    <w:rsid w:val="539A9A18"/>
    <w:rsid w:val="539BFA4A"/>
    <w:rsid w:val="53A1EFD9"/>
    <w:rsid w:val="53A5C4BE"/>
    <w:rsid w:val="53A75A2B"/>
    <w:rsid w:val="53A856A8"/>
    <w:rsid w:val="53ABE489"/>
    <w:rsid w:val="53ADA2C0"/>
    <w:rsid w:val="53AEADE0"/>
    <w:rsid w:val="53AECAD8"/>
    <w:rsid w:val="53B01121"/>
    <w:rsid w:val="53B032AD"/>
    <w:rsid w:val="53B064C7"/>
    <w:rsid w:val="53C0D21C"/>
    <w:rsid w:val="53C12176"/>
    <w:rsid w:val="53C2707D"/>
    <w:rsid w:val="53C65BEA"/>
    <w:rsid w:val="53C9A897"/>
    <w:rsid w:val="53CA65B4"/>
    <w:rsid w:val="53D141D4"/>
    <w:rsid w:val="53E0138D"/>
    <w:rsid w:val="53E7112C"/>
    <w:rsid w:val="53E8358A"/>
    <w:rsid w:val="53E8472E"/>
    <w:rsid w:val="53E86634"/>
    <w:rsid w:val="53E943BB"/>
    <w:rsid w:val="53EB7977"/>
    <w:rsid w:val="53EBD9F0"/>
    <w:rsid w:val="53F01BC7"/>
    <w:rsid w:val="53F8D9FE"/>
    <w:rsid w:val="5407FB49"/>
    <w:rsid w:val="540C8B14"/>
    <w:rsid w:val="540E59B5"/>
    <w:rsid w:val="540F06A3"/>
    <w:rsid w:val="54165DD1"/>
    <w:rsid w:val="5418B4DA"/>
    <w:rsid w:val="541D3264"/>
    <w:rsid w:val="5424DE8A"/>
    <w:rsid w:val="54265BD3"/>
    <w:rsid w:val="54284FE0"/>
    <w:rsid w:val="542A6098"/>
    <w:rsid w:val="542D5C13"/>
    <w:rsid w:val="542F271D"/>
    <w:rsid w:val="542FA33E"/>
    <w:rsid w:val="54353538"/>
    <w:rsid w:val="54375D93"/>
    <w:rsid w:val="543ECC58"/>
    <w:rsid w:val="543FCC0B"/>
    <w:rsid w:val="5442136A"/>
    <w:rsid w:val="5442C7FE"/>
    <w:rsid w:val="54433BDF"/>
    <w:rsid w:val="544A5FFE"/>
    <w:rsid w:val="544BA554"/>
    <w:rsid w:val="544F2E22"/>
    <w:rsid w:val="5452BB8D"/>
    <w:rsid w:val="545358C8"/>
    <w:rsid w:val="5455F7D2"/>
    <w:rsid w:val="54615EDE"/>
    <w:rsid w:val="546D05EB"/>
    <w:rsid w:val="546ED94E"/>
    <w:rsid w:val="5474A16B"/>
    <w:rsid w:val="547A7369"/>
    <w:rsid w:val="547BF8B2"/>
    <w:rsid w:val="54829D1A"/>
    <w:rsid w:val="548DD004"/>
    <w:rsid w:val="5493E75E"/>
    <w:rsid w:val="5495047C"/>
    <w:rsid w:val="549A5197"/>
    <w:rsid w:val="549ACEAE"/>
    <w:rsid w:val="549C9F6C"/>
    <w:rsid w:val="549F7E4A"/>
    <w:rsid w:val="54A1C4BA"/>
    <w:rsid w:val="54A92C43"/>
    <w:rsid w:val="54A971C2"/>
    <w:rsid w:val="54B085A5"/>
    <w:rsid w:val="54B23CA6"/>
    <w:rsid w:val="54B6D042"/>
    <w:rsid w:val="54B8D51B"/>
    <w:rsid w:val="54BB885E"/>
    <w:rsid w:val="54C0CCB0"/>
    <w:rsid w:val="54C5C173"/>
    <w:rsid w:val="54D043F2"/>
    <w:rsid w:val="54D04836"/>
    <w:rsid w:val="54DA65A6"/>
    <w:rsid w:val="54DB851D"/>
    <w:rsid w:val="54E189A4"/>
    <w:rsid w:val="54ECD326"/>
    <w:rsid w:val="54EE93C5"/>
    <w:rsid w:val="54EF8C61"/>
    <w:rsid w:val="54F05F35"/>
    <w:rsid w:val="54F1543C"/>
    <w:rsid w:val="54F4C407"/>
    <w:rsid w:val="54F7027B"/>
    <w:rsid w:val="54FCC65B"/>
    <w:rsid w:val="5500A89A"/>
    <w:rsid w:val="5503D20C"/>
    <w:rsid w:val="550830DA"/>
    <w:rsid w:val="550E6869"/>
    <w:rsid w:val="550F2C88"/>
    <w:rsid w:val="55132738"/>
    <w:rsid w:val="5513C008"/>
    <w:rsid w:val="551EFCA7"/>
    <w:rsid w:val="55249D9C"/>
    <w:rsid w:val="5524D802"/>
    <w:rsid w:val="552568F6"/>
    <w:rsid w:val="552A47B6"/>
    <w:rsid w:val="552CCCFF"/>
    <w:rsid w:val="552E8FF9"/>
    <w:rsid w:val="55334462"/>
    <w:rsid w:val="553F0844"/>
    <w:rsid w:val="553F5ABC"/>
    <w:rsid w:val="55412C5D"/>
    <w:rsid w:val="554AAA43"/>
    <w:rsid w:val="554D5BD4"/>
    <w:rsid w:val="554FB490"/>
    <w:rsid w:val="554FB9FC"/>
    <w:rsid w:val="555B291B"/>
    <w:rsid w:val="555CC67D"/>
    <w:rsid w:val="556067DA"/>
    <w:rsid w:val="5564ADDB"/>
    <w:rsid w:val="5568C51E"/>
    <w:rsid w:val="556BB51D"/>
    <w:rsid w:val="55703357"/>
    <w:rsid w:val="55710FD0"/>
    <w:rsid w:val="55774AC0"/>
    <w:rsid w:val="558810D3"/>
    <w:rsid w:val="558B394A"/>
    <w:rsid w:val="558BD350"/>
    <w:rsid w:val="5593D471"/>
    <w:rsid w:val="55941ABD"/>
    <w:rsid w:val="559D4477"/>
    <w:rsid w:val="559E01C4"/>
    <w:rsid w:val="55A40DBA"/>
    <w:rsid w:val="55A4F505"/>
    <w:rsid w:val="55A7A411"/>
    <w:rsid w:val="55A9684A"/>
    <w:rsid w:val="55AD6526"/>
    <w:rsid w:val="55B1AFAC"/>
    <w:rsid w:val="55B420DC"/>
    <w:rsid w:val="55B8995D"/>
    <w:rsid w:val="55BB9CE5"/>
    <w:rsid w:val="55BE0973"/>
    <w:rsid w:val="55C57E89"/>
    <w:rsid w:val="55C94EF5"/>
    <w:rsid w:val="55CBEDDD"/>
    <w:rsid w:val="55CCDDDE"/>
    <w:rsid w:val="55CDFCBC"/>
    <w:rsid w:val="55CE2BF6"/>
    <w:rsid w:val="55D0885E"/>
    <w:rsid w:val="55D2A530"/>
    <w:rsid w:val="55D42815"/>
    <w:rsid w:val="55E12377"/>
    <w:rsid w:val="55E26934"/>
    <w:rsid w:val="55E49220"/>
    <w:rsid w:val="55E96077"/>
    <w:rsid w:val="55EB0422"/>
    <w:rsid w:val="55F596F3"/>
    <w:rsid w:val="5600C5B3"/>
    <w:rsid w:val="5600CF90"/>
    <w:rsid w:val="5601D477"/>
    <w:rsid w:val="5606D2F2"/>
    <w:rsid w:val="560B0B6A"/>
    <w:rsid w:val="560E9E07"/>
    <w:rsid w:val="560F2C76"/>
    <w:rsid w:val="560FC34C"/>
    <w:rsid w:val="56193E7B"/>
    <w:rsid w:val="56196BEB"/>
    <w:rsid w:val="561BEB93"/>
    <w:rsid w:val="561CB379"/>
    <w:rsid w:val="561EB002"/>
    <w:rsid w:val="5620269B"/>
    <w:rsid w:val="56214D2D"/>
    <w:rsid w:val="562CC5AD"/>
    <w:rsid w:val="562F80BB"/>
    <w:rsid w:val="5638B7BC"/>
    <w:rsid w:val="563BB695"/>
    <w:rsid w:val="563CEB42"/>
    <w:rsid w:val="564A9407"/>
    <w:rsid w:val="5650766F"/>
    <w:rsid w:val="56556E7E"/>
    <w:rsid w:val="56565A83"/>
    <w:rsid w:val="565763D2"/>
    <w:rsid w:val="5658189E"/>
    <w:rsid w:val="565864E6"/>
    <w:rsid w:val="5658E0BD"/>
    <w:rsid w:val="565DB65F"/>
    <w:rsid w:val="5668DD4C"/>
    <w:rsid w:val="566A39A1"/>
    <w:rsid w:val="566B9EAA"/>
    <w:rsid w:val="566CF100"/>
    <w:rsid w:val="5674B662"/>
    <w:rsid w:val="56778075"/>
    <w:rsid w:val="5679C67A"/>
    <w:rsid w:val="567E062D"/>
    <w:rsid w:val="567FAC28"/>
    <w:rsid w:val="56815EF6"/>
    <w:rsid w:val="56820000"/>
    <w:rsid w:val="5682038B"/>
    <w:rsid w:val="56828452"/>
    <w:rsid w:val="5689AD14"/>
    <w:rsid w:val="569578C3"/>
    <w:rsid w:val="5695B223"/>
    <w:rsid w:val="56983C8F"/>
    <w:rsid w:val="569B291A"/>
    <w:rsid w:val="56A28E4A"/>
    <w:rsid w:val="56A31CB8"/>
    <w:rsid w:val="56A4CFC9"/>
    <w:rsid w:val="56AAFD4A"/>
    <w:rsid w:val="56AFECB8"/>
    <w:rsid w:val="56B034ED"/>
    <w:rsid w:val="56B2F108"/>
    <w:rsid w:val="56B563AD"/>
    <w:rsid w:val="56B98CF2"/>
    <w:rsid w:val="56C116B3"/>
    <w:rsid w:val="56C13F66"/>
    <w:rsid w:val="56C1CC9D"/>
    <w:rsid w:val="56C6CA4A"/>
    <w:rsid w:val="56CBA222"/>
    <w:rsid w:val="56D2E25E"/>
    <w:rsid w:val="56D42EC0"/>
    <w:rsid w:val="56D453F9"/>
    <w:rsid w:val="56E40ABA"/>
    <w:rsid w:val="56E58ED0"/>
    <w:rsid w:val="56E7ADAB"/>
    <w:rsid w:val="56E833F6"/>
    <w:rsid w:val="56ED7F6E"/>
    <w:rsid w:val="56EE7A13"/>
    <w:rsid w:val="56FC231B"/>
    <w:rsid w:val="56FE8952"/>
    <w:rsid w:val="5700DBF6"/>
    <w:rsid w:val="57025856"/>
    <w:rsid w:val="5703139A"/>
    <w:rsid w:val="5706BBF3"/>
    <w:rsid w:val="5709679A"/>
    <w:rsid w:val="570C4A82"/>
    <w:rsid w:val="57126E09"/>
    <w:rsid w:val="57138676"/>
    <w:rsid w:val="5715F48B"/>
    <w:rsid w:val="571E7657"/>
    <w:rsid w:val="5720FD90"/>
    <w:rsid w:val="57271B74"/>
    <w:rsid w:val="5727E439"/>
    <w:rsid w:val="572ADCB6"/>
    <w:rsid w:val="572F2852"/>
    <w:rsid w:val="572F7D8C"/>
    <w:rsid w:val="572FB4C0"/>
    <w:rsid w:val="57353E3C"/>
    <w:rsid w:val="5735E35C"/>
    <w:rsid w:val="57368781"/>
    <w:rsid w:val="573BB957"/>
    <w:rsid w:val="57407B9E"/>
    <w:rsid w:val="5743C7EE"/>
    <w:rsid w:val="574A0B2D"/>
    <w:rsid w:val="574C73F7"/>
    <w:rsid w:val="5750E684"/>
    <w:rsid w:val="5753EFC6"/>
    <w:rsid w:val="575D372B"/>
    <w:rsid w:val="57670378"/>
    <w:rsid w:val="576DD317"/>
    <w:rsid w:val="5770BDED"/>
    <w:rsid w:val="57729B93"/>
    <w:rsid w:val="5772E2CA"/>
    <w:rsid w:val="577390D7"/>
    <w:rsid w:val="577871A7"/>
    <w:rsid w:val="577CD4DD"/>
    <w:rsid w:val="5783D9D7"/>
    <w:rsid w:val="5785F202"/>
    <w:rsid w:val="5787B843"/>
    <w:rsid w:val="57888E4A"/>
    <w:rsid w:val="5788D8B9"/>
    <w:rsid w:val="57943E32"/>
    <w:rsid w:val="579670B5"/>
    <w:rsid w:val="57995DE6"/>
    <w:rsid w:val="579BB1BF"/>
    <w:rsid w:val="579E29AB"/>
    <w:rsid w:val="579E5FD5"/>
    <w:rsid w:val="579F4521"/>
    <w:rsid w:val="57A71792"/>
    <w:rsid w:val="57AADE40"/>
    <w:rsid w:val="57AF7BC5"/>
    <w:rsid w:val="57B3182F"/>
    <w:rsid w:val="57B9705E"/>
    <w:rsid w:val="57B9A175"/>
    <w:rsid w:val="57BA6E0F"/>
    <w:rsid w:val="57BACB4D"/>
    <w:rsid w:val="57C0892C"/>
    <w:rsid w:val="57C238CF"/>
    <w:rsid w:val="57C524A3"/>
    <w:rsid w:val="57C8E7B8"/>
    <w:rsid w:val="57D79EA5"/>
    <w:rsid w:val="57E23B2C"/>
    <w:rsid w:val="57E719BF"/>
    <w:rsid w:val="57EE4B34"/>
    <w:rsid w:val="57F0692F"/>
    <w:rsid w:val="57FDDE60"/>
    <w:rsid w:val="58046A8A"/>
    <w:rsid w:val="58095C58"/>
    <w:rsid w:val="580A2F1B"/>
    <w:rsid w:val="580A8F47"/>
    <w:rsid w:val="580F1329"/>
    <w:rsid w:val="580F501F"/>
    <w:rsid w:val="581596DB"/>
    <w:rsid w:val="58175E74"/>
    <w:rsid w:val="58190312"/>
    <w:rsid w:val="581C5A9A"/>
    <w:rsid w:val="581DBA34"/>
    <w:rsid w:val="581EBADB"/>
    <w:rsid w:val="58253415"/>
    <w:rsid w:val="582F5EDB"/>
    <w:rsid w:val="583068D8"/>
    <w:rsid w:val="5833C082"/>
    <w:rsid w:val="58342F99"/>
    <w:rsid w:val="58384E57"/>
    <w:rsid w:val="58389A37"/>
    <w:rsid w:val="583A8E2E"/>
    <w:rsid w:val="583CA137"/>
    <w:rsid w:val="58425709"/>
    <w:rsid w:val="58444A33"/>
    <w:rsid w:val="584D19DA"/>
    <w:rsid w:val="5851416F"/>
    <w:rsid w:val="58536A3C"/>
    <w:rsid w:val="585756DB"/>
    <w:rsid w:val="58587046"/>
    <w:rsid w:val="5869C5B2"/>
    <w:rsid w:val="586CCF73"/>
    <w:rsid w:val="5873F748"/>
    <w:rsid w:val="587487E3"/>
    <w:rsid w:val="58751A5D"/>
    <w:rsid w:val="587B279E"/>
    <w:rsid w:val="587E5369"/>
    <w:rsid w:val="58840519"/>
    <w:rsid w:val="5885DD92"/>
    <w:rsid w:val="58861190"/>
    <w:rsid w:val="58882FDE"/>
    <w:rsid w:val="588CE30D"/>
    <w:rsid w:val="58917423"/>
    <w:rsid w:val="58958F34"/>
    <w:rsid w:val="5897D395"/>
    <w:rsid w:val="589AA475"/>
    <w:rsid w:val="589CAC57"/>
    <w:rsid w:val="58A81D28"/>
    <w:rsid w:val="58AD70E7"/>
    <w:rsid w:val="58ADA794"/>
    <w:rsid w:val="58AFC007"/>
    <w:rsid w:val="58B2A0A4"/>
    <w:rsid w:val="58B4774E"/>
    <w:rsid w:val="58B4A3B5"/>
    <w:rsid w:val="58B68C2B"/>
    <w:rsid w:val="58B9A043"/>
    <w:rsid w:val="58BDE413"/>
    <w:rsid w:val="58BE4D0A"/>
    <w:rsid w:val="58BE9E3E"/>
    <w:rsid w:val="58BFD1E5"/>
    <w:rsid w:val="58C57D68"/>
    <w:rsid w:val="58C6C2E0"/>
    <w:rsid w:val="58C7F483"/>
    <w:rsid w:val="58CB7AA7"/>
    <w:rsid w:val="58DAA551"/>
    <w:rsid w:val="58DAE9D1"/>
    <w:rsid w:val="58DB8A3E"/>
    <w:rsid w:val="58DC61B1"/>
    <w:rsid w:val="58DD71DC"/>
    <w:rsid w:val="58DEB2A5"/>
    <w:rsid w:val="58E4361B"/>
    <w:rsid w:val="58E560F1"/>
    <w:rsid w:val="58E5C305"/>
    <w:rsid w:val="58E794D1"/>
    <w:rsid w:val="58F81FB4"/>
    <w:rsid w:val="58F9D80F"/>
    <w:rsid w:val="5908C219"/>
    <w:rsid w:val="590C853F"/>
    <w:rsid w:val="590CE77D"/>
    <w:rsid w:val="5911DEE0"/>
    <w:rsid w:val="59120150"/>
    <w:rsid w:val="59169E9E"/>
    <w:rsid w:val="591876E8"/>
    <w:rsid w:val="5919C408"/>
    <w:rsid w:val="591E938B"/>
    <w:rsid w:val="592560B9"/>
    <w:rsid w:val="59297B57"/>
    <w:rsid w:val="592B0063"/>
    <w:rsid w:val="592D8E3B"/>
    <w:rsid w:val="5939C13C"/>
    <w:rsid w:val="593FC714"/>
    <w:rsid w:val="594264AC"/>
    <w:rsid w:val="5943CCA4"/>
    <w:rsid w:val="594A9F69"/>
    <w:rsid w:val="594CF21B"/>
    <w:rsid w:val="5955E656"/>
    <w:rsid w:val="595D8101"/>
    <w:rsid w:val="595E399B"/>
    <w:rsid w:val="59632FEE"/>
    <w:rsid w:val="596467D0"/>
    <w:rsid w:val="59672599"/>
    <w:rsid w:val="596BF213"/>
    <w:rsid w:val="597030E6"/>
    <w:rsid w:val="5974A805"/>
    <w:rsid w:val="597515AC"/>
    <w:rsid w:val="5975A793"/>
    <w:rsid w:val="59770CDD"/>
    <w:rsid w:val="59772D25"/>
    <w:rsid w:val="5979C043"/>
    <w:rsid w:val="597A4E2D"/>
    <w:rsid w:val="597C773A"/>
    <w:rsid w:val="597EAA8F"/>
    <w:rsid w:val="59822690"/>
    <w:rsid w:val="5985BD63"/>
    <w:rsid w:val="599BC64C"/>
    <w:rsid w:val="59A452D9"/>
    <w:rsid w:val="59A78C9E"/>
    <w:rsid w:val="59B15C8B"/>
    <w:rsid w:val="59B1EC6D"/>
    <w:rsid w:val="59B4207D"/>
    <w:rsid w:val="59B549ED"/>
    <w:rsid w:val="59B9A17F"/>
    <w:rsid w:val="59BD8842"/>
    <w:rsid w:val="59E3B317"/>
    <w:rsid w:val="59E8E1B2"/>
    <w:rsid w:val="59EA6301"/>
    <w:rsid w:val="59EAAFFF"/>
    <w:rsid w:val="59EB66FF"/>
    <w:rsid w:val="59EC5CD1"/>
    <w:rsid w:val="59F40580"/>
    <w:rsid w:val="59FE69B9"/>
    <w:rsid w:val="5A026398"/>
    <w:rsid w:val="5A026BD9"/>
    <w:rsid w:val="5A02D2E7"/>
    <w:rsid w:val="5A03FDD9"/>
    <w:rsid w:val="5A0615BA"/>
    <w:rsid w:val="5A073C28"/>
    <w:rsid w:val="5A09D705"/>
    <w:rsid w:val="5A0B5F28"/>
    <w:rsid w:val="5A0C1AB3"/>
    <w:rsid w:val="5A0E5AD1"/>
    <w:rsid w:val="5A1356CB"/>
    <w:rsid w:val="5A147060"/>
    <w:rsid w:val="5A14753D"/>
    <w:rsid w:val="5A17022A"/>
    <w:rsid w:val="5A174B37"/>
    <w:rsid w:val="5A195B34"/>
    <w:rsid w:val="5A1B2136"/>
    <w:rsid w:val="5A1BBA45"/>
    <w:rsid w:val="5A21121F"/>
    <w:rsid w:val="5A2C5FFB"/>
    <w:rsid w:val="5A2CAF5E"/>
    <w:rsid w:val="5A31E615"/>
    <w:rsid w:val="5A351564"/>
    <w:rsid w:val="5A394C19"/>
    <w:rsid w:val="5A3A1637"/>
    <w:rsid w:val="5A3B6F47"/>
    <w:rsid w:val="5A3CD5D7"/>
    <w:rsid w:val="5A3CF84D"/>
    <w:rsid w:val="5A3DB018"/>
    <w:rsid w:val="5A44E42F"/>
    <w:rsid w:val="5A4730D4"/>
    <w:rsid w:val="5A50C6B4"/>
    <w:rsid w:val="5A516234"/>
    <w:rsid w:val="5A53F34A"/>
    <w:rsid w:val="5A63B1E8"/>
    <w:rsid w:val="5A6787AB"/>
    <w:rsid w:val="5A68887E"/>
    <w:rsid w:val="5A747EED"/>
    <w:rsid w:val="5A74F304"/>
    <w:rsid w:val="5A77C21C"/>
    <w:rsid w:val="5A8AA94A"/>
    <w:rsid w:val="5A8C28F5"/>
    <w:rsid w:val="5A8DB4D1"/>
    <w:rsid w:val="5A93104D"/>
    <w:rsid w:val="5A9563C1"/>
    <w:rsid w:val="5A95D8E1"/>
    <w:rsid w:val="5A99B4DC"/>
    <w:rsid w:val="5AAA4C44"/>
    <w:rsid w:val="5AAF0978"/>
    <w:rsid w:val="5AAFA38B"/>
    <w:rsid w:val="5AB025F3"/>
    <w:rsid w:val="5AB0ACA6"/>
    <w:rsid w:val="5AB0AF54"/>
    <w:rsid w:val="5AB205E6"/>
    <w:rsid w:val="5ABC58B9"/>
    <w:rsid w:val="5AC02632"/>
    <w:rsid w:val="5AC0A16C"/>
    <w:rsid w:val="5AC11D0C"/>
    <w:rsid w:val="5AC3D76A"/>
    <w:rsid w:val="5AC7CE99"/>
    <w:rsid w:val="5ACB15FE"/>
    <w:rsid w:val="5ACE0C4C"/>
    <w:rsid w:val="5AD42125"/>
    <w:rsid w:val="5AD6E527"/>
    <w:rsid w:val="5AE1D0F8"/>
    <w:rsid w:val="5AE1F6FF"/>
    <w:rsid w:val="5AE27BA9"/>
    <w:rsid w:val="5AE48D8F"/>
    <w:rsid w:val="5AE8DF24"/>
    <w:rsid w:val="5AE91C95"/>
    <w:rsid w:val="5AFC2563"/>
    <w:rsid w:val="5B01F244"/>
    <w:rsid w:val="5B02FD2D"/>
    <w:rsid w:val="5B0BE727"/>
    <w:rsid w:val="5B0CA29C"/>
    <w:rsid w:val="5B102A6B"/>
    <w:rsid w:val="5B10E276"/>
    <w:rsid w:val="5B18ECD5"/>
    <w:rsid w:val="5B1D2D38"/>
    <w:rsid w:val="5B1E31BC"/>
    <w:rsid w:val="5B26B526"/>
    <w:rsid w:val="5B27B347"/>
    <w:rsid w:val="5B28AB8F"/>
    <w:rsid w:val="5B2B8AE9"/>
    <w:rsid w:val="5B3A7210"/>
    <w:rsid w:val="5B3EA51D"/>
    <w:rsid w:val="5B3EEA3B"/>
    <w:rsid w:val="5B408A71"/>
    <w:rsid w:val="5B416A24"/>
    <w:rsid w:val="5B435CFF"/>
    <w:rsid w:val="5B441C31"/>
    <w:rsid w:val="5B530766"/>
    <w:rsid w:val="5B5EAA91"/>
    <w:rsid w:val="5B5EE7C1"/>
    <w:rsid w:val="5B6534A6"/>
    <w:rsid w:val="5B65E42D"/>
    <w:rsid w:val="5B6AF444"/>
    <w:rsid w:val="5B6E9A3D"/>
    <w:rsid w:val="5B70F666"/>
    <w:rsid w:val="5B71C826"/>
    <w:rsid w:val="5B75CFFA"/>
    <w:rsid w:val="5B79AF81"/>
    <w:rsid w:val="5B7B1F21"/>
    <w:rsid w:val="5B7B72CC"/>
    <w:rsid w:val="5B82E363"/>
    <w:rsid w:val="5B8724FE"/>
    <w:rsid w:val="5B8B5AD6"/>
    <w:rsid w:val="5B9002F0"/>
    <w:rsid w:val="5B900EDB"/>
    <w:rsid w:val="5B9876DD"/>
    <w:rsid w:val="5B9971BE"/>
    <w:rsid w:val="5B99E96F"/>
    <w:rsid w:val="5B9D5BDA"/>
    <w:rsid w:val="5B9D9E43"/>
    <w:rsid w:val="5BA0B243"/>
    <w:rsid w:val="5BA0E17A"/>
    <w:rsid w:val="5BA25487"/>
    <w:rsid w:val="5BA2FB76"/>
    <w:rsid w:val="5BA45780"/>
    <w:rsid w:val="5BA90E28"/>
    <w:rsid w:val="5BA91E76"/>
    <w:rsid w:val="5BAD8ED6"/>
    <w:rsid w:val="5BAFD9B9"/>
    <w:rsid w:val="5BB87B3F"/>
    <w:rsid w:val="5BD10BF0"/>
    <w:rsid w:val="5BD582C7"/>
    <w:rsid w:val="5BDAF128"/>
    <w:rsid w:val="5BDD8091"/>
    <w:rsid w:val="5BE23D42"/>
    <w:rsid w:val="5BE404C5"/>
    <w:rsid w:val="5BE72E6A"/>
    <w:rsid w:val="5BE80EEB"/>
    <w:rsid w:val="5BE9A163"/>
    <w:rsid w:val="5BF57CF7"/>
    <w:rsid w:val="5BF677EE"/>
    <w:rsid w:val="5BFEFF38"/>
    <w:rsid w:val="5C01DFDF"/>
    <w:rsid w:val="5C048EB0"/>
    <w:rsid w:val="5C0A9C47"/>
    <w:rsid w:val="5C0C745F"/>
    <w:rsid w:val="5C152109"/>
    <w:rsid w:val="5C16089A"/>
    <w:rsid w:val="5C16E1A4"/>
    <w:rsid w:val="5C1D018C"/>
    <w:rsid w:val="5C1F8701"/>
    <w:rsid w:val="5C255362"/>
    <w:rsid w:val="5C294FFB"/>
    <w:rsid w:val="5C2C40A0"/>
    <w:rsid w:val="5C2D5E12"/>
    <w:rsid w:val="5C376BCD"/>
    <w:rsid w:val="5C3A9D7C"/>
    <w:rsid w:val="5C3C8C60"/>
    <w:rsid w:val="5C48730A"/>
    <w:rsid w:val="5C4FD7BB"/>
    <w:rsid w:val="5C4FE542"/>
    <w:rsid w:val="5C5D9821"/>
    <w:rsid w:val="5C614A4A"/>
    <w:rsid w:val="5C617AAC"/>
    <w:rsid w:val="5C6369AF"/>
    <w:rsid w:val="5C69A842"/>
    <w:rsid w:val="5C6E9C85"/>
    <w:rsid w:val="5C72369D"/>
    <w:rsid w:val="5C7A8976"/>
    <w:rsid w:val="5C7BB047"/>
    <w:rsid w:val="5C7DA159"/>
    <w:rsid w:val="5C7E55A2"/>
    <w:rsid w:val="5C7F5C18"/>
    <w:rsid w:val="5C81CE77"/>
    <w:rsid w:val="5C82402B"/>
    <w:rsid w:val="5C867FB1"/>
    <w:rsid w:val="5C8709F3"/>
    <w:rsid w:val="5C8A6B6E"/>
    <w:rsid w:val="5C8BBC67"/>
    <w:rsid w:val="5C8CB5B7"/>
    <w:rsid w:val="5C8DEEF4"/>
    <w:rsid w:val="5C8FA6DC"/>
    <w:rsid w:val="5C942DB8"/>
    <w:rsid w:val="5C95554A"/>
    <w:rsid w:val="5C96E55D"/>
    <w:rsid w:val="5C96F9A0"/>
    <w:rsid w:val="5C977DA5"/>
    <w:rsid w:val="5C98A022"/>
    <w:rsid w:val="5C998C95"/>
    <w:rsid w:val="5C9B7DEF"/>
    <w:rsid w:val="5CA4BE7E"/>
    <w:rsid w:val="5CA519D3"/>
    <w:rsid w:val="5CA80822"/>
    <w:rsid w:val="5CA8E764"/>
    <w:rsid w:val="5CAA74D6"/>
    <w:rsid w:val="5CAEFB4A"/>
    <w:rsid w:val="5CB20658"/>
    <w:rsid w:val="5CB7E7F7"/>
    <w:rsid w:val="5CBA72CB"/>
    <w:rsid w:val="5CBDB119"/>
    <w:rsid w:val="5CC145D0"/>
    <w:rsid w:val="5CC2C7CC"/>
    <w:rsid w:val="5CCEDF69"/>
    <w:rsid w:val="5CD68003"/>
    <w:rsid w:val="5CD70049"/>
    <w:rsid w:val="5CD81B1F"/>
    <w:rsid w:val="5CE1FC2C"/>
    <w:rsid w:val="5CE3F7E6"/>
    <w:rsid w:val="5CEBE603"/>
    <w:rsid w:val="5CED2D71"/>
    <w:rsid w:val="5CED4C1B"/>
    <w:rsid w:val="5CF02F9E"/>
    <w:rsid w:val="5CF1A77F"/>
    <w:rsid w:val="5CF32DEA"/>
    <w:rsid w:val="5CF5CDFE"/>
    <w:rsid w:val="5CF80EA0"/>
    <w:rsid w:val="5D045C49"/>
    <w:rsid w:val="5D05FA5E"/>
    <w:rsid w:val="5D07431A"/>
    <w:rsid w:val="5D08F117"/>
    <w:rsid w:val="5D095748"/>
    <w:rsid w:val="5D0A6A9E"/>
    <w:rsid w:val="5D0CB533"/>
    <w:rsid w:val="5D10C5ED"/>
    <w:rsid w:val="5D122E40"/>
    <w:rsid w:val="5D15BF37"/>
    <w:rsid w:val="5D190DDE"/>
    <w:rsid w:val="5D19B311"/>
    <w:rsid w:val="5D1B1304"/>
    <w:rsid w:val="5D1FA1C1"/>
    <w:rsid w:val="5D219C90"/>
    <w:rsid w:val="5D224994"/>
    <w:rsid w:val="5D27B441"/>
    <w:rsid w:val="5D2E2BF6"/>
    <w:rsid w:val="5D3EFC80"/>
    <w:rsid w:val="5D4113B3"/>
    <w:rsid w:val="5D494953"/>
    <w:rsid w:val="5D4E8B07"/>
    <w:rsid w:val="5D5101C6"/>
    <w:rsid w:val="5D5675B6"/>
    <w:rsid w:val="5D598B83"/>
    <w:rsid w:val="5D68F52F"/>
    <w:rsid w:val="5D714049"/>
    <w:rsid w:val="5D715E1C"/>
    <w:rsid w:val="5D730CBA"/>
    <w:rsid w:val="5D73A37A"/>
    <w:rsid w:val="5D74AAFD"/>
    <w:rsid w:val="5D7DB234"/>
    <w:rsid w:val="5D7F6FF6"/>
    <w:rsid w:val="5D84D2C3"/>
    <w:rsid w:val="5D8518DD"/>
    <w:rsid w:val="5D859A54"/>
    <w:rsid w:val="5D919726"/>
    <w:rsid w:val="5D92A744"/>
    <w:rsid w:val="5D979F8D"/>
    <w:rsid w:val="5D980366"/>
    <w:rsid w:val="5DA3B812"/>
    <w:rsid w:val="5DA98686"/>
    <w:rsid w:val="5DAA3116"/>
    <w:rsid w:val="5DBACA7E"/>
    <w:rsid w:val="5DBBA54F"/>
    <w:rsid w:val="5DBD1534"/>
    <w:rsid w:val="5DC1D5A2"/>
    <w:rsid w:val="5DC28918"/>
    <w:rsid w:val="5DC4EFE1"/>
    <w:rsid w:val="5DC5C87A"/>
    <w:rsid w:val="5DCFC609"/>
    <w:rsid w:val="5DD085E2"/>
    <w:rsid w:val="5DDB691F"/>
    <w:rsid w:val="5DDF03AB"/>
    <w:rsid w:val="5DE535E0"/>
    <w:rsid w:val="5DE9528D"/>
    <w:rsid w:val="5DEE5FE0"/>
    <w:rsid w:val="5DEE765B"/>
    <w:rsid w:val="5DF423E7"/>
    <w:rsid w:val="5DFB9E64"/>
    <w:rsid w:val="5E0224E2"/>
    <w:rsid w:val="5E0567D6"/>
    <w:rsid w:val="5E06AE3D"/>
    <w:rsid w:val="5E1D9BFE"/>
    <w:rsid w:val="5E1E9E47"/>
    <w:rsid w:val="5E2170AF"/>
    <w:rsid w:val="5E24A21C"/>
    <w:rsid w:val="5E264465"/>
    <w:rsid w:val="5E2D5CDD"/>
    <w:rsid w:val="5E2F8843"/>
    <w:rsid w:val="5E31FD0A"/>
    <w:rsid w:val="5E32CE95"/>
    <w:rsid w:val="5E3C670A"/>
    <w:rsid w:val="5E40E23A"/>
    <w:rsid w:val="5E419FDB"/>
    <w:rsid w:val="5E455820"/>
    <w:rsid w:val="5E45D834"/>
    <w:rsid w:val="5E461B76"/>
    <w:rsid w:val="5E465F35"/>
    <w:rsid w:val="5E4A7F9F"/>
    <w:rsid w:val="5E4F66D0"/>
    <w:rsid w:val="5E51A3F8"/>
    <w:rsid w:val="5E56F25E"/>
    <w:rsid w:val="5E588B93"/>
    <w:rsid w:val="5E59F62B"/>
    <w:rsid w:val="5E5BE640"/>
    <w:rsid w:val="5E633CE5"/>
    <w:rsid w:val="5E64260D"/>
    <w:rsid w:val="5E64FEE5"/>
    <w:rsid w:val="5E66E587"/>
    <w:rsid w:val="5E6805A0"/>
    <w:rsid w:val="5E69A398"/>
    <w:rsid w:val="5E6CDBFA"/>
    <w:rsid w:val="5E6DD53D"/>
    <w:rsid w:val="5E76194F"/>
    <w:rsid w:val="5E79DD61"/>
    <w:rsid w:val="5E7C8FEA"/>
    <w:rsid w:val="5E7F655F"/>
    <w:rsid w:val="5E8CA921"/>
    <w:rsid w:val="5E8E54C0"/>
    <w:rsid w:val="5E9A5C74"/>
    <w:rsid w:val="5E9DE1F5"/>
    <w:rsid w:val="5E9E0448"/>
    <w:rsid w:val="5E9F4B3F"/>
    <w:rsid w:val="5EA92129"/>
    <w:rsid w:val="5EA997B6"/>
    <w:rsid w:val="5EABE8B7"/>
    <w:rsid w:val="5EB84DC8"/>
    <w:rsid w:val="5EBB11E3"/>
    <w:rsid w:val="5EC3A3E0"/>
    <w:rsid w:val="5EC6717C"/>
    <w:rsid w:val="5ECF508E"/>
    <w:rsid w:val="5ED39E93"/>
    <w:rsid w:val="5EDBFE5A"/>
    <w:rsid w:val="5EE51F52"/>
    <w:rsid w:val="5EE962CD"/>
    <w:rsid w:val="5EEBA9C3"/>
    <w:rsid w:val="5EF23E37"/>
    <w:rsid w:val="5EF2595D"/>
    <w:rsid w:val="5EF82F80"/>
    <w:rsid w:val="5EFCDBD1"/>
    <w:rsid w:val="5EFF3029"/>
    <w:rsid w:val="5F044896"/>
    <w:rsid w:val="5F0AB7B8"/>
    <w:rsid w:val="5F0E7B71"/>
    <w:rsid w:val="5F10CE6F"/>
    <w:rsid w:val="5F16D9F7"/>
    <w:rsid w:val="5F25DD90"/>
    <w:rsid w:val="5F297B9A"/>
    <w:rsid w:val="5F2A7F5F"/>
    <w:rsid w:val="5F2C0E38"/>
    <w:rsid w:val="5F310232"/>
    <w:rsid w:val="5F3CF751"/>
    <w:rsid w:val="5F3E4B70"/>
    <w:rsid w:val="5F401BD6"/>
    <w:rsid w:val="5F43D3A6"/>
    <w:rsid w:val="5F46EEC2"/>
    <w:rsid w:val="5F47966E"/>
    <w:rsid w:val="5F55A048"/>
    <w:rsid w:val="5F58ED29"/>
    <w:rsid w:val="5F5C49E7"/>
    <w:rsid w:val="5F5D5B72"/>
    <w:rsid w:val="5F5D895D"/>
    <w:rsid w:val="5F5EC75C"/>
    <w:rsid w:val="5F6D960D"/>
    <w:rsid w:val="5F710973"/>
    <w:rsid w:val="5F765192"/>
    <w:rsid w:val="5F7B741F"/>
    <w:rsid w:val="5F7C986D"/>
    <w:rsid w:val="5F84CB48"/>
    <w:rsid w:val="5F872BE6"/>
    <w:rsid w:val="5F8B7C97"/>
    <w:rsid w:val="5F8C98B4"/>
    <w:rsid w:val="5F8E8E59"/>
    <w:rsid w:val="5F8FA288"/>
    <w:rsid w:val="5F90052A"/>
    <w:rsid w:val="5F905758"/>
    <w:rsid w:val="5F90D4AD"/>
    <w:rsid w:val="5F90E18E"/>
    <w:rsid w:val="5F9531B2"/>
    <w:rsid w:val="5F9B6EBF"/>
    <w:rsid w:val="5F9CDDE0"/>
    <w:rsid w:val="5FA36CC0"/>
    <w:rsid w:val="5FA3CF9A"/>
    <w:rsid w:val="5FA6E9C3"/>
    <w:rsid w:val="5FA84DBC"/>
    <w:rsid w:val="5FA9464B"/>
    <w:rsid w:val="5FBC548D"/>
    <w:rsid w:val="5FBD851B"/>
    <w:rsid w:val="5FBED935"/>
    <w:rsid w:val="5FC0CC9A"/>
    <w:rsid w:val="5FC3C0AC"/>
    <w:rsid w:val="5FCAEB97"/>
    <w:rsid w:val="5FD12278"/>
    <w:rsid w:val="5FD1AED4"/>
    <w:rsid w:val="5FE12E72"/>
    <w:rsid w:val="5FE2284D"/>
    <w:rsid w:val="5FE7595A"/>
    <w:rsid w:val="5FF8E617"/>
    <w:rsid w:val="5FF8E6E3"/>
    <w:rsid w:val="5FF90C04"/>
    <w:rsid w:val="5FFC2490"/>
    <w:rsid w:val="5FFC63A4"/>
    <w:rsid w:val="5FFD5A78"/>
    <w:rsid w:val="5FFE3ED8"/>
    <w:rsid w:val="6007D575"/>
    <w:rsid w:val="600AC5B0"/>
    <w:rsid w:val="600B26A6"/>
    <w:rsid w:val="600C0B00"/>
    <w:rsid w:val="601118B5"/>
    <w:rsid w:val="6013D0A6"/>
    <w:rsid w:val="6017D7F0"/>
    <w:rsid w:val="601F547F"/>
    <w:rsid w:val="60256A0E"/>
    <w:rsid w:val="602672AA"/>
    <w:rsid w:val="60279C1F"/>
    <w:rsid w:val="60286019"/>
    <w:rsid w:val="602BCAC6"/>
    <w:rsid w:val="602D58D8"/>
    <w:rsid w:val="6032E348"/>
    <w:rsid w:val="60351A61"/>
    <w:rsid w:val="603855CF"/>
    <w:rsid w:val="604596A5"/>
    <w:rsid w:val="604A9E47"/>
    <w:rsid w:val="604AE3C0"/>
    <w:rsid w:val="604FEFCB"/>
    <w:rsid w:val="6056DD6A"/>
    <w:rsid w:val="605BAD1C"/>
    <w:rsid w:val="605CB153"/>
    <w:rsid w:val="605D67F5"/>
    <w:rsid w:val="605F2ECE"/>
    <w:rsid w:val="606023C2"/>
    <w:rsid w:val="60612EC4"/>
    <w:rsid w:val="60669AEE"/>
    <w:rsid w:val="6068EA39"/>
    <w:rsid w:val="6069CBFF"/>
    <w:rsid w:val="606C974E"/>
    <w:rsid w:val="607577BA"/>
    <w:rsid w:val="607A88E0"/>
    <w:rsid w:val="60829242"/>
    <w:rsid w:val="608356BA"/>
    <w:rsid w:val="60849CCA"/>
    <w:rsid w:val="608BC601"/>
    <w:rsid w:val="60903C59"/>
    <w:rsid w:val="609A6BCD"/>
    <w:rsid w:val="609C0258"/>
    <w:rsid w:val="60A2247F"/>
    <w:rsid w:val="60A6AE8C"/>
    <w:rsid w:val="60A73DA9"/>
    <w:rsid w:val="60AFCEE4"/>
    <w:rsid w:val="60B4247F"/>
    <w:rsid w:val="60B8B09E"/>
    <w:rsid w:val="60B94B4D"/>
    <w:rsid w:val="60BD92AC"/>
    <w:rsid w:val="60C0B51C"/>
    <w:rsid w:val="60C2FDCE"/>
    <w:rsid w:val="60C38133"/>
    <w:rsid w:val="60C6090E"/>
    <w:rsid w:val="60CD3981"/>
    <w:rsid w:val="60CF6589"/>
    <w:rsid w:val="60D4D734"/>
    <w:rsid w:val="60D5E593"/>
    <w:rsid w:val="60D7640F"/>
    <w:rsid w:val="60DA574D"/>
    <w:rsid w:val="60E2D9D3"/>
    <w:rsid w:val="60E3C33F"/>
    <w:rsid w:val="60EC9C21"/>
    <w:rsid w:val="60EF5A90"/>
    <w:rsid w:val="60F79E8F"/>
    <w:rsid w:val="60F8616D"/>
    <w:rsid w:val="60FC22BE"/>
    <w:rsid w:val="61036447"/>
    <w:rsid w:val="61038BCF"/>
    <w:rsid w:val="6106049A"/>
    <w:rsid w:val="61081185"/>
    <w:rsid w:val="610B8EAD"/>
    <w:rsid w:val="6118B373"/>
    <w:rsid w:val="6118E82F"/>
    <w:rsid w:val="611CBA0E"/>
    <w:rsid w:val="6121EB77"/>
    <w:rsid w:val="61221B83"/>
    <w:rsid w:val="61229FEB"/>
    <w:rsid w:val="6122EFB6"/>
    <w:rsid w:val="61230BFD"/>
    <w:rsid w:val="6123C954"/>
    <w:rsid w:val="6125D902"/>
    <w:rsid w:val="612CB59B"/>
    <w:rsid w:val="612DB9D0"/>
    <w:rsid w:val="6131662D"/>
    <w:rsid w:val="613C5D9C"/>
    <w:rsid w:val="614380BA"/>
    <w:rsid w:val="6143D0B2"/>
    <w:rsid w:val="61449376"/>
    <w:rsid w:val="61475885"/>
    <w:rsid w:val="614D98F2"/>
    <w:rsid w:val="61552B58"/>
    <w:rsid w:val="61557BB2"/>
    <w:rsid w:val="6159983E"/>
    <w:rsid w:val="615AB11C"/>
    <w:rsid w:val="615F2942"/>
    <w:rsid w:val="6160ECF0"/>
    <w:rsid w:val="61661466"/>
    <w:rsid w:val="6169672F"/>
    <w:rsid w:val="6173FE6C"/>
    <w:rsid w:val="61768E81"/>
    <w:rsid w:val="617EF159"/>
    <w:rsid w:val="617FFF77"/>
    <w:rsid w:val="618368FC"/>
    <w:rsid w:val="618B8DEE"/>
    <w:rsid w:val="6191699E"/>
    <w:rsid w:val="61A089EF"/>
    <w:rsid w:val="61AA3CE6"/>
    <w:rsid w:val="61B1CB8D"/>
    <w:rsid w:val="61B75A45"/>
    <w:rsid w:val="61B7E161"/>
    <w:rsid w:val="61BCE0B1"/>
    <w:rsid w:val="61C248EA"/>
    <w:rsid w:val="61C24EE9"/>
    <w:rsid w:val="61C6B64E"/>
    <w:rsid w:val="61C79B27"/>
    <w:rsid w:val="61CB65B7"/>
    <w:rsid w:val="61CD09BB"/>
    <w:rsid w:val="61DAE510"/>
    <w:rsid w:val="61DDB51D"/>
    <w:rsid w:val="61E35DCE"/>
    <w:rsid w:val="61E414E1"/>
    <w:rsid w:val="61E74FC1"/>
    <w:rsid w:val="61EB4CE5"/>
    <w:rsid w:val="61F31243"/>
    <w:rsid w:val="61F8FF66"/>
    <w:rsid w:val="61F9CFFA"/>
    <w:rsid w:val="61FC0D01"/>
    <w:rsid w:val="620149E1"/>
    <w:rsid w:val="62026E15"/>
    <w:rsid w:val="6205B04B"/>
    <w:rsid w:val="62071045"/>
    <w:rsid w:val="62092635"/>
    <w:rsid w:val="620B9083"/>
    <w:rsid w:val="620B9716"/>
    <w:rsid w:val="620CC74A"/>
    <w:rsid w:val="620F61D6"/>
    <w:rsid w:val="6214214D"/>
    <w:rsid w:val="6216FD44"/>
    <w:rsid w:val="621D7770"/>
    <w:rsid w:val="62224076"/>
    <w:rsid w:val="62278A2A"/>
    <w:rsid w:val="6235AC67"/>
    <w:rsid w:val="6236224F"/>
    <w:rsid w:val="6236675E"/>
    <w:rsid w:val="623A43C7"/>
    <w:rsid w:val="623AC772"/>
    <w:rsid w:val="623B755B"/>
    <w:rsid w:val="623BDD6C"/>
    <w:rsid w:val="62412A35"/>
    <w:rsid w:val="6250C200"/>
    <w:rsid w:val="6255CDC8"/>
    <w:rsid w:val="625EAAC9"/>
    <w:rsid w:val="62623984"/>
    <w:rsid w:val="6268170F"/>
    <w:rsid w:val="626C8DA4"/>
    <w:rsid w:val="626D0899"/>
    <w:rsid w:val="626D13E1"/>
    <w:rsid w:val="6275D8C7"/>
    <w:rsid w:val="62772935"/>
    <w:rsid w:val="62861302"/>
    <w:rsid w:val="6286F675"/>
    <w:rsid w:val="628A1E8D"/>
    <w:rsid w:val="628FB0E7"/>
    <w:rsid w:val="629266A2"/>
    <w:rsid w:val="629473CD"/>
    <w:rsid w:val="6294DA4F"/>
    <w:rsid w:val="6295E0D4"/>
    <w:rsid w:val="62983650"/>
    <w:rsid w:val="629AE88D"/>
    <w:rsid w:val="629BF348"/>
    <w:rsid w:val="629D3020"/>
    <w:rsid w:val="62A051CF"/>
    <w:rsid w:val="62A2DB8E"/>
    <w:rsid w:val="62A359A3"/>
    <w:rsid w:val="62A54A69"/>
    <w:rsid w:val="62ABDD0C"/>
    <w:rsid w:val="62B49889"/>
    <w:rsid w:val="62B79949"/>
    <w:rsid w:val="62BA4CB4"/>
    <w:rsid w:val="62BF18A4"/>
    <w:rsid w:val="62C0025F"/>
    <w:rsid w:val="62C45459"/>
    <w:rsid w:val="62C868BF"/>
    <w:rsid w:val="62CA7176"/>
    <w:rsid w:val="62D914CD"/>
    <w:rsid w:val="62DA301D"/>
    <w:rsid w:val="62DF409A"/>
    <w:rsid w:val="62DFA7C0"/>
    <w:rsid w:val="62E3A370"/>
    <w:rsid w:val="62E4CDDD"/>
    <w:rsid w:val="62E5F605"/>
    <w:rsid w:val="62EB22CE"/>
    <w:rsid w:val="62EF474C"/>
    <w:rsid w:val="62F09AAC"/>
    <w:rsid w:val="62F1B075"/>
    <w:rsid w:val="62F6817D"/>
    <w:rsid w:val="62F8F28F"/>
    <w:rsid w:val="62F996C0"/>
    <w:rsid w:val="62FBDDCE"/>
    <w:rsid w:val="6301371E"/>
    <w:rsid w:val="630255F3"/>
    <w:rsid w:val="6303C8BE"/>
    <w:rsid w:val="6309BFA8"/>
    <w:rsid w:val="630ACF9F"/>
    <w:rsid w:val="630CD6C6"/>
    <w:rsid w:val="6311E0F8"/>
    <w:rsid w:val="6313BB46"/>
    <w:rsid w:val="631521F5"/>
    <w:rsid w:val="63160431"/>
    <w:rsid w:val="6317A2F8"/>
    <w:rsid w:val="63230824"/>
    <w:rsid w:val="632C254D"/>
    <w:rsid w:val="632E4F90"/>
    <w:rsid w:val="6332A842"/>
    <w:rsid w:val="633856A4"/>
    <w:rsid w:val="633DD769"/>
    <w:rsid w:val="63414B54"/>
    <w:rsid w:val="6357DF95"/>
    <w:rsid w:val="635A5A0C"/>
    <w:rsid w:val="635D2F21"/>
    <w:rsid w:val="63636B88"/>
    <w:rsid w:val="6363B1AE"/>
    <w:rsid w:val="636580DF"/>
    <w:rsid w:val="637017FE"/>
    <w:rsid w:val="63765478"/>
    <w:rsid w:val="63776516"/>
    <w:rsid w:val="63783E62"/>
    <w:rsid w:val="63798EE4"/>
    <w:rsid w:val="6379C90C"/>
    <w:rsid w:val="637C17FB"/>
    <w:rsid w:val="637C52AE"/>
    <w:rsid w:val="637E62DE"/>
    <w:rsid w:val="638284F2"/>
    <w:rsid w:val="63848575"/>
    <w:rsid w:val="638F3656"/>
    <w:rsid w:val="638F7D1B"/>
    <w:rsid w:val="6390A5CD"/>
    <w:rsid w:val="639156EA"/>
    <w:rsid w:val="63916815"/>
    <w:rsid w:val="6393D3FD"/>
    <w:rsid w:val="639F5F29"/>
    <w:rsid w:val="63A143F3"/>
    <w:rsid w:val="63A82060"/>
    <w:rsid w:val="63AB43A0"/>
    <w:rsid w:val="63ACD2E6"/>
    <w:rsid w:val="63B2CDA5"/>
    <w:rsid w:val="63B857C6"/>
    <w:rsid w:val="63B899E8"/>
    <w:rsid w:val="63BA7158"/>
    <w:rsid w:val="63BCEDEA"/>
    <w:rsid w:val="63C3C74D"/>
    <w:rsid w:val="63C40E2E"/>
    <w:rsid w:val="63C96951"/>
    <w:rsid w:val="63CDAAFB"/>
    <w:rsid w:val="63CE2427"/>
    <w:rsid w:val="63D0BE3B"/>
    <w:rsid w:val="63D18161"/>
    <w:rsid w:val="63D61144"/>
    <w:rsid w:val="63D791ED"/>
    <w:rsid w:val="63DD33A5"/>
    <w:rsid w:val="63DD618F"/>
    <w:rsid w:val="63DD9643"/>
    <w:rsid w:val="63DF24EC"/>
    <w:rsid w:val="63E0B33E"/>
    <w:rsid w:val="63E57B4D"/>
    <w:rsid w:val="63E83C7B"/>
    <w:rsid w:val="63EF712B"/>
    <w:rsid w:val="63EFC34C"/>
    <w:rsid w:val="63F3FCA2"/>
    <w:rsid w:val="63F98A01"/>
    <w:rsid w:val="63FF03A1"/>
    <w:rsid w:val="63FF5EE4"/>
    <w:rsid w:val="6405F649"/>
    <w:rsid w:val="64062011"/>
    <w:rsid w:val="6407611D"/>
    <w:rsid w:val="6409C6D1"/>
    <w:rsid w:val="64179A9B"/>
    <w:rsid w:val="641E1245"/>
    <w:rsid w:val="641FC89E"/>
    <w:rsid w:val="64209818"/>
    <w:rsid w:val="6424AC1F"/>
    <w:rsid w:val="64265F41"/>
    <w:rsid w:val="6429C24F"/>
    <w:rsid w:val="6434B39C"/>
    <w:rsid w:val="64353724"/>
    <w:rsid w:val="6436882D"/>
    <w:rsid w:val="6437731C"/>
    <w:rsid w:val="643A0598"/>
    <w:rsid w:val="643A8E21"/>
    <w:rsid w:val="643B70F9"/>
    <w:rsid w:val="6449A0EF"/>
    <w:rsid w:val="644A99FA"/>
    <w:rsid w:val="644AF8B7"/>
    <w:rsid w:val="644ED070"/>
    <w:rsid w:val="6452BEB0"/>
    <w:rsid w:val="6454946B"/>
    <w:rsid w:val="6454F644"/>
    <w:rsid w:val="6456D7A9"/>
    <w:rsid w:val="645801B6"/>
    <w:rsid w:val="64585EE1"/>
    <w:rsid w:val="64619911"/>
    <w:rsid w:val="6461E5F1"/>
    <w:rsid w:val="64657BEE"/>
    <w:rsid w:val="646FC9B2"/>
    <w:rsid w:val="6471EFA0"/>
    <w:rsid w:val="64732295"/>
    <w:rsid w:val="64790917"/>
    <w:rsid w:val="6485B638"/>
    <w:rsid w:val="64861FA9"/>
    <w:rsid w:val="64873EDF"/>
    <w:rsid w:val="6489F16C"/>
    <w:rsid w:val="648CC3BE"/>
    <w:rsid w:val="6495D9A7"/>
    <w:rsid w:val="64988F54"/>
    <w:rsid w:val="64A1FBA6"/>
    <w:rsid w:val="64AE0129"/>
    <w:rsid w:val="64AE60CF"/>
    <w:rsid w:val="64B04B46"/>
    <w:rsid w:val="64B0537C"/>
    <w:rsid w:val="64B6594E"/>
    <w:rsid w:val="64B6DBBE"/>
    <w:rsid w:val="64B9AB19"/>
    <w:rsid w:val="64BA6AFC"/>
    <w:rsid w:val="64C1D415"/>
    <w:rsid w:val="64C76C2F"/>
    <w:rsid w:val="64CC3AD4"/>
    <w:rsid w:val="64D018EA"/>
    <w:rsid w:val="64D4C47B"/>
    <w:rsid w:val="64D92494"/>
    <w:rsid w:val="64DC999F"/>
    <w:rsid w:val="64DDB469"/>
    <w:rsid w:val="64DFA400"/>
    <w:rsid w:val="64E0C14F"/>
    <w:rsid w:val="64EA8AA3"/>
    <w:rsid w:val="64EC2992"/>
    <w:rsid w:val="64EDE8EE"/>
    <w:rsid w:val="64EDE9CB"/>
    <w:rsid w:val="64EF7731"/>
    <w:rsid w:val="64EFF1EF"/>
    <w:rsid w:val="64F0F84D"/>
    <w:rsid w:val="64F6A467"/>
    <w:rsid w:val="64F9E9AC"/>
    <w:rsid w:val="650167D4"/>
    <w:rsid w:val="65024C5C"/>
    <w:rsid w:val="6507BE41"/>
    <w:rsid w:val="65120555"/>
    <w:rsid w:val="65125D8C"/>
    <w:rsid w:val="6512F914"/>
    <w:rsid w:val="6513EF1A"/>
    <w:rsid w:val="65162639"/>
    <w:rsid w:val="651659B1"/>
    <w:rsid w:val="65183D4A"/>
    <w:rsid w:val="651930C8"/>
    <w:rsid w:val="651BA055"/>
    <w:rsid w:val="651C2C64"/>
    <w:rsid w:val="651E0A6B"/>
    <w:rsid w:val="65243531"/>
    <w:rsid w:val="65246E70"/>
    <w:rsid w:val="65270D60"/>
    <w:rsid w:val="653863B1"/>
    <w:rsid w:val="653909E3"/>
    <w:rsid w:val="653B4140"/>
    <w:rsid w:val="653D125D"/>
    <w:rsid w:val="6542F9B1"/>
    <w:rsid w:val="654CE697"/>
    <w:rsid w:val="654CFA7E"/>
    <w:rsid w:val="65500774"/>
    <w:rsid w:val="655106A0"/>
    <w:rsid w:val="6551D958"/>
    <w:rsid w:val="6551D99B"/>
    <w:rsid w:val="655CED17"/>
    <w:rsid w:val="655E4FDE"/>
    <w:rsid w:val="65642B40"/>
    <w:rsid w:val="65668C74"/>
    <w:rsid w:val="6566B76D"/>
    <w:rsid w:val="65775523"/>
    <w:rsid w:val="6577A57F"/>
    <w:rsid w:val="657863FA"/>
    <w:rsid w:val="657B1443"/>
    <w:rsid w:val="657B1E28"/>
    <w:rsid w:val="65800552"/>
    <w:rsid w:val="658BC822"/>
    <w:rsid w:val="658C071B"/>
    <w:rsid w:val="658D6E8A"/>
    <w:rsid w:val="658DA4A3"/>
    <w:rsid w:val="659789CE"/>
    <w:rsid w:val="6598234B"/>
    <w:rsid w:val="659FD512"/>
    <w:rsid w:val="659FD626"/>
    <w:rsid w:val="65A37448"/>
    <w:rsid w:val="65A37502"/>
    <w:rsid w:val="65A4FDD4"/>
    <w:rsid w:val="65AF13D0"/>
    <w:rsid w:val="65B51976"/>
    <w:rsid w:val="65B5FF92"/>
    <w:rsid w:val="65B604D5"/>
    <w:rsid w:val="65BB900A"/>
    <w:rsid w:val="65BCB308"/>
    <w:rsid w:val="65BF81E9"/>
    <w:rsid w:val="65DEB207"/>
    <w:rsid w:val="65DEDBFE"/>
    <w:rsid w:val="65E61DCD"/>
    <w:rsid w:val="65E9E55D"/>
    <w:rsid w:val="65F77FF6"/>
    <w:rsid w:val="65FD8A47"/>
    <w:rsid w:val="65FDBED4"/>
    <w:rsid w:val="6601CD45"/>
    <w:rsid w:val="66033562"/>
    <w:rsid w:val="660DA91B"/>
    <w:rsid w:val="661D7164"/>
    <w:rsid w:val="66256F99"/>
    <w:rsid w:val="66286AFA"/>
    <w:rsid w:val="66287D16"/>
    <w:rsid w:val="662EF075"/>
    <w:rsid w:val="66345FB5"/>
    <w:rsid w:val="6634D521"/>
    <w:rsid w:val="6635733B"/>
    <w:rsid w:val="6636370D"/>
    <w:rsid w:val="663A2525"/>
    <w:rsid w:val="663A81E2"/>
    <w:rsid w:val="663F1017"/>
    <w:rsid w:val="664175DF"/>
    <w:rsid w:val="66471142"/>
    <w:rsid w:val="664FBE80"/>
    <w:rsid w:val="665C4096"/>
    <w:rsid w:val="666327B9"/>
    <w:rsid w:val="666349F4"/>
    <w:rsid w:val="6665A652"/>
    <w:rsid w:val="6665D508"/>
    <w:rsid w:val="66684B9E"/>
    <w:rsid w:val="666A16D6"/>
    <w:rsid w:val="6674F4F5"/>
    <w:rsid w:val="66773D75"/>
    <w:rsid w:val="6677A05B"/>
    <w:rsid w:val="6678AC94"/>
    <w:rsid w:val="66797B28"/>
    <w:rsid w:val="66799FEC"/>
    <w:rsid w:val="668C2B9E"/>
    <w:rsid w:val="668E0295"/>
    <w:rsid w:val="668FEF81"/>
    <w:rsid w:val="66977FA6"/>
    <w:rsid w:val="669BFDA9"/>
    <w:rsid w:val="669C55F4"/>
    <w:rsid w:val="669E11A6"/>
    <w:rsid w:val="66A6C7C7"/>
    <w:rsid w:val="66ACF994"/>
    <w:rsid w:val="66B32C15"/>
    <w:rsid w:val="66B8543F"/>
    <w:rsid w:val="66C4F97D"/>
    <w:rsid w:val="66C5CE01"/>
    <w:rsid w:val="66CB8287"/>
    <w:rsid w:val="66CF6546"/>
    <w:rsid w:val="66D1D9E2"/>
    <w:rsid w:val="66DD80FD"/>
    <w:rsid w:val="66DF2BD0"/>
    <w:rsid w:val="66E05C51"/>
    <w:rsid w:val="66E3A9FB"/>
    <w:rsid w:val="66E6E9A8"/>
    <w:rsid w:val="66E82765"/>
    <w:rsid w:val="66E8A4EB"/>
    <w:rsid w:val="66E90360"/>
    <w:rsid w:val="66EB8A24"/>
    <w:rsid w:val="66F76667"/>
    <w:rsid w:val="66F862F8"/>
    <w:rsid w:val="66F9C739"/>
    <w:rsid w:val="66FB92A9"/>
    <w:rsid w:val="6703C37F"/>
    <w:rsid w:val="670D6384"/>
    <w:rsid w:val="6711368C"/>
    <w:rsid w:val="6712A34A"/>
    <w:rsid w:val="671413B3"/>
    <w:rsid w:val="67195C28"/>
    <w:rsid w:val="671AA1F0"/>
    <w:rsid w:val="671F9058"/>
    <w:rsid w:val="672203F2"/>
    <w:rsid w:val="6722BC78"/>
    <w:rsid w:val="6725582A"/>
    <w:rsid w:val="672AE697"/>
    <w:rsid w:val="672C9688"/>
    <w:rsid w:val="67364B7E"/>
    <w:rsid w:val="673965F7"/>
    <w:rsid w:val="6741562C"/>
    <w:rsid w:val="6745BB03"/>
    <w:rsid w:val="6747D46A"/>
    <w:rsid w:val="674A5DA9"/>
    <w:rsid w:val="674B0B2E"/>
    <w:rsid w:val="674CA021"/>
    <w:rsid w:val="67503419"/>
    <w:rsid w:val="6754B82B"/>
    <w:rsid w:val="675662AE"/>
    <w:rsid w:val="675D2740"/>
    <w:rsid w:val="6762201E"/>
    <w:rsid w:val="6771E831"/>
    <w:rsid w:val="67739D26"/>
    <w:rsid w:val="6774B1F6"/>
    <w:rsid w:val="6776D048"/>
    <w:rsid w:val="6777AC19"/>
    <w:rsid w:val="677B27E0"/>
    <w:rsid w:val="677C5DCA"/>
    <w:rsid w:val="67805799"/>
    <w:rsid w:val="678AF933"/>
    <w:rsid w:val="679847D5"/>
    <w:rsid w:val="679A1EA0"/>
    <w:rsid w:val="679B10A6"/>
    <w:rsid w:val="67A01C64"/>
    <w:rsid w:val="67A6B795"/>
    <w:rsid w:val="67B0731B"/>
    <w:rsid w:val="67B14838"/>
    <w:rsid w:val="67B4FD9B"/>
    <w:rsid w:val="67BAAFC4"/>
    <w:rsid w:val="67C133B8"/>
    <w:rsid w:val="67C1DCA8"/>
    <w:rsid w:val="67C368C7"/>
    <w:rsid w:val="67C5C84F"/>
    <w:rsid w:val="67C7276D"/>
    <w:rsid w:val="67CAE16D"/>
    <w:rsid w:val="67CFFED4"/>
    <w:rsid w:val="67D411D5"/>
    <w:rsid w:val="67D4998B"/>
    <w:rsid w:val="67D51431"/>
    <w:rsid w:val="67D52F8A"/>
    <w:rsid w:val="67D7EAB2"/>
    <w:rsid w:val="67E76FB0"/>
    <w:rsid w:val="67EE994E"/>
    <w:rsid w:val="67F09C66"/>
    <w:rsid w:val="67F2F27C"/>
    <w:rsid w:val="67F82924"/>
    <w:rsid w:val="6803A590"/>
    <w:rsid w:val="6804EAD8"/>
    <w:rsid w:val="680A151A"/>
    <w:rsid w:val="681400BC"/>
    <w:rsid w:val="681680D9"/>
    <w:rsid w:val="68180411"/>
    <w:rsid w:val="681E1F92"/>
    <w:rsid w:val="68224A00"/>
    <w:rsid w:val="6822BA11"/>
    <w:rsid w:val="68237E92"/>
    <w:rsid w:val="682A0605"/>
    <w:rsid w:val="682DC100"/>
    <w:rsid w:val="6833A947"/>
    <w:rsid w:val="683AFF9E"/>
    <w:rsid w:val="683BDBA1"/>
    <w:rsid w:val="683D5ECE"/>
    <w:rsid w:val="683F95DC"/>
    <w:rsid w:val="6841EF58"/>
    <w:rsid w:val="684511F6"/>
    <w:rsid w:val="6848D253"/>
    <w:rsid w:val="6848FF67"/>
    <w:rsid w:val="684993E1"/>
    <w:rsid w:val="684A7F36"/>
    <w:rsid w:val="68532199"/>
    <w:rsid w:val="685EF0DF"/>
    <w:rsid w:val="685F15B7"/>
    <w:rsid w:val="68602354"/>
    <w:rsid w:val="6861223E"/>
    <w:rsid w:val="6866A4B0"/>
    <w:rsid w:val="686740C6"/>
    <w:rsid w:val="686A326E"/>
    <w:rsid w:val="686B8F70"/>
    <w:rsid w:val="68729B07"/>
    <w:rsid w:val="68736BC1"/>
    <w:rsid w:val="6873C213"/>
    <w:rsid w:val="6874D040"/>
    <w:rsid w:val="687540D1"/>
    <w:rsid w:val="687C8B53"/>
    <w:rsid w:val="687FF820"/>
    <w:rsid w:val="6884D3C1"/>
    <w:rsid w:val="68861D73"/>
    <w:rsid w:val="6886D1AF"/>
    <w:rsid w:val="688D89D7"/>
    <w:rsid w:val="6895979A"/>
    <w:rsid w:val="689DA5B4"/>
    <w:rsid w:val="689F0615"/>
    <w:rsid w:val="68A77B47"/>
    <w:rsid w:val="68A94235"/>
    <w:rsid w:val="68AB2550"/>
    <w:rsid w:val="68C02B12"/>
    <w:rsid w:val="68C3B1FA"/>
    <w:rsid w:val="68C68861"/>
    <w:rsid w:val="68C7FFE1"/>
    <w:rsid w:val="68D2C51B"/>
    <w:rsid w:val="68D7306A"/>
    <w:rsid w:val="68DBB1E6"/>
    <w:rsid w:val="68E0F6A0"/>
    <w:rsid w:val="68E18085"/>
    <w:rsid w:val="68E4E7F2"/>
    <w:rsid w:val="68EADA10"/>
    <w:rsid w:val="68F201B4"/>
    <w:rsid w:val="68F3F7D6"/>
    <w:rsid w:val="68F58877"/>
    <w:rsid w:val="6900CDD8"/>
    <w:rsid w:val="69044F40"/>
    <w:rsid w:val="6907F254"/>
    <w:rsid w:val="690CA60B"/>
    <w:rsid w:val="690D5BA9"/>
    <w:rsid w:val="6912D043"/>
    <w:rsid w:val="69135F63"/>
    <w:rsid w:val="69138283"/>
    <w:rsid w:val="6919EFA0"/>
    <w:rsid w:val="6923DC42"/>
    <w:rsid w:val="692C7282"/>
    <w:rsid w:val="692D507C"/>
    <w:rsid w:val="692E0726"/>
    <w:rsid w:val="692E4EFA"/>
    <w:rsid w:val="69309429"/>
    <w:rsid w:val="69367577"/>
    <w:rsid w:val="69378A27"/>
    <w:rsid w:val="69390568"/>
    <w:rsid w:val="693C6953"/>
    <w:rsid w:val="693DB2B9"/>
    <w:rsid w:val="6941762F"/>
    <w:rsid w:val="694CF95A"/>
    <w:rsid w:val="6954BCBC"/>
    <w:rsid w:val="6955EFD7"/>
    <w:rsid w:val="695C43BF"/>
    <w:rsid w:val="695D7C21"/>
    <w:rsid w:val="6965277D"/>
    <w:rsid w:val="6966BDC7"/>
    <w:rsid w:val="6968EC57"/>
    <w:rsid w:val="696D6BD7"/>
    <w:rsid w:val="6972D4ED"/>
    <w:rsid w:val="6979B2E0"/>
    <w:rsid w:val="69824276"/>
    <w:rsid w:val="69835326"/>
    <w:rsid w:val="69864EFC"/>
    <w:rsid w:val="6988FA30"/>
    <w:rsid w:val="698DFF6D"/>
    <w:rsid w:val="698F4491"/>
    <w:rsid w:val="69919018"/>
    <w:rsid w:val="6993ED9E"/>
    <w:rsid w:val="69958F5E"/>
    <w:rsid w:val="69976E1B"/>
    <w:rsid w:val="699BA15E"/>
    <w:rsid w:val="699BF788"/>
    <w:rsid w:val="699E3090"/>
    <w:rsid w:val="69A18F56"/>
    <w:rsid w:val="69A3B1B5"/>
    <w:rsid w:val="69A44A7C"/>
    <w:rsid w:val="69A8001B"/>
    <w:rsid w:val="69AC95B7"/>
    <w:rsid w:val="69B2D828"/>
    <w:rsid w:val="69BB4D3D"/>
    <w:rsid w:val="69BEF742"/>
    <w:rsid w:val="69C1A131"/>
    <w:rsid w:val="69C56D49"/>
    <w:rsid w:val="69C5E5BD"/>
    <w:rsid w:val="69C866CC"/>
    <w:rsid w:val="69C8B03C"/>
    <w:rsid w:val="69CA46D3"/>
    <w:rsid w:val="69CA6874"/>
    <w:rsid w:val="69D292B0"/>
    <w:rsid w:val="69D77543"/>
    <w:rsid w:val="69DC7829"/>
    <w:rsid w:val="69DE6889"/>
    <w:rsid w:val="69DEC5FB"/>
    <w:rsid w:val="69DEE7A9"/>
    <w:rsid w:val="69DF2C7E"/>
    <w:rsid w:val="69DF3D4C"/>
    <w:rsid w:val="69E0B483"/>
    <w:rsid w:val="69E45005"/>
    <w:rsid w:val="69EDAC36"/>
    <w:rsid w:val="69EFE587"/>
    <w:rsid w:val="69F02D93"/>
    <w:rsid w:val="69F0353C"/>
    <w:rsid w:val="69F0D14A"/>
    <w:rsid w:val="69F7E941"/>
    <w:rsid w:val="69FA2F12"/>
    <w:rsid w:val="69FDED77"/>
    <w:rsid w:val="69FF528F"/>
    <w:rsid w:val="69FF9A9D"/>
    <w:rsid w:val="6A00EACF"/>
    <w:rsid w:val="6A01AF96"/>
    <w:rsid w:val="6A06B582"/>
    <w:rsid w:val="6A081797"/>
    <w:rsid w:val="6A097903"/>
    <w:rsid w:val="6A0DF049"/>
    <w:rsid w:val="6A0EAB45"/>
    <w:rsid w:val="6A0F9B23"/>
    <w:rsid w:val="6A12433A"/>
    <w:rsid w:val="6A173DA6"/>
    <w:rsid w:val="6A1757F2"/>
    <w:rsid w:val="6A193966"/>
    <w:rsid w:val="6A1AC895"/>
    <w:rsid w:val="6A1CDA15"/>
    <w:rsid w:val="6A1DC28C"/>
    <w:rsid w:val="6A2BF133"/>
    <w:rsid w:val="6A2C2C47"/>
    <w:rsid w:val="6A312A52"/>
    <w:rsid w:val="6A31F2C6"/>
    <w:rsid w:val="6A32F636"/>
    <w:rsid w:val="6A3E7FF2"/>
    <w:rsid w:val="6A3EDDD4"/>
    <w:rsid w:val="6A4425DB"/>
    <w:rsid w:val="6A4800A5"/>
    <w:rsid w:val="6A488962"/>
    <w:rsid w:val="6A48B27C"/>
    <w:rsid w:val="6A4C9C34"/>
    <w:rsid w:val="6A5201A4"/>
    <w:rsid w:val="6A53CBC0"/>
    <w:rsid w:val="6A559B38"/>
    <w:rsid w:val="6A57DD43"/>
    <w:rsid w:val="6A5C2E34"/>
    <w:rsid w:val="6A5CB0A6"/>
    <w:rsid w:val="6A64FC94"/>
    <w:rsid w:val="6A660512"/>
    <w:rsid w:val="6A69B91E"/>
    <w:rsid w:val="6A6A3D20"/>
    <w:rsid w:val="6A6E311C"/>
    <w:rsid w:val="6A70D5B6"/>
    <w:rsid w:val="6A741BC7"/>
    <w:rsid w:val="6A76570A"/>
    <w:rsid w:val="6A7806EF"/>
    <w:rsid w:val="6A78AA66"/>
    <w:rsid w:val="6A79F2A0"/>
    <w:rsid w:val="6A7B6CED"/>
    <w:rsid w:val="6A7C5EA5"/>
    <w:rsid w:val="6A7F1B1B"/>
    <w:rsid w:val="6A819A6F"/>
    <w:rsid w:val="6A84234E"/>
    <w:rsid w:val="6A84399D"/>
    <w:rsid w:val="6A8783DF"/>
    <w:rsid w:val="6A8DAE64"/>
    <w:rsid w:val="6A930454"/>
    <w:rsid w:val="6A984C68"/>
    <w:rsid w:val="6A9D14FB"/>
    <w:rsid w:val="6AA93CBB"/>
    <w:rsid w:val="6AB2E93D"/>
    <w:rsid w:val="6AC81586"/>
    <w:rsid w:val="6AC9356F"/>
    <w:rsid w:val="6ACCBDC9"/>
    <w:rsid w:val="6ACF4CD1"/>
    <w:rsid w:val="6AD196EF"/>
    <w:rsid w:val="6AD25899"/>
    <w:rsid w:val="6AD2795C"/>
    <w:rsid w:val="6AD2A8C1"/>
    <w:rsid w:val="6ADC014B"/>
    <w:rsid w:val="6AE2E05D"/>
    <w:rsid w:val="6AE4A0B4"/>
    <w:rsid w:val="6AE9D394"/>
    <w:rsid w:val="6AEB7AB9"/>
    <w:rsid w:val="6AF1B5C2"/>
    <w:rsid w:val="6AF4F733"/>
    <w:rsid w:val="6AF55CEE"/>
    <w:rsid w:val="6AF8B42D"/>
    <w:rsid w:val="6B06A9F0"/>
    <w:rsid w:val="6B0BA623"/>
    <w:rsid w:val="6B0D1A15"/>
    <w:rsid w:val="6B0DF5E4"/>
    <w:rsid w:val="6B0EDC21"/>
    <w:rsid w:val="6B126204"/>
    <w:rsid w:val="6B1315B4"/>
    <w:rsid w:val="6B1A439F"/>
    <w:rsid w:val="6B21754E"/>
    <w:rsid w:val="6B219EF5"/>
    <w:rsid w:val="6B2DE680"/>
    <w:rsid w:val="6B329652"/>
    <w:rsid w:val="6B36C496"/>
    <w:rsid w:val="6B39BBD4"/>
    <w:rsid w:val="6B3D5A57"/>
    <w:rsid w:val="6B42902E"/>
    <w:rsid w:val="6B43C720"/>
    <w:rsid w:val="6B44A0D5"/>
    <w:rsid w:val="6B46C8AB"/>
    <w:rsid w:val="6B48F9F4"/>
    <w:rsid w:val="6B4940B8"/>
    <w:rsid w:val="6B4BD0CA"/>
    <w:rsid w:val="6B561595"/>
    <w:rsid w:val="6B6015E7"/>
    <w:rsid w:val="6B60DD8C"/>
    <w:rsid w:val="6B615698"/>
    <w:rsid w:val="6B61910D"/>
    <w:rsid w:val="6B61F0DC"/>
    <w:rsid w:val="6B677175"/>
    <w:rsid w:val="6B7379EC"/>
    <w:rsid w:val="6B74A52E"/>
    <w:rsid w:val="6B779336"/>
    <w:rsid w:val="6B77DA79"/>
    <w:rsid w:val="6B78B4BE"/>
    <w:rsid w:val="6B7D5379"/>
    <w:rsid w:val="6B801105"/>
    <w:rsid w:val="6B85A8F2"/>
    <w:rsid w:val="6B88ED69"/>
    <w:rsid w:val="6B8B2B78"/>
    <w:rsid w:val="6B8FA34B"/>
    <w:rsid w:val="6B906654"/>
    <w:rsid w:val="6B9A6BD3"/>
    <w:rsid w:val="6B9BEC7E"/>
    <w:rsid w:val="6BA82B13"/>
    <w:rsid w:val="6BAA4AB7"/>
    <w:rsid w:val="6BB46CD8"/>
    <w:rsid w:val="6BB769AF"/>
    <w:rsid w:val="6BB8EC3D"/>
    <w:rsid w:val="6BB8FCEF"/>
    <w:rsid w:val="6BC2236D"/>
    <w:rsid w:val="6BC44BBE"/>
    <w:rsid w:val="6BC6EC33"/>
    <w:rsid w:val="6BCC2C90"/>
    <w:rsid w:val="6BCD0CF3"/>
    <w:rsid w:val="6BD00055"/>
    <w:rsid w:val="6BD69FE1"/>
    <w:rsid w:val="6BE4428D"/>
    <w:rsid w:val="6BEA802F"/>
    <w:rsid w:val="6BED82ED"/>
    <w:rsid w:val="6BF7D6FC"/>
    <w:rsid w:val="6C03F80B"/>
    <w:rsid w:val="6C04C2F9"/>
    <w:rsid w:val="6C0508D3"/>
    <w:rsid w:val="6C08834A"/>
    <w:rsid w:val="6C09A18D"/>
    <w:rsid w:val="6C0AD51C"/>
    <w:rsid w:val="6C116EB5"/>
    <w:rsid w:val="6C146432"/>
    <w:rsid w:val="6C16D88A"/>
    <w:rsid w:val="6C1EBF17"/>
    <w:rsid w:val="6C1F5E0E"/>
    <w:rsid w:val="6C20A9B6"/>
    <w:rsid w:val="6C2A7D77"/>
    <w:rsid w:val="6C3035B9"/>
    <w:rsid w:val="6C3065AB"/>
    <w:rsid w:val="6C3B0E3F"/>
    <w:rsid w:val="6C3FD425"/>
    <w:rsid w:val="6C43F09A"/>
    <w:rsid w:val="6C4455F9"/>
    <w:rsid w:val="6C464339"/>
    <w:rsid w:val="6C469113"/>
    <w:rsid w:val="6C4820B5"/>
    <w:rsid w:val="6C49CF0C"/>
    <w:rsid w:val="6C4ABD35"/>
    <w:rsid w:val="6C4BCA53"/>
    <w:rsid w:val="6C4ECFF3"/>
    <w:rsid w:val="6C50A656"/>
    <w:rsid w:val="6C528858"/>
    <w:rsid w:val="6C53406F"/>
    <w:rsid w:val="6C559DFD"/>
    <w:rsid w:val="6C58C2F4"/>
    <w:rsid w:val="6C5C3FA6"/>
    <w:rsid w:val="6C5D82E0"/>
    <w:rsid w:val="6C5EA598"/>
    <w:rsid w:val="6C622F98"/>
    <w:rsid w:val="6C6820EE"/>
    <w:rsid w:val="6C690E20"/>
    <w:rsid w:val="6C6FC5A5"/>
    <w:rsid w:val="6C79B430"/>
    <w:rsid w:val="6C7CF5A7"/>
    <w:rsid w:val="6C889A50"/>
    <w:rsid w:val="6C89C384"/>
    <w:rsid w:val="6C90A090"/>
    <w:rsid w:val="6C919025"/>
    <w:rsid w:val="6C93C6DF"/>
    <w:rsid w:val="6C94410C"/>
    <w:rsid w:val="6C9661CF"/>
    <w:rsid w:val="6C97DC94"/>
    <w:rsid w:val="6C9A439E"/>
    <w:rsid w:val="6C9AC946"/>
    <w:rsid w:val="6C9FFAFC"/>
    <w:rsid w:val="6CA1BF66"/>
    <w:rsid w:val="6CA44C49"/>
    <w:rsid w:val="6CA49A26"/>
    <w:rsid w:val="6CAA7908"/>
    <w:rsid w:val="6CAB5BD5"/>
    <w:rsid w:val="6CAC5294"/>
    <w:rsid w:val="6CB7C0AC"/>
    <w:rsid w:val="6CC00AF0"/>
    <w:rsid w:val="6CC08441"/>
    <w:rsid w:val="6CCD5F16"/>
    <w:rsid w:val="6CCEE054"/>
    <w:rsid w:val="6CCF6F03"/>
    <w:rsid w:val="6CCFBB7C"/>
    <w:rsid w:val="6CD19167"/>
    <w:rsid w:val="6CD255C2"/>
    <w:rsid w:val="6CD5747A"/>
    <w:rsid w:val="6CD8364C"/>
    <w:rsid w:val="6CD9665B"/>
    <w:rsid w:val="6CE48FDD"/>
    <w:rsid w:val="6CE78178"/>
    <w:rsid w:val="6CF19471"/>
    <w:rsid w:val="6CFB1197"/>
    <w:rsid w:val="6CFB64FD"/>
    <w:rsid w:val="6CFF6541"/>
    <w:rsid w:val="6D0BDA1D"/>
    <w:rsid w:val="6D0E5B2B"/>
    <w:rsid w:val="6D0FF8F2"/>
    <w:rsid w:val="6D10E6D1"/>
    <w:rsid w:val="6D11A48C"/>
    <w:rsid w:val="6D14A231"/>
    <w:rsid w:val="6D16CE31"/>
    <w:rsid w:val="6D183F6E"/>
    <w:rsid w:val="6D20138A"/>
    <w:rsid w:val="6D25B7F0"/>
    <w:rsid w:val="6D26250A"/>
    <w:rsid w:val="6D297977"/>
    <w:rsid w:val="6D2D4ED8"/>
    <w:rsid w:val="6D2E0177"/>
    <w:rsid w:val="6D34AAEA"/>
    <w:rsid w:val="6D407F96"/>
    <w:rsid w:val="6D43D1BE"/>
    <w:rsid w:val="6D46C742"/>
    <w:rsid w:val="6D4874E8"/>
    <w:rsid w:val="6D48A32A"/>
    <w:rsid w:val="6D4E8AFA"/>
    <w:rsid w:val="6D53796D"/>
    <w:rsid w:val="6D54FFD5"/>
    <w:rsid w:val="6D563CAD"/>
    <w:rsid w:val="6D5D0686"/>
    <w:rsid w:val="6D631550"/>
    <w:rsid w:val="6D724913"/>
    <w:rsid w:val="6D73328C"/>
    <w:rsid w:val="6D7535BA"/>
    <w:rsid w:val="6D7A4CF9"/>
    <w:rsid w:val="6D83C224"/>
    <w:rsid w:val="6D84825E"/>
    <w:rsid w:val="6D8B952A"/>
    <w:rsid w:val="6D8D14DD"/>
    <w:rsid w:val="6D93F660"/>
    <w:rsid w:val="6D9A9EC0"/>
    <w:rsid w:val="6D9D045B"/>
    <w:rsid w:val="6DA06FA0"/>
    <w:rsid w:val="6DA2AF8C"/>
    <w:rsid w:val="6DA47B5E"/>
    <w:rsid w:val="6DA951B6"/>
    <w:rsid w:val="6DABE05D"/>
    <w:rsid w:val="6DB134F5"/>
    <w:rsid w:val="6DB4C9EE"/>
    <w:rsid w:val="6DB6208D"/>
    <w:rsid w:val="6DB9EAE1"/>
    <w:rsid w:val="6DBA45A4"/>
    <w:rsid w:val="6DBDB643"/>
    <w:rsid w:val="6DBE10F4"/>
    <w:rsid w:val="6DBE3A90"/>
    <w:rsid w:val="6DC797D6"/>
    <w:rsid w:val="6DC94F01"/>
    <w:rsid w:val="6DC9FC9C"/>
    <w:rsid w:val="6DD9C65E"/>
    <w:rsid w:val="6DDAF67D"/>
    <w:rsid w:val="6DDAF783"/>
    <w:rsid w:val="6DDD3295"/>
    <w:rsid w:val="6DDF590E"/>
    <w:rsid w:val="6DE9E428"/>
    <w:rsid w:val="6DEB551E"/>
    <w:rsid w:val="6DEC1210"/>
    <w:rsid w:val="6DF1070A"/>
    <w:rsid w:val="6DF5DB71"/>
    <w:rsid w:val="6DF85343"/>
    <w:rsid w:val="6DFA4BB1"/>
    <w:rsid w:val="6E027D5E"/>
    <w:rsid w:val="6E02ECA0"/>
    <w:rsid w:val="6E02F76E"/>
    <w:rsid w:val="6E09EEB9"/>
    <w:rsid w:val="6E0CFDCE"/>
    <w:rsid w:val="6E0EB23B"/>
    <w:rsid w:val="6E1413C7"/>
    <w:rsid w:val="6E18396B"/>
    <w:rsid w:val="6E19295C"/>
    <w:rsid w:val="6E1C53EE"/>
    <w:rsid w:val="6E1D791F"/>
    <w:rsid w:val="6E227957"/>
    <w:rsid w:val="6E33EB38"/>
    <w:rsid w:val="6E3699A7"/>
    <w:rsid w:val="6E376B08"/>
    <w:rsid w:val="6E3A9EF4"/>
    <w:rsid w:val="6E3D3357"/>
    <w:rsid w:val="6E3F8C6B"/>
    <w:rsid w:val="6E4A5632"/>
    <w:rsid w:val="6E4EF5C2"/>
    <w:rsid w:val="6E4F9E95"/>
    <w:rsid w:val="6E58B9BC"/>
    <w:rsid w:val="6E5E61EE"/>
    <w:rsid w:val="6E647524"/>
    <w:rsid w:val="6E64D9CA"/>
    <w:rsid w:val="6E693625"/>
    <w:rsid w:val="6E699AE3"/>
    <w:rsid w:val="6E709B3F"/>
    <w:rsid w:val="6E7254B7"/>
    <w:rsid w:val="6E7999A4"/>
    <w:rsid w:val="6E7C8396"/>
    <w:rsid w:val="6E8006DA"/>
    <w:rsid w:val="6E84425B"/>
    <w:rsid w:val="6E864C87"/>
    <w:rsid w:val="6E867208"/>
    <w:rsid w:val="6E8762BF"/>
    <w:rsid w:val="6E90EF80"/>
    <w:rsid w:val="6E91296B"/>
    <w:rsid w:val="6E9B94B0"/>
    <w:rsid w:val="6E9D1E3D"/>
    <w:rsid w:val="6EA2CDA3"/>
    <w:rsid w:val="6EA6D48F"/>
    <w:rsid w:val="6EAC65BB"/>
    <w:rsid w:val="6EB05926"/>
    <w:rsid w:val="6EB5066E"/>
    <w:rsid w:val="6EB6B417"/>
    <w:rsid w:val="6EB6C63B"/>
    <w:rsid w:val="6EC49EAE"/>
    <w:rsid w:val="6EC9ACCA"/>
    <w:rsid w:val="6ECC3D0E"/>
    <w:rsid w:val="6ED063C2"/>
    <w:rsid w:val="6ED44F77"/>
    <w:rsid w:val="6ED47533"/>
    <w:rsid w:val="6ED80B26"/>
    <w:rsid w:val="6EDA2FC1"/>
    <w:rsid w:val="6EDF32E6"/>
    <w:rsid w:val="6EE8AAFB"/>
    <w:rsid w:val="6EEC12F4"/>
    <w:rsid w:val="6EED46D3"/>
    <w:rsid w:val="6EF1D884"/>
    <w:rsid w:val="6EF27123"/>
    <w:rsid w:val="6EF3C0C1"/>
    <w:rsid w:val="6EF3F3FB"/>
    <w:rsid w:val="6EF541C6"/>
    <w:rsid w:val="6EF59874"/>
    <w:rsid w:val="6EF929D3"/>
    <w:rsid w:val="6EF9529E"/>
    <w:rsid w:val="6EFA9326"/>
    <w:rsid w:val="6EFD3A20"/>
    <w:rsid w:val="6F072E23"/>
    <w:rsid w:val="6F13053E"/>
    <w:rsid w:val="6F15A8FF"/>
    <w:rsid w:val="6F16A068"/>
    <w:rsid w:val="6F268597"/>
    <w:rsid w:val="6F2879FE"/>
    <w:rsid w:val="6F29BDDB"/>
    <w:rsid w:val="6F2B8804"/>
    <w:rsid w:val="6F2BAB7B"/>
    <w:rsid w:val="6F2C702C"/>
    <w:rsid w:val="6F2EF953"/>
    <w:rsid w:val="6F34AE7D"/>
    <w:rsid w:val="6F34D080"/>
    <w:rsid w:val="6F387C2F"/>
    <w:rsid w:val="6F3C869A"/>
    <w:rsid w:val="6F3CF0C6"/>
    <w:rsid w:val="6F3DA901"/>
    <w:rsid w:val="6F3E5505"/>
    <w:rsid w:val="6F41916F"/>
    <w:rsid w:val="6F422C78"/>
    <w:rsid w:val="6F469B94"/>
    <w:rsid w:val="6F4D123B"/>
    <w:rsid w:val="6F4F0BDC"/>
    <w:rsid w:val="6F50C107"/>
    <w:rsid w:val="6F519C51"/>
    <w:rsid w:val="6F5630B0"/>
    <w:rsid w:val="6F565F49"/>
    <w:rsid w:val="6F56B79C"/>
    <w:rsid w:val="6F5D653C"/>
    <w:rsid w:val="6F660C28"/>
    <w:rsid w:val="6F6D8B62"/>
    <w:rsid w:val="6F6E5296"/>
    <w:rsid w:val="6F6FA99D"/>
    <w:rsid w:val="6F7495B6"/>
    <w:rsid w:val="6F7583AA"/>
    <w:rsid w:val="6F798073"/>
    <w:rsid w:val="6F7C9701"/>
    <w:rsid w:val="6F84C269"/>
    <w:rsid w:val="6F8B0E15"/>
    <w:rsid w:val="6F8BE8CA"/>
    <w:rsid w:val="6F909C6B"/>
    <w:rsid w:val="6F91A7AA"/>
    <w:rsid w:val="6F926A2F"/>
    <w:rsid w:val="6F92D9B0"/>
    <w:rsid w:val="6F94E55E"/>
    <w:rsid w:val="6F9B9AF4"/>
    <w:rsid w:val="6F9BABB5"/>
    <w:rsid w:val="6F9E4471"/>
    <w:rsid w:val="6F9E843D"/>
    <w:rsid w:val="6FA1B86A"/>
    <w:rsid w:val="6FA41A6E"/>
    <w:rsid w:val="6FA820A5"/>
    <w:rsid w:val="6FADAC08"/>
    <w:rsid w:val="6FC0BBEA"/>
    <w:rsid w:val="6FC5C1A9"/>
    <w:rsid w:val="6FC72DE6"/>
    <w:rsid w:val="6FC86856"/>
    <w:rsid w:val="6FC87331"/>
    <w:rsid w:val="6FCA453D"/>
    <w:rsid w:val="6FCC3421"/>
    <w:rsid w:val="6FCD79FD"/>
    <w:rsid w:val="6FD286C0"/>
    <w:rsid w:val="6FD310ED"/>
    <w:rsid w:val="6FD60E6B"/>
    <w:rsid w:val="6FD8FB56"/>
    <w:rsid w:val="6FDB8EDE"/>
    <w:rsid w:val="6FE64F60"/>
    <w:rsid w:val="6FED350D"/>
    <w:rsid w:val="6FF0022C"/>
    <w:rsid w:val="6FF16BFB"/>
    <w:rsid w:val="6FF7D379"/>
    <w:rsid w:val="6FFD0C4D"/>
    <w:rsid w:val="6FFF32D1"/>
    <w:rsid w:val="7006AF7F"/>
    <w:rsid w:val="70084E32"/>
    <w:rsid w:val="70111A7B"/>
    <w:rsid w:val="7012C0A0"/>
    <w:rsid w:val="7025AE8D"/>
    <w:rsid w:val="702AAB57"/>
    <w:rsid w:val="702B755F"/>
    <w:rsid w:val="70411A11"/>
    <w:rsid w:val="7045FFCF"/>
    <w:rsid w:val="70481538"/>
    <w:rsid w:val="7051D20C"/>
    <w:rsid w:val="705EA7C2"/>
    <w:rsid w:val="706426D0"/>
    <w:rsid w:val="706CB4C0"/>
    <w:rsid w:val="706E8A38"/>
    <w:rsid w:val="70708064"/>
    <w:rsid w:val="7077389E"/>
    <w:rsid w:val="7078FA86"/>
    <w:rsid w:val="707D6653"/>
    <w:rsid w:val="7089743E"/>
    <w:rsid w:val="708FF5E7"/>
    <w:rsid w:val="7090D63E"/>
    <w:rsid w:val="70953F4E"/>
    <w:rsid w:val="7097FDE0"/>
    <w:rsid w:val="709A8857"/>
    <w:rsid w:val="709D7A5D"/>
    <w:rsid w:val="709E0F98"/>
    <w:rsid w:val="70A4879A"/>
    <w:rsid w:val="70A5DC78"/>
    <w:rsid w:val="70A76ABF"/>
    <w:rsid w:val="70AAFB07"/>
    <w:rsid w:val="70ABFB70"/>
    <w:rsid w:val="70AC427B"/>
    <w:rsid w:val="70B0BAAB"/>
    <w:rsid w:val="70B209CE"/>
    <w:rsid w:val="70B856BB"/>
    <w:rsid w:val="70BD7301"/>
    <w:rsid w:val="70C5433A"/>
    <w:rsid w:val="70C99B89"/>
    <w:rsid w:val="70D07D26"/>
    <w:rsid w:val="70D100D8"/>
    <w:rsid w:val="70DE83D7"/>
    <w:rsid w:val="70E77DFA"/>
    <w:rsid w:val="70EE9874"/>
    <w:rsid w:val="70EE996B"/>
    <w:rsid w:val="70F0B9C4"/>
    <w:rsid w:val="70F5ACFA"/>
    <w:rsid w:val="70FC6911"/>
    <w:rsid w:val="70FF7FFA"/>
    <w:rsid w:val="710340C4"/>
    <w:rsid w:val="71034577"/>
    <w:rsid w:val="7103E36A"/>
    <w:rsid w:val="7107B010"/>
    <w:rsid w:val="7107F1AC"/>
    <w:rsid w:val="7109E020"/>
    <w:rsid w:val="710F211B"/>
    <w:rsid w:val="710F5F21"/>
    <w:rsid w:val="71107C8B"/>
    <w:rsid w:val="71194037"/>
    <w:rsid w:val="711B0AAE"/>
    <w:rsid w:val="711E118A"/>
    <w:rsid w:val="71207DF1"/>
    <w:rsid w:val="7132C278"/>
    <w:rsid w:val="7134615B"/>
    <w:rsid w:val="713663F6"/>
    <w:rsid w:val="71374C1E"/>
    <w:rsid w:val="71377C16"/>
    <w:rsid w:val="713A5D40"/>
    <w:rsid w:val="713F2C08"/>
    <w:rsid w:val="7147E533"/>
    <w:rsid w:val="714800E4"/>
    <w:rsid w:val="714F4C17"/>
    <w:rsid w:val="71520998"/>
    <w:rsid w:val="7156458B"/>
    <w:rsid w:val="7156587B"/>
    <w:rsid w:val="7158AFC7"/>
    <w:rsid w:val="715DD7F3"/>
    <w:rsid w:val="71624BC3"/>
    <w:rsid w:val="7168AEE0"/>
    <w:rsid w:val="716D8850"/>
    <w:rsid w:val="716EEBFC"/>
    <w:rsid w:val="7170FBE8"/>
    <w:rsid w:val="7181534C"/>
    <w:rsid w:val="718A216B"/>
    <w:rsid w:val="718D2EE1"/>
    <w:rsid w:val="718DF01B"/>
    <w:rsid w:val="71931318"/>
    <w:rsid w:val="71935214"/>
    <w:rsid w:val="7195A9AC"/>
    <w:rsid w:val="71A0F704"/>
    <w:rsid w:val="71A6B3A4"/>
    <w:rsid w:val="71AA7CFA"/>
    <w:rsid w:val="71B28E0B"/>
    <w:rsid w:val="71B42458"/>
    <w:rsid w:val="71B514A9"/>
    <w:rsid w:val="71C0B534"/>
    <w:rsid w:val="71C21FD2"/>
    <w:rsid w:val="71CBD66A"/>
    <w:rsid w:val="71DAD873"/>
    <w:rsid w:val="71DFA692"/>
    <w:rsid w:val="71E069CE"/>
    <w:rsid w:val="71E36AC7"/>
    <w:rsid w:val="71E54CB4"/>
    <w:rsid w:val="71ED4FC8"/>
    <w:rsid w:val="71F1DBA1"/>
    <w:rsid w:val="71FB6AE0"/>
    <w:rsid w:val="71FF61CA"/>
    <w:rsid w:val="7204C4B1"/>
    <w:rsid w:val="72083755"/>
    <w:rsid w:val="72088521"/>
    <w:rsid w:val="72112E1C"/>
    <w:rsid w:val="7212FCDE"/>
    <w:rsid w:val="72136B48"/>
    <w:rsid w:val="72189649"/>
    <w:rsid w:val="721B86CC"/>
    <w:rsid w:val="721E1822"/>
    <w:rsid w:val="721E9F2D"/>
    <w:rsid w:val="72208B2A"/>
    <w:rsid w:val="7221A568"/>
    <w:rsid w:val="72222927"/>
    <w:rsid w:val="7225C7EF"/>
    <w:rsid w:val="7227AEBE"/>
    <w:rsid w:val="722BAEED"/>
    <w:rsid w:val="7230413B"/>
    <w:rsid w:val="72309863"/>
    <w:rsid w:val="723362CB"/>
    <w:rsid w:val="72351DFA"/>
    <w:rsid w:val="72353490"/>
    <w:rsid w:val="72357277"/>
    <w:rsid w:val="72378F18"/>
    <w:rsid w:val="723A0CB9"/>
    <w:rsid w:val="723E9B52"/>
    <w:rsid w:val="723EBFD9"/>
    <w:rsid w:val="7241290D"/>
    <w:rsid w:val="72426FB6"/>
    <w:rsid w:val="72449077"/>
    <w:rsid w:val="7244D31A"/>
    <w:rsid w:val="7245F0AB"/>
    <w:rsid w:val="7246D63C"/>
    <w:rsid w:val="724DF886"/>
    <w:rsid w:val="72502218"/>
    <w:rsid w:val="7251D081"/>
    <w:rsid w:val="725554FD"/>
    <w:rsid w:val="72572349"/>
    <w:rsid w:val="72587B1C"/>
    <w:rsid w:val="726B164C"/>
    <w:rsid w:val="726FDB55"/>
    <w:rsid w:val="7271BCFC"/>
    <w:rsid w:val="72740906"/>
    <w:rsid w:val="7275749B"/>
    <w:rsid w:val="727E93D9"/>
    <w:rsid w:val="727E940D"/>
    <w:rsid w:val="7284EDDC"/>
    <w:rsid w:val="7288A687"/>
    <w:rsid w:val="72892BAA"/>
    <w:rsid w:val="728C3F8F"/>
    <w:rsid w:val="728F6631"/>
    <w:rsid w:val="72912766"/>
    <w:rsid w:val="72928538"/>
    <w:rsid w:val="729E1279"/>
    <w:rsid w:val="729F7F39"/>
    <w:rsid w:val="72A0EF7E"/>
    <w:rsid w:val="72A35E4B"/>
    <w:rsid w:val="72A56573"/>
    <w:rsid w:val="72B05BB7"/>
    <w:rsid w:val="72B0E344"/>
    <w:rsid w:val="72B6E5EF"/>
    <w:rsid w:val="72B9F4CE"/>
    <w:rsid w:val="72BA1801"/>
    <w:rsid w:val="72BB16B5"/>
    <w:rsid w:val="72BD1A8C"/>
    <w:rsid w:val="72C5DC71"/>
    <w:rsid w:val="72C5E37D"/>
    <w:rsid w:val="72C5F195"/>
    <w:rsid w:val="72C71F26"/>
    <w:rsid w:val="72CB7A4D"/>
    <w:rsid w:val="72D62A38"/>
    <w:rsid w:val="72D71B9A"/>
    <w:rsid w:val="72E30C2D"/>
    <w:rsid w:val="72E35DBF"/>
    <w:rsid w:val="72E3F787"/>
    <w:rsid w:val="72EE6009"/>
    <w:rsid w:val="72F1829D"/>
    <w:rsid w:val="72F74213"/>
    <w:rsid w:val="7319AE55"/>
    <w:rsid w:val="731DB236"/>
    <w:rsid w:val="731E70B5"/>
    <w:rsid w:val="7329BCCE"/>
    <w:rsid w:val="732D008E"/>
    <w:rsid w:val="73323A7A"/>
    <w:rsid w:val="733245E2"/>
    <w:rsid w:val="7334C56D"/>
    <w:rsid w:val="73360567"/>
    <w:rsid w:val="73399314"/>
    <w:rsid w:val="733A3D5B"/>
    <w:rsid w:val="733BA04C"/>
    <w:rsid w:val="7341916C"/>
    <w:rsid w:val="73485935"/>
    <w:rsid w:val="7349B8D5"/>
    <w:rsid w:val="734C180A"/>
    <w:rsid w:val="734C3C7A"/>
    <w:rsid w:val="7351BB16"/>
    <w:rsid w:val="7351BD53"/>
    <w:rsid w:val="7354464C"/>
    <w:rsid w:val="7354DE19"/>
    <w:rsid w:val="735633A1"/>
    <w:rsid w:val="73572066"/>
    <w:rsid w:val="7358ADA0"/>
    <w:rsid w:val="7362CDE9"/>
    <w:rsid w:val="736773E9"/>
    <w:rsid w:val="736AC11B"/>
    <w:rsid w:val="7373EDB3"/>
    <w:rsid w:val="7377259B"/>
    <w:rsid w:val="737EFA53"/>
    <w:rsid w:val="7380D8C2"/>
    <w:rsid w:val="73830E68"/>
    <w:rsid w:val="7384E2B3"/>
    <w:rsid w:val="738BFC7E"/>
    <w:rsid w:val="738CF5D7"/>
    <w:rsid w:val="739564A1"/>
    <w:rsid w:val="739EC5DC"/>
    <w:rsid w:val="73AB7B7E"/>
    <w:rsid w:val="73B0783D"/>
    <w:rsid w:val="73BC5B8B"/>
    <w:rsid w:val="73BDEFA5"/>
    <w:rsid w:val="73C4D2F2"/>
    <w:rsid w:val="73C714F0"/>
    <w:rsid w:val="73C8917C"/>
    <w:rsid w:val="73CEF1DB"/>
    <w:rsid w:val="73D02AE8"/>
    <w:rsid w:val="73D27901"/>
    <w:rsid w:val="73D40893"/>
    <w:rsid w:val="73D8DBC9"/>
    <w:rsid w:val="73DAF431"/>
    <w:rsid w:val="73E0B089"/>
    <w:rsid w:val="73E2400F"/>
    <w:rsid w:val="73E88AAA"/>
    <w:rsid w:val="73EA617D"/>
    <w:rsid w:val="73F055EA"/>
    <w:rsid w:val="73F42578"/>
    <w:rsid w:val="73F81301"/>
    <w:rsid w:val="73FADC55"/>
    <w:rsid w:val="73FD3934"/>
    <w:rsid w:val="74031D42"/>
    <w:rsid w:val="7407DD01"/>
    <w:rsid w:val="740927A6"/>
    <w:rsid w:val="740D5068"/>
    <w:rsid w:val="740EB34B"/>
    <w:rsid w:val="74137C47"/>
    <w:rsid w:val="74216FAD"/>
    <w:rsid w:val="74232721"/>
    <w:rsid w:val="74290129"/>
    <w:rsid w:val="7433095C"/>
    <w:rsid w:val="74393318"/>
    <w:rsid w:val="74463851"/>
    <w:rsid w:val="744B588D"/>
    <w:rsid w:val="744C195F"/>
    <w:rsid w:val="744EA20F"/>
    <w:rsid w:val="74549825"/>
    <w:rsid w:val="745AB65D"/>
    <w:rsid w:val="745B599E"/>
    <w:rsid w:val="745D44B4"/>
    <w:rsid w:val="745F1E97"/>
    <w:rsid w:val="745FD625"/>
    <w:rsid w:val="74603345"/>
    <w:rsid w:val="7465887F"/>
    <w:rsid w:val="74687565"/>
    <w:rsid w:val="746A9E44"/>
    <w:rsid w:val="746AEDC7"/>
    <w:rsid w:val="74710C56"/>
    <w:rsid w:val="74729B22"/>
    <w:rsid w:val="7473F07C"/>
    <w:rsid w:val="7476C882"/>
    <w:rsid w:val="74772AF2"/>
    <w:rsid w:val="747D26D5"/>
    <w:rsid w:val="747E40E2"/>
    <w:rsid w:val="7484B680"/>
    <w:rsid w:val="748A343F"/>
    <w:rsid w:val="748AE2C9"/>
    <w:rsid w:val="748DF27A"/>
    <w:rsid w:val="7491B202"/>
    <w:rsid w:val="7493C168"/>
    <w:rsid w:val="74997078"/>
    <w:rsid w:val="7499E558"/>
    <w:rsid w:val="749D6F17"/>
    <w:rsid w:val="749F8B6D"/>
    <w:rsid w:val="74A1ED93"/>
    <w:rsid w:val="74A7DA24"/>
    <w:rsid w:val="74A9626A"/>
    <w:rsid w:val="74A9D5A3"/>
    <w:rsid w:val="74AE6E05"/>
    <w:rsid w:val="74B1F478"/>
    <w:rsid w:val="74B3CF5E"/>
    <w:rsid w:val="74B3DDD7"/>
    <w:rsid w:val="74B51EFE"/>
    <w:rsid w:val="74B8DE0D"/>
    <w:rsid w:val="74BD684A"/>
    <w:rsid w:val="74C11F27"/>
    <w:rsid w:val="74C95D01"/>
    <w:rsid w:val="74CA9213"/>
    <w:rsid w:val="74DC02E2"/>
    <w:rsid w:val="74EB371E"/>
    <w:rsid w:val="74EBCAF3"/>
    <w:rsid w:val="74EE9E48"/>
    <w:rsid w:val="74F2EB57"/>
    <w:rsid w:val="74FDD893"/>
    <w:rsid w:val="75047C9A"/>
    <w:rsid w:val="7505B2EE"/>
    <w:rsid w:val="750E2EE3"/>
    <w:rsid w:val="75161226"/>
    <w:rsid w:val="7517BD9B"/>
    <w:rsid w:val="75197E6D"/>
    <w:rsid w:val="751CE053"/>
    <w:rsid w:val="751ED683"/>
    <w:rsid w:val="7524A7E5"/>
    <w:rsid w:val="7525EAF9"/>
    <w:rsid w:val="7528862B"/>
    <w:rsid w:val="752B02B1"/>
    <w:rsid w:val="752DF176"/>
    <w:rsid w:val="7530615B"/>
    <w:rsid w:val="7531E3AD"/>
    <w:rsid w:val="754371F4"/>
    <w:rsid w:val="75447373"/>
    <w:rsid w:val="7550823D"/>
    <w:rsid w:val="755A01E6"/>
    <w:rsid w:val="755A041A"/>
    <w:rsid w:val="7568D3DB"/>
    <w:rsid w:val="756ACFDC"/>
    <w:rsid w:val="756BB295"/>
    <w:rsid w:val="756CD538"/>
    <w:rsid w:val="75748AE4"/>
    <w:rsid w:val="75784A13"/>
    <w:rsid w:val="75856A58"/>
    <w:rsid w:val="758EB573"/>
    <w:rsid w:val="759CA8A6"/>
    <w:rsid w:val="75A2BAA8"/>
    <w:rsid w:val="75A8E547"/>
    <w:rsid w:val="75AF996D"/>
    <w:rsid w:val="75B03BF3"/>
    <w:rsid w:val="75B22E0E"/>
    <w:rsid w:val="75BB30C1"/>
    <w:rsid w:val="75BBCC09"/>
    <w:rsid w:val="75BE8231"/>
    <w:rsid w:val="75C0C1AE"/>
    <w:rsid w:val="75C204D3"/>
    <w:rsid w:val="75C6443F"/>
    <w:rsid w:val="75D152EC"/>
    <w:rsid w:val="75D3FB87"/>
    <w:rsid w:val="75D8E352"/>
    <w:rsid w:val="75D91C84"/>
    <w:rsid w:val="75DC1D60"/>
    <w:rsid w:val="75DC5B64"/>
    <w:rsid w:val="75DF6593"/>
    <w:rsid w:val="75E2D044"/>
    <w:rsid w:val="75E5B39C"/>
    <w:rsid w:val="75EC2E55"/>
    <w:rsid w:val="75EC95AB"/>
    <w:rsid w:val="75ECC9A6"/>
    <w:rsid w:val="75ECEE59"/>
    <w:rsid w:val="75EEA4B7"/>
    <w:rsid w:val="75F1C8E6"/>
    <w:rsid w:val="75F23039"/>
    <w:rsid w:val="75F52B79"/>
    <w:rsid w:val="75FE28F8"/>
    <w:rsid w:val="7600F707"/>
    <w:rsid w:val="7603B82B"/>
    <w:rsid w:val="7604E1C8"/>
    <w:rsid w:val="760D8E22"/>
    <w:rsid w:val="7612D7B4"/>
    <w:rsid w:val="76158E06"/>
    <w:rsid w:val="76160A43"/>
    <w:rsid w:val="761A098E"/>
    <w:rsid w:val="761B0B33"/>
    <w:rsid w:val="761B359B"/>
    <w:rsid w:val="76204E2B"/>
    <w:rsid w:val="7620E5C0"/>
    <w:rsid w:val="76216D34"/>
    <w:rsid w:val="7621D4D2"/>
    <w:rsid w:val="7627F896"/>
    <w:rsid w:val="7628AF6B"/>
    <w:rsid w:val="7629C2DB"/>
    <w:rsid w:val="762B2D00"/>
    <w:rsid w:val="762E07D0"/>
    <w:rsid w:val="7632B28F"/>
    <w:rsid w:val="7636C246"/>
    <w:rsid w:val="763915BE"/>
    <w:rsid w:val="763D4954"/>
    <w:rsid w:val="764125BC"/>
    <w:rsid w:val="7655EA61"/>
    <w:rsid w:val="7656FA96"/>
    <w:rsid w:val="7658993B"/>
    <w:rsid w:val="765F1624"/>
    <w:rsid w:val="7663A98D"/>
    <w:rsid w:val="766440A5"/>
    <w:rsid w:val="76698CC9"/>
    <w:rsid w:val="766A446C"/>
    <w:rsid w:val="766B52C4"/>
    <w:rsid w:val="766E7B55"/>
    <w:rsid w:val="767E179A"/>
    <w:rsid w:val="768685D5"/>
    <w:rsid w:val="768E696E"/>
    <w:rsid w:val="768FC9ED"/>
    <w:rsid w:val="76906B82"/>
    <w:rsid w:val="769B94DD"/>
    <w:rsid w:val="769D5AEA"/>
    <w:rsid w:val="769ECC6E"/>
    <w:rsid w:val="76A0D8D0"/>
    <w:rsid w:val="76A57296"/>
    <w:rsid w:val="76A7AEBE"/>
    <w:rsid w:val="76A8268E"/>
    <w:rsid w:val="76AB5E8C"/>
    <w:rsid w:val="76AECAF0"/>
    <w:rsid w:val="76B46814"/>
    <w:rsid w:val="76B84D20"/>
    <w:rsid w:val="76BBB664"/>
    <w:rsid w:val="76BE6AC2"/>
    <w:rsid w:val="76C6C95C"/>
    <w:rsid w:val="76CDDE1F"/>
    <w:rsid w:val="76CE1576"/>
    <w:rsid w:val="76D2E8E2"/>
    <w:rsid w:val="76D8FC1C"/>
    <w:rsid w:val="76DAE682"/>
    <w:rsid w:val="76DB79E7"/>
    <w:rsid w:val="76DC901B"/>
    <w:rsid w:val="76DCCEB6"/>
    <w:rsid w:val="76E53BF7"/>
    <w:rsid w:val="76E5CB49"/>
    <w:rsid w:val="76EBF618"/>
    <w:rsid w:val="76FF06C9"/>
    <w:rsid w:val="76FFC7E8"/>
    <w:rsid w:val="7703A982"/>
    <w:rsid w:val="77065CC6"/>
    <w:rsid w:val="770F33B0"/>
    <w:rsid w:val="770F8330"/>
    <w:rsid w:val="7710A363"/>
    <w:rsid w:val="77126BA3"/>
    <w:rsid w:val="77182F36"/>
    <w:rsid w:val="771B442E"/>
    <w:rsid w:val="771FDF49"/>
    <w:rsid w:val="77202B6C"/>
    <w:rsid w:val="7721904A"/>
    <w:rsid w:val="772A9903"/>
    <w:rsid w:val="7737099D"/>
    <w:rsid w:val="77482047"/>
    <w:rsid w:val="77498791"/>
    <w:rsid w:val="774FBE1B"/>
    <w:rsid w:val="7754D814"/>
    <w:rsid w:val="77576C3E"/>
    <w:rsid w:val="7758E6C7"/>
    <w:rsid w:val="775B632D"/>
    <w:rsid w:val="775BD223"/>
    <w:rsid w:val="775D8792"/>
    <w:rsid w:val="776896B3"/>
    <w:rsid w:val="7769F5A9"/>
    <w:rsid w:val="77715A94"/>
    <w:rsid w:val="7774057B"/>
    <w:rsid w:val="777C4993"/>
    <w:rsid w:val="777C8733"/>
    <w:rsid w:val="7780BE79"/>
    <w:rsid w:val="7793E3A5"/>
    <w:rsid w:val="7795649F"/>
    <w:rsid w:val="7795FFE0"/>
    <w:rsid w:val="779D3958"/>
    <w:rsid w:val="77A0E904"/>
    <w:rsid w:val="77A58418"/>
    <w:rsid w:val="77A75DAD"/>
    <w:rsid w:val="77A97B54"/>
    <w:rsid w:val="77AB2477"/>
    <w:rsid w:val="77AB6E72"/>
    <w:rsid w:val="77B040F5"/>
    <w:rsid w:val="77C09D1E"/>
    <w:rsid w:val="77C0CA43"/>
    <w:rsid w:val="77CF389A"/>
    <w:rsid w:val="77D08A90"/>
    <w:rsid w:val="77D12386"/>
    <w:rsid w:val="77D189DB"/>
    <w:rsid w:val="77D1E64A"/>
    <w:rsid w:val="77D67DA3"/>
    <w:rsid w:val="77D6A7B2"/>
    <w:rsid w:val="77DA5F43"/>
    <w:rsid w:val="77DC1B1E"/>
    <w:rsid w:val="77DC7F2F"/>
    <w:rsid w:val="77E0EFB1"/>
    <w:rsid w:val="77E5302D"/>
    <w:rsid w:val="77E8C2AF"/>
    <w:rsid w:val="77EAD7A5"/>
    <w:rsid w:val="77EBF1F8"/>
    <w:rsid w:val="77EE1D92"/>
    <w:rsid w:val="77F16D45"/>
    <w:rsid w:val="77F1B297"/>
    <w:rsid w:val="77F1DCE3"/>
    <w:rsid w:val="77FA7297"/>
    <w:rsid w:val="77FABA47"/>
    <w:rsid w:val="77FF1E9B"/>
    <w:rsid w:val="78054ECC"/>
    <w:rsid w:val="780BECC0"/>
    <w:rsid w:val="780C0202"/>
    <w:rsid w:val="780DA3C4"/>
    <w:rsid w:val="78127868"/>
    <w:rsid w:val="781490DF"/>
    <w:rsid w:val="7829740B"/>
    <w:rsid w:val="78317385"/>
    <w:rsid w:val="7835662A"/>
    <w:rsid w:val="7837F4B8"/>
    <w:rsid w:val="783A6C49"/>
    <w:rsid w:val="7841EB30"/>
    <w:rsid w:val="784223A6"/>
    <w:rsid w:val="784462C5"/>
    <w:rsid w:val="7844DB80"/>
    <w:rsid w:val="7845FAD4"/>
    <w:rsid w:val="78468E77"/>
    <w:rsid w:val="7849E040"/>
    <w:rsid w:val="784E13B5"/>
    <w:rsid w:val="78585B7C"/>
    <w:rsid w:val="78586221"/>
    <w:rsid w:val="785D005C"/>
    <w:rsid w:val="7860C5A9"/>
    <w:rsid w:val="78611DD2"/>
    <w:rsid w:val="78626146"/>
    <w:rsid w:val="786B2CC8"/>
    <w:rsid w:val="786C61EC"/>
    <w:rsid w:val="787A1236"/>
    <w:rsid w:val="787C42C6"/>
    <w:rsid w:val="7881C60F"/>
    <w:rsid w:val="78839204"/>
    <w:rsid w:val="788AD3E5"/>
    <w:rsid w:val="788D702C"/>
    <w:rsid w:val="789210C7"/>
    <w:rsid w:val="78965CD3"/>
    <w:rsid w:val="789E0B99"/>
    <w:rsid w:val="78A226E1"/>
    <w:rsid w:val="78A5139E"/>
    <w:rsid w:val="78A85D4B"/>
    <w:rsid w:val="78A9DEC7"/>
    <w:rsid w:val="78B258A7"/>
    <w:rsid w:val="78C9C208"/>
    <w:rsid w:val="78CA00DB"/>
    <w:rsid w:val="78D0C5E9"/>
    <w:rsid w:val="78D505A7"/>
    <w:rsid w:val="78DC82C9"/>
    <w:rsid w:val="78E13DD1"/>
    <w:rsid w:val="78E3B060"/>
    <w:rsid w:val="78E656A6"/>
    <w:rsid w:val="78EA65B8"/>
    <w:rsid w:val="78EB0347"/>
    <w:rsid w:val="78EC8ECD"/>
    <w:rsid w:val="78EEE40B"/>
    <w:rsid w:val="78EF3AE1"/>
    <w:rsid w:val="78F12F80"/>
    <w:rsid w:val="78F6A8FA"/>
    <w:rsid w:val="78F93DA9"/>
    <w:rsid w:val="78FF651F"/>
    <w:rsid w:val="7900AD14"/>
    <w:rsid w:val="7903D200"/>
    <w:rsid w:val="79060675"/>
    <w:rsid w:val="7906C302"/>
    <w:rsid w:val="790C8428"/>
    <w:rsid w:val="7912382A"/>
    <w:rsid w:val="79149CC9"/>
    <w:rsid w:val="79239FF2"/>
    <w:rsid w:val="79260D95"/>
    <w:rsid w:val="792CF9A4"/>
    <w:rsid w:val="79330B51"/>
    <w:rsid w:val="7939BE8D"/>
    <w:rsid w:val="79484F7F"/>
    <w:rsid w:val="794A5D5D"/>
    <w:rsid w:val="79550D97"/>
    <w:rsid w:val="7962ED14"/>
    <w:rsid w:val="7964DE4E"/>
    <w:rsid w:val="7967B809"/>
    <w:rsid w:val="7968FD3D"/>
    <w:rsid w:val="796D43AB"/>
    <w:rsid w:val="796DE9CE"/>
    <w:rsid w:val="7971B71A"/>
    <w:rsid w:val="7976825E"/>
    <w:rsid w:val="7977B0F7"/>
    <w:rsid w:val="7978815D"/>
    <w:rsid w:val="797D74CA"/>
    <w:rsid w:val="79815545"/>
    <w:rsid w:val="79839658"/>
    <w:rsid w:val="7985FAFD"/>
    <w:rsid w:val="7986B1D0"/>
    <w:rsid w:val="7987C603"/>
    <w:rsid w:val="79888142"/>
    <w:rsid w:val="798A465F"/>
    <w:rsid w:val="798FB865"/>
    <w:rsid w:val="7992ACA9"/>
    <w:rsid w:val="7994F616"/>
    <w:rsid w:val="799839A7"/>
    <w:rsid w:val="799F57FD"/>
    <w:rsid w:val="79A52800"/>
    <w:rsid w:val="79A8C6FC"/>
    <w:rsid w:val="79A94C94"/>
    <w:rsid w:val="79AB0791"/>
    <w:rsid w:val="79AC6313"/>
    <w:rsid w:val="79AECF65"/>
    <w:rsid w:val="79B0A808"/>
    <w:rsid w:val="79B0BA8E"/>
    <w:rsid w:val="79B0BB88"/>
    <w:rsid w:val="79B0C463"/>
    <w:rsid w:val="79B51DD4"/>
    <w:rsid w:val="79B8E23D"/>
    <w:rsid w:val="79CA2DF4"/>
    <w:rsid w:val="79CD148D"/>
    <w:rsid w:val="79CD1E51"/>
    <w:rsid w:val="79D02FA7"/>
    <w:rsid w:val="79D1FC5D"/>
    <w:rsid w:val="79DBC3DA"/>
    <w:rsid w:val="79DD78EF"/>
    <w:rsid w:val="79E8F2EB"/>
    <w:rsid w:val="79EC9B15"/>
    <w:rsid w:val="79F37817"/>
    <w:rsid w:val="7A000AD1"/>
    <w:rsid w:val="7A00F7A2"/>
    <w:rsid w:val="7A034727"/>
    <w:rsid w:val="7A043C3F"/>
    <w:rsid w:val="7A0A3058"/>
    <w:rsid w:val="7A12800E"/>
    <w:rsid w:val="7A1704B3"/>
    <w:rsid w:val="7A170700"/>
    <w:rsid w:val="7A18E30B"/>
    <w:rsid w:val="7A1D3279"/>
    <w:rsid w:val="7A246EC2"/>
    <w:rsid w:val="7A285744"/>
    <w:rsid w:val="7A2A33B1"/>
    <w:rsid w:val="7A2F4738"/>
    <w:rsid w:val="7A35A80D"/>
    <w:rsid w:val="7A371FFE"/>
    <w:rsid w:val="7A3C0792"/>
    <w:rsid w:val="7A4131F2"/>
    <w:rsid w:val="7A421AAC"/>
    <w:rsid w:val="7A47C974"/>
    <w:rsid w:val="7A485141"/>
    <w:rsid w:val="7A4D2D6B"/>
    <w:rsid w:val="7A4DA056"/>
    <w:rsid w:val="7A4E02F7"/>
    <w:rsid w:val="7A504821"/>
    <w:rsid w:val="7A567F51"/>
    <w:rsid w:val="7A56A766"/>
    <w:rsid w:val="7A575BBD"/>
    <w:rsid w:val="7A5BD8E7"/>
    <w:rsid w:val="7A662C94"/>
    <w:rsid w:val="7A688F87"/>
    <w:rsid w:val="7A7709BB"/>
    <w:rsid w:val="7A788F5A"/>
    <w:rsid w:val="7A7B2BDF"/>
    <w:rsid w:val="7A7BBD4A"/>
    <w:rsid w:val="7A7E2A94"/>
    <w:rsid w:val="7A823C8F"/>
    <w:rsid w:val="7A823CAF"/>
    <w:rsid w:val="7A828F7C"/>
    <w:rsid w:val="7A89B64D"/>
    <w:rsid w:val="7A8E52C3"/>
    <w:rsid w:val="7A8EE850"/>
    <w:rsid w:val="7A97BD23"/>
    <w:rsid w:val="7A980AEF"/>
    <w:rsid w:val="7A980EE1"/>
    <w:rsid w:val="7AA0BF86"/>
    <w:rsid w:val="7AA80EA9"/>
    <w:rsid w:val="7AABA943"/>
    <w:rsid w:val="7AADFFDC"/>
    <w:rsid w:val="7AB0B52D"/>
    <w:rsid w:val="7AB4975F"/>
    <w:rsid w:val="7AB628C1"/>
    <w:rsid w:val="7AB6D22C"/>
    <w:rsid w:val="7ABA061A"/>
    <w:rsid w:val="7ABA5BD8"/>
    <w:rsid w:val="7ABA7702"/>
    <w:rsid w:val="7ABBB8CD"/>
    <w:rsid w:val="7ABD22C7"/>
    <w:rsid w:val="7ABE1350"/>
    <w:rsid w:val="7ABFBBEC"/>
    <w:rsid w:val="7AC3F172"/>
    <w:rsid w:val="7AC505A2"/>
    <w:rsid w:val="7AC766D0"/>
    <w:rsid w:val="7AC917A4"/>
    <w:rsid w:val="7AC9933A"/>
    <w:rsid w:val="7ACE6649"/>
    <w:rsid w:val="7AD34D8A"/>
    <w:rsid w:val="7AD3E8A0"/>
    <w:rsid w:val="7AD416AC"/>
    <w:rsid w:val="7ADC949C"/>
    <w:rsid w:val="7ADE1DD6"/>
    <w:rsid w:val="7ADE9B6C"/>
    <w:rsid w:val="7ADEFABD"/>
    <w:rsid w:val="7AE03CD5"/>
    <w:rsid w:val="7AE18AA8"/>
    <w:rsid w:val="7AEB6176"/>
    <w:rsid w:val="7AEC49D2"/>
    <w:rsid w:val="7AF2CF64"/>
    <w:rsid w:val="7AFCFF2B"/>
    <w:rsid w:val="7AFEF2F0"/>
    <w:rsid w:val="7B0D819A"/>
    <w:rsid w:val="7B0DB830"/>
    <w:rsid w:val="7B10DAB1"/>
    <w:rsid w:val="7B1678BE"/>
    <w:rsid w:val="7B1B6B3C"/>
    <w:rsid w:val="7B20CEE1"/>
    <w:rsid w:val="7B28DE20"/>
    <w:rsid w:val="7B29F5BD"/>
    <w:rsid w:val="7B3313F2"/>
    <w:rsid w:val="7B349E18"/>
    <w:rsid w:val="7B3BF78E"/>
    <w:rsid w:val="7B3D7054"/>
    <w:rsid w:val="7B456185"/>
    <w:rsid w:val="7B461857"/>
    <w:rsid w:val="7B48A7C2"/>
    <w:rsid w:val="7B49B3B9"/>
    <w:rsid w:val="7B4B6C8E"/>
    <w:rsid w:val="7B5070C2"/>
    <w:rsid w:val="7B5611BF"/>
    <w:rsid w:val="7B56FC09"/>
    <w:rsid w:val="7B575640"/>
    <w:rsid w:val="7B599854"/>
    <w:rsid w:val="7B5B83D1"/>
    <w:rsid w:val="7B6351E2"/>
    <w:rsid w:val="7B762156"/>
    <w:rsid w:val="7B77CFDC"/>
    <w:rsid w:val="7B801BA4"/>
    <w:rsid w:val="7B80EFDF"/>
    <w:rsid w:val="7B84B877"/>
    <w:rsid w:val="7B85B1D3"/>
    <w:rsid w:val="7B8A5FA3"/>
    <w:rsid w:val="7B8CEE17"/>
    <w:rsid w:val="7B8DDCB3"/>
    <w:rsid w:val="7B8E8FEB"/>
    <w:rsid w:val="7B8FC4AE"/>
    <w:rsid w:val="7B95CC2A"/>
    <w:rsid w:val="7B99A762"/>
    <w:rsid w:val="7B9B70DD"/>
    <w:rsid w:val="7B9BD80D"/>
    <w:rsid w:val="7BA4B330"/>
    <w:rsid w:val="7BB08A94"/>
    <w:rsid w:val="7BB268C0"/>
    <w:rsid w:val="7BB3D689"/>
    <w:rsid w:val="7BB78637"/>
    <w:rsid w:val="7BBE1946"/>
    <w:rsid w:val="7BC5B765"/>
    <w:rsid w:val="7BC9FD61"/>
    <w:rsid w:val="7BCBF875"/>
    <w:rsid w:val="7BD296D5"/>
    <w:rsid w:val="7BD4F9D7"/>
    <w:rsid w:val="7BD534BF"/>
    <w:rsid w:val="7BDA7432"/>
    <w:rsid w:val="7BDAF419"/>
    <w:rsid w:val="7BE2BE4C"/>
    <w:rsid w:val="7BEB5FED"/>
    <w:rsid w:val="7BEC40A9"/>
    <w:rsid w:val="7BF2CB71"/>
    <w:rsid w:val="7BF44CE9"/>
    <w:rsid w:val="7BF88F38"/>
    <w:rsid w:val="7BFC46DA"/>
    <w:rsid w:val="7C07E7F9"/>
    <w:rsid w:val="7C091ADD"/>
    <w:rsid w:val="7C10B61C"/>
    <w:rsid w:val="7C13896A"/>
    <w:rsid w:val="7C1ACBD3"/>
    <w:rsid w:val="7C207991"/>
    <w:rsid w:val="7C24562C"/>
    <w:rsid w:val="7C305575"/>
    <w:rsid w:val="7C3392D6"/>
    <w:rsid w:val="7C38AC44"/>
    <w:rsid w:val="7C391DC1"/>
    <w:rsid w:val="7C4111FE"/>
    <w:rsid w:val="7C429DEF"/>
    <w:rsid w:val="7C46FF25"/>
    <w:rsid w:val="7C4BA932"/>
    <w:rsid w:val="7C4EA717"/>
    <w:rsid w:val="7C54C02D"/>
    <w:rsid w:val="7C54DA64"/>
    <w:rsid w:val="7C56F735"/>
    <w:rsid w:val="7C597972"/>
    <w:rsid w:val="7C5BB405"/>
    <w:rsid w:val="7C60B972"/>
    <w:rsid w:val="7C6B6395"/>
    <w:rsid w:val="7C6B7BE4"/>
    <w:rsid w:val="7C701F92"/>
    <w:rsid w:val="7C70D166"/>
    <w:rsid w:val="7C7465DD"/>
    <w:rsid w:val="7C74A6EA"/>
    <w:rsid w:val="7C74F12D"/>
    <w:rsid w:val="7C786E2C"/>
    <w:rsid w:val="7C829B7B"/>
    <w:rsid w:val="7C83BBC9"/>
    <w:rsid w:val="7C92DAE0"/>
    <w:rsid w:val="7C9301FF"/>
    <w:rsid w:val="7C9881A7"/>
    <w:rsid w:val="7C992817"/>
    <w:rsid w:val="7C9BD4D2"/>
    <w:rsid w:val="7C9D9AB4"/>
    <w:rsid w:val="7CA1D9B5"/>
    <w:rsid w:val="7CA26BBC"/>
    <w:rsid w:val="7CA5E962"/>
    <w:rsid w:val="7CA85742"/>
    <w:rsid w:val="7CB37B53"/>
    <w:rsid w:val="7CB61637"/>
    <w:rsid w:val="7CB71011"/>
    <w:rsid w:val="7CBBE0E0"/>
    <w:rsid w:val="7CBFB45F"/>
    <w:rsid w:val="7CC10B59"/>
    <w:rsid w:val="7CC398F3"/>
    <w:rsid w:val="7CCA156D"/>
    <w:rsid w:val="7CCA6FA8"/>
    <w:rsid w:val="7CCF69FE"/>
    <w:rsid w:val="7CCFDC7C"/>
    <w:rsid w:val="7CD2DFDF"/>
    <w:rsid w:val="7CD4E2C2"/>
    <w:rsid w:val="7CD93287"/>
    <w:rsid w:val="7CDA3AF8"/>
    <w:rsid w:val="7CDD8C28"/>
    <w:rsid w:val="7CDE1EC9"/>
    <w:rsid w:val="7CDE7514"/>
    <w:rsid w:val="7CDEAC42"/>
    <w:rsid w:val="7CE2003F"/>
    <w:rsid w:val="7CE59A37"/>
    <w:rsid w:val="7CE73045"/>
    <w:rsid w:val="7CF0ACBE"/>
    <w:rsid w:val="7CF4E406"/>
    <w:rsid w:val="7CF5A438"/>
    <w:rsid w:val="7CF63224"/>
    <w:rsid w:val="7CF933E5"/>
    <w:rsid w:val="7CFE56B3"/>
    <w:rsid w:val="7D0DC709"/>
    <w:rsid w:val="7D133BCF"/>
    <w:rsid w:val="7D1F0C16"/>
    <w:rsid w:val="7D2093AD"/>
    <w:rsid w:val="7D22A2C8"/>
    <w:rsid w:val="7D32DACA"/>
    <w:rsid w:val="7D378A24"/>
    <w:rsid w:val="7D3EA3FE"/>
    <w:rsid w:val="7D41606F"/>
    <w:rsid w:val="7D42E2B1"/>
    <w:rsid w:val="7D434774"/>
    <w:rsid w:val="7D450D29"/>
    <w:rsid w:val="7D49BEA0"/>
    <w:rsid w:val="7D4AB633"/>
    <w:rsid w:val="7D4F8195"/>
    <w:rsid w:val="7D5083CD"/>
    <w:rsid w:val="7D62B5AD"/>
    <w:rsid w:val="7D64EC47"/>
    <w:rsid w:val="7D662D1D"/>
    <w:rsid w:val="7D6A5940"/>
    <w:rsid w:val="7D71182E"/>
    <w:rsid w:val="7D764EBA"/>
    <w:rsid w:val="7D7B125D"/>
    <w:rsid w:val="7D7CA8AF"/>
    <w:rsid w:val="7D8904CF"/>
    <w:rsid w:val="7D89451C"/>
    <w:rsid w:val="7D8A2C49"/>
    <w:rsid w:val="7D8C4A44"/>
    <w:rsid w:val="7D8C88CB"/>
    <w:rsid w:val="7D945CE0"/>
    <w:rsid w:val="7DA0BB51"/>
    <w:rsid w:val="7DA35053"/>
    <w:rsid w:val="7DA7D52C"/>
    <w:rsid w:val="7DABB973"/>
    <w:rsid w:val="7DAC9195"/>
    <w:rsid w:val="7DAD5AC7"/>
    <w:rsid w:val="7DB0C950"/>
    <w:rsid w:val="7DB26285"/>
    <w:rsid w:val="7DC0E408"/>
    <w:rsid w:val="7DC94461"/>
    <w:rsid w:val="7DCAFF45"/>
    <w:rsid w:val="7DCBB5B3"/>
    <w:rsid w:val="7DCFE680"/>
    <w:rsid w:val="7DD66690"/>
    <w:rsid w:val="7DD6E681"/>
    <w:rsid w:val="7DDE16E7"/>
    <w:rsid w:val="7DDF90DB"/>
    <w:rsid w:val="7DDFFA68"/>
    <w:rsid w:val="7DE59B33"/>
    <w:rsid w:val="7DE69FC5"/>
    <w:rsid w:val="7DEA2EA6"/>
    <w:rsid w:val="7DED6D8F"/>
    <w:rsid w:val="7DF2C796"/>
    <w:rsid w:val="7DF92D2C"/>
    <w:rsid w:val="7DFC3CEB"/>
    <w:rsid w:val="7DFCB613"/>
    <w:rsid w:val="7DFEBE37"/>
    <w:rsid w:val="7E0A8D82"/>
    <w:rsid w:val="7E0C111E"/>
    <w:rsid w:val="7E0C222F"/>
    <w:rsid w:val="7E164ECE"/>
    <w:rsid w:val="7E18B2AF"/>
    <w:rsid w:val="7E1BA9B8"/>
    <w:rsid w:val="7E24BBB0"/>
    <w:rsid w:val="7E296C85"/>
    <w:rsid w:val="7E316743"/>
    <w:rsid w:val="7E340808"/>
    <w:rsid w:val="7E3EAF58"/>
    <w:rsid w:val="7E3F8322"/>
    <w:rsid w:val="7E3FC4D4"/>
    <w:rsid w:val="7E410C4A"/>
    <w:rsid w:val="7E4572F1"/>
    <w:rsid w:val="7E45C68E"/>
    <w:rsid w:val="7E4804DA"/>
    <w:rsid w:val="7E48CCF5"/>
    <w:rsid w:val="7E4C4FD5"/>
    <w:rsid w:val="7E538ADC"/>
    <w:rsid w:val="7E5482A1"/>
    <w:rsid w:val="7E5A5895"/>
    <w:rsid w:val="7E602585"/>
    <w:rsid w:val="7E681F32"/>
    <w:rsid w:val="7E6D667E"/>
    <w:rsid w:val="7E6DC980"/>
    <w:rsid w:val="7E74B73F"/>
    <w:rsid w:val="7E7ED275"/>
    <w:rsid w:val="7E8224F7"/>
    <w:rsid w:val="7E8DBF86"/>
    <w:rsid w:val="7E8F4E5C"/>
    <w:rsid w:val="7E91110E"/>
    <w:rsid w:val="7E91C4F9"/>
    <w:rsid w:val="7E960A7E"/>
    <w:rsid w:val="7E9A7BF5"/>
    <w:rsid w:val="7E9BBBE6"/>
    <w:rsid w:val="7E9BC8F3"/>
    <w:rsid w:val="7E9D2266"/>
    <w:rsid w:val="7EB6229C"/>
    <w:rsid w:val="7EBBCBF7"/>
    <w:rsid w:val="7EC0C0F5"/>
    <w:rsid w:val="7EC1F883"/>
    <w:rsid w:val="7EC2ED19"/>
    <w:rsid w:val="7EC83C74"/>
    <w:rsid w:val="7ECD7859"/>
    <w:rsid w:val="7EDDDB98"/>
    <w:rsid w:val="7EE58F01"/>
    <w:rsid w:val="7EE67893"/>
    <w:rsid w:val="7EEEE39E"/>
    <w:rsid w:val="7EF311F9"/>
    <w:rsid w:val="7EF7C444"/>
    <w:rsid w:val="7EFD70D1"/>
    <w:rsid w:val="7F06297B"/>
    <w:rsid w:val="7F117FCF"/>
    <w:rsid w:val="7F11E5BB"/>
    <w:rsid w:val="7F1494FB"/>
    <w:rsid w:val="7F1B0DAF"/>
    <w:rsid w:val="7F1BF89A"/>
    <w:rsid w:val="7F1DD5C7"/>
    <w:rsid w:val="7F24ED04"/>
    <w:rsid w:val="7F2DA3AE"/>
    <w:rsid w:val="7F3EA4CE"/>
    <w:rsid w:val="7F4671F9"/>
    <w:rsid w:val="7F48EB23"/>
    <w:rsid w:val="7F4F4176"/>
    <w:rsid w:val="7F537BDB"/>
    <w:rsid w:val="7F5AA422"/>
    <w:rsid w:val="7F5E28FC"/>
    <w:rsid w:val="7F5F4478"/>
    <w:rsid w:val="7F6838D3"/>
    <w:rsid w:val="7F698E8A"/>
    <w:rsid w:val="7F6BA1F0"/>
    <w:rsid w:val="7F6CCF34"/>
    <w:rsid w:val="7F6F208E"/>
    <w:rsid w:val="7F6F4C45"/>
    <w:rsid w:val="7F6FE661"/>
    <w:rsid w:val="7F70470B"/>
    <w:rsid w:val="7F70D8A4"/>
    <w:rsid w:val="7F75BC03"/>
    <w:rsid w:val="7F7899B8"/>
    <w:rsid w:val="7F7B2948"/>
    <w:rsid w:val="7F7BBACF"/>
    <w:rsid w:val="7F7CAA97"/>
    <w:rsid w:val="7F82E235"/>
    <w:rsid w:val="7F830DD2"/>
    <w:rsid w:val="7F848114"/>
    <w:rsid w:val="7F8E97F7"/>
    <w:rsid w:val="7F91C077"/>
    <w:rsid w:val="7F988931"/>
    <w:rsid w:val="7F9FA9B9"/>
    <w:rsid w:val="7F9FF258"/>
    <w:rsid w:val="7FA54A13"/>
    <w:rsid w:val="7FA55DB8"/>
    <w:rsid w:val="7FA8F281"/>
    <w:rsid w:val="7FAAB1DB"/>
    <w:rsid w:val="7FB547BE"/>
    <w:rsid w:val="7FB6365C"/>
    <w:rsid w:val="7FBB5FF3"/>
    <w:rsid w:val="7FBEB191"/>
    <w:rsid w:val="7FC1A25C"/>
    <w:rsid w:val="7FC68D28"/>
    <w:rsid w:val="7FC881E8"/>
    <w:rsid w:val="7FCA87E6"/>
    <w:rsid w:val="7FCB2E33"/>
    <w:rsid w:val="7FCDAAB6"/>
    <w:rsid w:val="7FCE97E5"/>
    <w:rsid w:val="7FCF8BA9"/>
    <w:rsid w:val="7FD04240"/>
    <w:rsid w:val="7FD88AC3"/>
    <w:rsid w:val="7FDA9097"/>
    <w:rsid w:val="7FDB6D29"/>
    <w:rsid w:val="7FE26BC3"/>
    <w:rsid w:val="7FE6F884"/>
    <w:rsid w:val="7FE73B4C"/>
    <w:rsid w:val="7FE75DF3"/>
    <w:rsid w:val="7FEB6E5B"/>
    <w:rsid w:val="7FEE53C4"/>
    <w:rsid w:val="7FF563A5"/>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50C9D"/>
  <w15:chartTrackingRefBased/>
  <w15:docId w15:val="{7B6988FC-6B5B-4752-8626-2FC29CF2D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rsid w:val="00E42CE5"/>
    <w:pPr>
      <w:spacing w:before="120" w:after="120"/>
      <w:jc w:val="both"/>
    </w:pPr>
    <w:rPr>
      <w:rFonts w:ascii="EC Square Sans Pro" w:eastAsia="Times New Roman" w:hAnsi="EC Square Sans Pro" w:cs="Times New Roman"/>
      <w:sz w:val="20"/>
      <w:szCs w:val="20"/>
      <w:lang w:eastAsia="en-GB"/>
    </w:rPr>
  </w:style>
  <w:style w:type="paragraph" w:styleId="Heading1">
    <w:name w:val="heading 1"/>
    <w:basedOn w:val="Normal"/>
    <w:next w:val="Normal"/>
    <w:link w:val="Heading1Char"/>
    <w:uiPriority w:val="9"/>
    <w:qFormat/>
    <w:rsid w:val="0193ED09"/>
    <w:pPr>
      <w:keepNext/>
      <w:outlineLvl w:val="0"/>
    </w:pPr>
    <w:rPr>
      <w:rFonts w:eastAsia="Calibri"/>
      <w:b/>
      <w:bCs/>
      <w:sz w:val="26"/>
      <w:szCs w:val="26"/>
      <w:lang w:eastAsia="en-US"/>
    </w:rPr>
  </w:style>
  <w:style w:type="paragraph" w:styleId="Heading2">
    <w:name w:val="heading 2"/>
    <w:basedOn w:val="Normal"/>
    <w:next w:val="Normal"/>
    <w:link w:val="Heading2Char"/>
    <w:uiPriority w:val="9"/>
    <w:qFormat/>
    <w:rsid w:val="0193ED09"/>
    <w:pPr>
      <w:keepNext/>
      <w:keepLines/>
      <w:spacing w:before="240"/>
      <w:outlineLvl w:val="1"/>
    </w:pPr>
    <w:rPr>
      <w:b/>
      <w:bCs/>
      <w:sz w:val="24"/>
      <w:szCs w:val="24"/>
      <w:lang w:eastAsia="en-US"/>
    </w:rPr>
  </w:style>
  <w:style w:type="paragraph" w:styleId="Heading3">
    <w:name w:val="heading 3"/>
    <w:basedOn w:val="Normal"/>
    <w:next w:val="Normal"/>
    <w:link w:val="Heading3Char"/>
    <w:uiPriority w:val="9"/>
    <w:qFormat/>
    <w:rsid w:val="0193ED09"/>
    <w:pPr>
      <w:keepNext/>
      <w:keepLines/>
      <w:spacing w:before="240"/>
      <w:outlineLvl w:val="2"/>
    </w:pPr>
    <w:rPr>
      <w:b/>
      <w:bCs/>
      <w:lang w:eastAsia="en-US"/>
    </w:rPr>
  </w:style>
  <w:style w:type="paragraph" w:styleId="Heading4">
    <w:name w:val="heading 4"/>
    <w:basedOn w:val="Normal"/>
    <w:next w:val="Normal"/>
    <w:link w:val="Heading4Char"/>
    <w:uiPriority w:val="9"/>
    <w:qFormat/>
    <w:rsid w:val="0193ED09"/>
    <w:pPr>
      <w:keepNext/>
      <w:keepLines/>
      <w:spacing w:before="240"/>
      <w:outlineLvl w:val="3"/>
    </w:pPr>
    <w:rPr>
      <w:b/>
      <w:bCs/>
      <w:i/>
      <w:iCs/>
      <w:lang w:eastAsia="en-US"/>
    </w:rPr>
  </w:style>
  <w:style w:type="paragraph" w:styleId="Heading5">
    <w:name w:val="heading 5"/>
    <w:basedOn w:val="Normal"/>
    <w:next w:val="Normal"/>
    <w:link w:val="Heading5Char"/>
    <w:uiPriority w:val="9"/>
    <w:semiHidden/>
    <w:qFormat/>
    <w:rsid w:val="0193ED09"/>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0193ED09"/>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0193ED09"/>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0193ED0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93ED0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193ED09"/>
    <w:rPr>
      <w:rFonts w:ascii="EC Square Sans Pro" w:eastAsia="Calibri" w:hAnsi="EC Square Sans Pro" w:cs="Times New Roman"/>
      <w:b/>
      <w:bCs/>
      <w:noProof w:val="0"/>
      <w:sz w:val="26"/>
      <w:szCs w:val="26"/>
      <w:lang w:val="en-GB"/>
    </w:rPr>
  </w:style>
  <w:style w:type="character" w:customStyle="1" w:styleId="Heading2Char">
    <w:name w:val="Heading 2 Char"/>
    <w:basedOn w:val="DefaultParagraphFont"/>
    <w:link w:val="Heading2"/>
    <w:uiPriority w:val="9"/>
    <w:rsid w:val="0193ED09"/>
    <w:rPr>
      <w:rFonts w:ascii="EC Square Sans Pro" w:eastAsia="Times New Roman" w:hAnsi="EC Square Sans Pro" w:cs="Times New Roman"/>
      <w:b/>
      <w:bCs/>
      <w:noProof w:val="0"/>
      <w:sz w:val="24"/>
      <w:szCs w:val="24"/>
      <w:lang w:val="en-GB"/>
    </w:rPr>
  </w:style>
  <w:style w:type="character" w:customStyle="1" w:styleId="Heading3Char">
    <w:name w:val="Heading 3 Char"/>
    <w:basedOn w:val="DefaultParagraphFont"/>
    <w:link w:val="Heading3"/>
    <w:uiPriority w:val="9"/>
    <w:rsid w:val="0193ED09"/>
    <w:rPr>
      <w:rFonts w:ascii="EC Square Sans Pro" w:eastAsia="Times New Roman" w:hAnsi="EC Square Sans Pro" w:cs="Times New Roman"/>
      <w:b/>
      <w:bCs/>
      <w:noProof w:val="0"/>
      <w:sz w:val="20"/>
      <w:szCs w:val="20"/>
      <w:lang w:val="en-GB"/>
    </w:rPr>
  </w:style>
  <w:style w:type="character" w:customStyle="1" w:styleId="Heading4Char">
    <w:name w:val="Heading 4 Char"/>
    <w:basedOn w:val="DefaultParagraphFont"/>
    <w:link w:val="Heading4"/>
    <w:uiPriority w:val="9"/>
    <w:rsid w:val="0193ED09"/>
    <w:rPr>
      <w:rFonts w:ascii="EC Square Sans Pro" w:eastAsia="Times New Roman" w:hAnsi="EC Square Sans Pro" w:cs="Times New Roman"/>
      <w:b/>
      <w:bCs/>
      <w:i/>
      <w:iCs/>
      <w:noProof w:val="0"/>
      <w:sz w:val="20"/>
      <w:szCs w:val="20"/>
      <w:lang w:val="en-GB"/>
    </w:rPr>
  </w:style>
  <w:style w:type="character" w:customStyle="1" w:styleId="Heading5Char">
    <w:name w:val="Heading 5 Char"/>
    <w:basedOn w:val="DefaultParagraphFont"/>
    <w:link w:val="Heading5"/>
    <w:uiPriority w:val="9"/>
    <w:semiHidden/>
    <w:rsid w:val="0193ED09"/>
    <w:rPr>
      <w:rFonts w:ascii="EC Square Sans Pro" w:eastAsia="Times New Roman" w:hAnsi="EC Square Sans Pro" w:cs="Times New Roman"/>
      <w:noProof w:val="0"/>
      <w:sz w:val="20"/>
      <w:szCs w:val="20"/>
      <w:lang w:val="en-GB"/>
    </w:rPr>
  </w:style>
  <w:style w:type="paragraph" w:customStyle="1" w:styleId="JRCAbbreviations">
    <w:name w:val="JRC_Abbreviations"/>
    <w:basedOn w:val="Normal"/>
    <w:next w:val="JRCText"/>
    <w:uiPriority w:val="1"/>
    <w:qFormat/>
    <w:rsid w:val="0193ED09"/>
    <w:pPr>
      <w:tabs>
        <w:tab w:val="left" w:pos="851"/>
      </w:tabs>
      <w:ind w:left="851" w:hanging="851"/>
    </w:pPr>
    <w:rPr>
      <w:rFonts w:eastAsia="Calibri"/>
      <w:lang w:eastAsia="en-US"/>
    </w:rPr>
  </w:style>
  <w:style w:type="paragraph" w:customStyle="1" w:styleId="JRCCoversubtitle">
    <w:name w:val="JRC_Cover_subtitle"/>
    <w:basedOn w:val="Normal"/>
    <w:link w:val="JRCCoversubtitleChar"/>
    <w:uiPriority w:val="1"/>
    <w:qFormat/>
    <w:rsid w:val="0193ED09"/>
    <w:pPr>
      <w:spacing w:after="600" w:line="400" w:lineRule="exact"/>
      <w:ind w:left="-567"/>
      <w:jc w:val="left"/>
    </w:pPr>
    <w:rPr>
      <w:rFonts w:eastAsia="Calibri"/>
      <w:i/>
      <w:iCs/>
      <w:color w:val="5E66AB"/>
      <w:sz w:val="32"/>
      <w:szCs w:val="32"/>
      <w:lang w:eastAsia="en-US"/>
    </w:rPr>
  </w:style>
  <w:style w:type="paragraph" w:customStyle="1" w:styleId="JRCCovertitle">
    <w:name w:val="JRC_Cover_title"/>
    <w:basedOn w:val="Normal"/>
    <w:link w:val="JRCCovertitleChar"/>
    <w:uiPriority w:val="1"/>
    <w:rsid w:val="0193ED09"/>
    <w:pPr>
      <w:spacing w:before="600" w:after="600" w:line="640" w:lineRule="exact"/>
      <w:ind w:left="-567"/>
      <w:jc w:val="left"/>
    </w:pPr>
    <w:rPr>
      <w:rFonts w:eastAsia="Calibri"/>
      <w:sz w:val="56"/>
      <w:szCs w:val="56"/>
    </w:rPr>
  </w:style>
  <w:style w:type="paragraph" w:customStyle="1" w:styleId="JRCEquation">
    <w:name w:val="JRC_Equation"/>
    <w:basedOn w:val="Normal"/>
    <w:next w:val="JRCText"/>
    <w:uiPriority w:val="1"/>
    <w:qFormat/>
    <w:rsid w:val="0193ED09"/>
    <w:pPr>
      <w:spacing w:before="360" w:after="360"/>
      <w:jc w:val="center"/>
    </w:pPr>
    <w:rPr>
      <w:rFonts w:eastAsia="Calibri"/>
      <w:lang w:eastAsia="en-US"/>
    </w:rPr>
  </w:style>
  <w:style w:type="paragraph" w:customStyle="1" w:styleId="JRCFigurecaption">
    <w:name w:val="JRC_Figure_caption"/>
    <w:basedOn w:val="Normal"/>
    <w:next w:val="JRCText"/>
    <w:qFormat/>
    <w:rsid w:val="0193ED09"/>
    <w:pPr>
      <w:keepNext/>
      <w:spacing w:before="360"/>
      <w:jc w:val="center"/>
    </w:pPr>
    <w:rPr>
      <w:rFonts w:eastAsia="Calibri"/>
      <w:sz w:val="18"/>
      <w:szCs w:val="18"/>
      <w:lang w:eastAsia="en-US"/>
    </w:rPr>
  </w:style>
  <w:style w:type="paragraph" w:customStyle="1" w:styleId="JRCLevel-1Fronttitle">
    <w:name w:val="JRC_Level-1_Front_title"/>
    <w:basedOn w:val="Normal"/>
    <w:next w:val="JRCText"/>
    <w:link w:val="JRCLevel-1FronttitleChar"/>
    <w:uiPriority w:val="1"/>
    <w:qFormat/>
    <w:rsid w:val="0193ED09"/>
    <w:pPr>
      <w:keepNext/>
      <w:spacing w:before="0"/>
      <w:jc w:val="left"/>
    </w:pPr>
    <w:rPr>
      <w:b/>
      <w:bCs/>
      <w:sz w:val="24"/>
      <w:szCs w:val="24"/>
    </w:rPr>
  </w:style>
  <w:style w:type="character" w:customStyle="1" w:styleId="JRCLevel-1FronttitleChar">
    <w:name w:val="JRC_Level-1_Front_title Char"/>
    <w:link w:val="JRCLevel-1Fronttitle"/>
    <w:uiPriority w:val="1"/>
    <w:rsid w:val="0193ED09"/>
    <w:rPr>
      <w:rFonts w:ascii="EC Square Sans Pro" w:eastAsia="Times New Roman" w:hAnsi="EC Square Sans Pro" w:cs="Times New Roman"/>
      <w:b/>
      <w:bCs/>
      <w:noProof w:val="0"/>
      <w:sz w:val="24"/>
      <w:szCs w:val="24"/>
      <w:lang w:eastAsia="en-GB"/>
    </w:rPr>
  </w:style>
  <w:style w:type="paragraph" w:customStyle="1" w:styleId="JRCLevel-2Backtitle">
    <w:name w:val="JRC_Level-2_Back_title"/>
    <w:basedOn w:val="Normal"/>
    <w:next w:val="JRCText"/>
    <w:link w:val="JRCLevel-2BacktitleChar"/>
    <w:uiPriority w:val="1"/>
    <w:qFormat/>
    <w:rsid w:val="0193ED09"/>
    <w:pPr>
      <w:keepNext/>
      <w:jc w:val="left"/>
      <w:outlineLvl w:val="1"/>
    </w:pPr>
    <w:rPr>
      <w:rFonts w:eastAsia="Calibri"/>
      <w:b/>
      <w:bCs/>
      <w:lang w:eastAsia="en-US"/>
    </w:rPr>
  </w:style>
  <w:style w:type="character" w:customStyle="1" w:styleId="JRCLevel-2BacktitleChar">
    <w:name w:val="JRC_Level-2_Back_title Char"/>
    <w:link w:val="JRCLevel-2Backtitle"/>
    <w:uiPriority w:val="1"/>
    <w:rsid w:val="0193ED09"/>
    <w:rPr>
      <w:rFonts w:ascii="EC Square Sans Pro" w:hAnsi="EC Square Sans Pro" w:cs="Times New Roman"/>
      <w:b/>
      <w:bCs/>
      <w:noProof w:val="0"/>
      <w:sz w:val="20"/>
      <w:szCs w:val="20"/>
    </w:rPr>
  </w:style>
  <w:style w:type="paragraph" w:customStyle="1" w:styleId="JRCLevel-2Frontsmalltitle">
    <w:name w:val="JRC_Level-2_Front_small_title"/>
    <w:basedOn w:val="Normal"/>
    <w:next w:val="JRCText"/>
    <w:uiPriority w:val="1"/>
    <w:qFormat/>
    <w:rsid w:val="0193ED09"/>
    <w:pPr>
      <w:keepNext/>
      <w:spacing w:before="240"/>
      <w:jc w:val="left"/>
    </w:pPr>
    <w:rPr>
      <w:rFonts w:eastAsia="Calibri"/>
      <w:b/>
      <w:bCs/>
      <w:i/>
      <w:iCs/>
      <w:lang w:eastAsia="en-US"/>
    </w:rPr>
  </w:style>
  <w:style w:type="paragraph" w:customStyle="1" w:styleId="JRCTabletitle">
    <w:name w:val="JRC_Table_title"/>
    <w:basedOn w:val="Normal"/>
    <w:qFormat/>
    <w:rsid w:val="0193ED09"/>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0193ED09"/>
    <w:pPr>
      <w:jc w:val="left"/>
    </w:pPr>
    <w:rPr>
      <w:rFonts w:eastAsia="Calibri"/>
      <w:lang w:eastAsia="en-US"/>
    </w:rPr>
  </w:style>
  <w:style w:type="paragraph" w:customStyle="1" w:styleId="JRCText">
    <w:name w:val="JRC_Text"/>
    <w:basedOn w:val="Normal"/>
    <w:link w:val="JRCTextZchn"/>
    <w:qFormat/>
    <w:rsid w:val="0193ED09"/>
    <w:rPr>
      <w:rFonts w:eastAsia="Calibri"/>
      <w:lang w:eastAsia="en-US"/>
    </w:rPr>
  </w:style>
  <w:style w:type="paragraph" w:customStyle="1" w:styleId="JRCTextbulletedlist1">
    <w:name w:val="JRC_Text_bulleted_list1"/>
    <w:basedOn w:val="Normal"/>
    <w:uiPriority w:val="1"/>
    <w:qFormat/>
    <w:rsid w:val="0193ED09"/>
    <w:pPr>
      <w:numPr>
        <w:numId w:val="3"/>
      </w:numPr>
    </w:pPr>
  </w:style>
  <w:style w:type="paragraph" w:styleId="TOC1">
    <w:name w:val="toc 1"/>
    <w:basedOn w:val="Normal"/>
    <w:next w:val="Normal"/>
    <w:uiPriority w:val="39"/>
    <w:unhideWhenUsed/>
    <w:rsid w:val="0193ED09"/>
    <w:pPr>
      <w:tabs>
        <w:tab w:val="left" w:pos="284"/>
        <w:tab w:val="right" w:leader="dot" w:pos="9016"/>
      </w:tabs>
      <w:spacing w:after="100"/>
      <w:jc w:val="left"/>
    </w:pPr>
    <w:rPr>
      <w:rFonts w:ascii="EC Square Sans Cond Pro" w:eastAsia="Calibri" w:hAnsi="EC Square Sans Cond Pro"/>
      <w:noProof/>
      <w:lang w:eastAsia="en-US"/>
    </w:rPr>
  </w:style>
  <w:style w:type="paragraph" w:styleId="TOC2">
    <w:name w:val="toc 2"/>
    <w:basedOn w:val="Normal"/>
    <w:next w:val="Normal"/>
    <w:uiPriority w:val="39"/>
    <w:unhideWhenUsed/>
    <w:rsid w:val="0193ED09"/>
    <w:pPr>
      <w:tabs>
        <w:tab w:val="left" w:pos="709"/>
        <w:tab w:val="right" w:leader="dot" w:pos="9016"/>
      </w:tabs>
      <w:spacing w:after="100"/>
      <w:ind w:left="284"/>
      <w:jc w:val="left"/>
    </w:pPr>
    <w:rPr>
      <w:rFonts w:ascii="EC Square Sans Cond Pro" w:eastAsia="Calibri" w:hAnsi="EC Square Sans Cond Pro"/>
      <w:noProof/>
      <w:lang w:eastAsia="en-US"/>
    </w:rPr>
  </w:style>
  <w:style w:type="paragraph" w:styleId="TOC3">
    <w:name w:val="toc 3"/>
    <w:basedOn w:val="Normal"/>
    <w:next w:val="Normal"/>
    <w:uiPriority w:val="39"/>
    <w:unhideWhenUsed/>
    <w:rsid w:val="0193ED09"/>
    <w:pPr>
      <w:tabs>
        <w:tab w:val="left" w:pos="1276"/>
        <w:tab w:val="right" w:leader="dot" w:pos="9016"/>
      </w:tabs>
      <w:spacing w:after="100"/>
      <w:ind w:left="567"/>
      <w:jc w:val="left"/>
    </w:pPr>
    <w:rPr>
      <w:rFonts w:ascii="EC Square Sans Cond Pro" w:eastAsia="Calibri" w:hAnsi="EC Square Sans Cond Pro"/>
      <w:noProof/>
      <w:lang w:eastAsia="en-US"/>
    </w:rPr>
  </w:style>
  <w:style w:type="paragraph" w:styleId="TOC4">
    <w:name w:val="toc 4"/>
    <w:basedOn w:val="Normal"/>
    <w:next w:val="Normal"/>
    <w:uiPriority w:val="39"/>
    <w:unhideWhenUsed/>
    <w:rsid w:val="0193ED09"/>
    <w:pPr>
      <w:tabs>
        <w:tab w:val="left" w:pos="1701"/>
        <w:tab w:val="right" w:leader="dot" w:pos="9016"/>
      </w:tabs>
      <w:spacing w:after="100"/>
      <w:ind w:left="851"/>
      <w:jc w:val="left"/>
    </w:pPr>
    <w:rPr>
      <w:rFonts w:ascii="EC Square Sans Cond Pro" w:eastAsia="Calibri" w:hAnsi="EC Square Sans Cond Pro"/>
      <w:noProof/>
      <w:lang w:eastAsia="en-US"/>
    </w:rPr>
  </w:style>
  <w:style w:type="paragraph" w:styleId="TOC5">
    <w:name w:val="toc 5"/>
    <w:basedOn w:val="Normal"/>
    <w:next w:val="Normal"/>
    <w:uiPriority w:val="39"/>
    <w:unhideWhenUsed/>
    <w:rsid w:val="0193ED09"/>
    <w:pPr>
      <w:tabs>
        <w:tab w:val="left" w:pos="2268"/>
        <w:tab w:val="right" w:leader="dot" w:pos="9016"/>
      </w:tabs>
      <w:spacing w:after="100"/>
      <w:ind w:left="1134"/>
      <w:jc w:val="left"/>
    </w:pPr>
    <w:rPr>
      <w:rFonts w:ascii="EC Square Sans Cond Pro" w:eastAsia="Calibri" w:hAnsi="EC Square Sans Cond Pro"/>
      <w:noProof/>
      <w:lang w:eastAsia="en-US"/>
    </w:rPr>
  </w:style>
  <w:style w:type="paragraph" w:styleId="TOCHeading">
    <w:name w:val="TOC Heading"/>
    <w:basedOn w:val="Normal"/>
    <w:next w:val="Normal"/>
    <w:uiPriority w:val="39"/>
    <w:unhideWhenUsed/>
    <w:qFormat/>
    <w:rsid w:val="0193ED09"/>
    <w:pPr>
      <w:keepNext/>
      <w:keepLines/>
      <w:spacing w:after="480"/>
    </w:pPr>
    <w:rPr>
      <w:b/>
      <w:bCs/>
      <w:sz w:val="26"/>
      <w:szCs w:val="26"/>
      <w:lang w:eastAsia="ja-JP"/>
    </w:rPr>
  </w:style>
  <w:style w:type="paragraph" w:styleId="FootnoteText">
    <w:name w:val="footnote text"/>
    <w:aliases w:val="Char,Fußnote,Carattere,fn,Footnotes,Footnote ak,Footnote Text Char1,Footnote Text Char Char,fn Char Char,footnote text Char Char,Footnotes Char Char,Footnote ak Char Char,fn Char1,footnote text Char1,Footnotes Char1,ft"/>
    <w:basedOn w:val="Normal"/>
    <w:link w:val="FootnoteTextChar"/>
    <w:uiPriority w:val="99"/>
    <w:unhideWhenUsed/>
    <w:rsid w:val="0193ED09"/>
    <w:pPr>
      <w:spacing w:before="0" w:after="0"/>
      <w:ind w:left="357" w:hanging="357"/>
    </w:pPr>
    <w:rPr>
      <w:rFonts w:eastAsiaTheme="minorEastAsia" w:cstheme="minorBidi"/>
      <w:sz w:val="16"/>
      <w:szCs w:val="16"/>
      <w:lang w:eastAsia="en-US"/>
    </w:rPr>
  </w:style>
  <w:style w:type="character" w:customStyle="1" w:styleId="FootnoteTextChar">
    <w:name w:val="Footnote Text Char"/>
    <w:aliases w:val="Char Char,Fußnote Char,Carattere Char,fn Char,Footnotes Char,Footnote ak Char,Footnote Text Char1 Char,Footnote Text Char Char Char,fn Char Char Char,footnote text Char Char Char,Footnotes Char Char Char,Footnote ak Char Char Char"/>
    <w:basedOn w:val="DefaultParagraphFont"/>
    <w:link w:val="FootnoteText"/>
    <w:uiPriority w:val="99"/>
    <w:rsid w:val="0193ED09"/>
    <w:rPr>
      <w:rFonts w:ascii="EC Square Sans Pro" w:eastAsiaTheme="minorEastAsia" w:hAnsi="EC Square Sans Pro" w:cstheme="minorBidi"/>
      <w:noProof w:val="0"/>
      <w:sz w:val="16"/>
      <w:szCs w:val="16"/>
      <w:lang w:val="en-GB"/>
    </w:rPr>
  </w:style>
  <w:style w:type="character" w:styleId="FootnoteReference">
    <w:name w:val="footnote reference"/>
    <w:aliases w:val="SUPERS,Odwołanie przypisu,Times 10 Point,Exposant 3 Point,Footnote symbol,Footnote reference number,number,Footnote Reference Superscript,stylish,Знак сноски-FN,Ciae niinee-FN,Знак сноски 1,(Footnote Reference),FR,f"/>
    <w:basedOn w:val="DefaultParagraphFont"/>
    <w:link w:val="CharCharChar1"/>
    <w:uiPriority w:val="99"/>
    <w:unhideWhenUsed/>
    <w:qFormat/>
    <w:rsid w:val="00F7732B"/>
    <w:rPr>
      <w:rFonts w:ascii="EC Square Sans Pro" w:hAnsi="EC Square Sans Pro"/>
      <w:vertAlign w:val="superscript"/>
      <w:lang w:val="en-GB"/>
    </w:rPr>
  </w:style>
  <w:style w:type="paragraph" w:customStyle="1" w:styleId="JRCLevel-2title">
    <w:name w:val="JRC_Level-2_title"/>
    <w:basedOn w:val="Heading2"/>
    <w:next w:val="JRCText"/>
    <w:qFormat/>
    <w:rsid w:val="00C61CFA"/>
    <w:pPr>
      <w:ind w:left="1427" w:hanging="576"/>
    </w:pPr>
    <w:rPr>
      <w:color w:val="6CA644"/>
      <w:sz w:val="32"/>
      <w:szCs w:val="32"/>
    </w:rPr>
  </w:style>
  <w:style w:type="paragraph" w:customStyle="1" w:styleId="JRCLevel-1title">
    <w:name w:val="JRC_Level-1_title"/>
    <w:basedOn w:val="Heading1"/>
    <w:next w:val="JRCText"/>
    <w:qFormat/>
    <w:rsid w:val="00C61CFA"/>
    <w:pPr>
      <w:keepLines/>
      <w:spacing w:before="0"/>
      <w:ind w:left="432" w:hanging="432"/>
      <w:jc w:val="left"/>
    </w:pPr>
    <w:rPr>
      <w:color w:val="6CA644"/>
      <w:sz w:val="56"/>
      <w:szCs w:val="56"/>
    </w:rPr>
  </w:style>
  <w:style w:type="paragraph" w:customStyle="1" w:styleId="JRCTextbulletedlist2">
    <w:name w:val="JRC_Text_bulleted_list2"/>
    <w:basedOn w:val="Normal"/>
    <w:uiPriority w:val="1"/>
    <w:qFormat/>
    <w:rsid w:val="0193ED09"/>
    <w:pPr>
      <w:numPr>
        <w:ilvl w:val="1"/>
        <w:numId w:val="4"/>
      </w:numPr>
    </w:pPr>
  </w:style>
  <w:style w:type="paragraph" w:customStyle="1" w:styleId="JRCLevel-4title">
    <w:name w:val="JRC_Level-4_title"/>
    <w:basedOn w:val="Normal"/>
    <w:next w:val="JRCText"/>
    <w:qFormat/>
    <w:rsid w:val="0193ED09"/>
    <w:pPr>
      <w:keepNext/>
      <w:keepLines/>
      <w:spacing w:before="240"/>
      <w:ind w:left="862" w:hanging="862"/>
      <w:jc w:val="left"/>
    </w:pPr>
    <w:rPr>
      <w:b/>
      <w:bCs/>
      <w:i/>
      <w:iCs/>
    </w:rPr>
  </w:style>
  <w:style w:type="paragraph" w:customStyle="1" w:styleId="JRCLevel-3title">
    <w:name w:val="JRC_Level-3_title"/>
    <w:basedOn w:val="Heading3"/>
    <w:next w:val="JRCText"/>
    <w:qFormat/>
    <w:rsid w:val="00C61CFA"/>
    <w:pPr>
      <w:spacing w:line="240" w:lineRule="auto"/>
      <w:ind w:left="720" w:hanging="720"/>
    </w:pPr>
    <w:rPr>
      <w:b w:val="0"/>
      <w:color w:val="85BD5F"/>
      <w:sz w:val="22"/>
      <w:szCs w:val="22"/>
    </w:rPr>
  </w:style>
  <w:style w:type="paragraph" w:customStyle="1" w:styleId="JRCLevel-5title">
    <w:name w:val="JRC_Level-5_title"/>
    <w:basedOn w:val="Normal"/>
    <w:next w:val="JRCText"/>
    <w:qFormat/>
    <w:rsid w:val="0193ED09"/>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0193ED0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193ED09"/>
    <w:rPr>
      <w:rFonts w:ascii="Tahoma" w:eastAsia="Times New Roman" w:hAnsi="Tahoma" w:cs="Tahoma"/>
      <w:noProof w:val="0"/>
      <w:sz w:val="16"/>
      <w:szCs w:val="16"/>
      <w:lang w:val="en-GB" w:eastAsia="en-GB"/>
    </w:rPr>
  </w:style>
  <w:style w:type="paragraph" w:customStyle="1" w:styleId="JRCLevel-1Backtitle">
    <w:name w:val="JRC_Level-1_Back_title"/>
    <w:basedOn w:val="Normal"/>
    <w:next w:val="JRCText"/>
    <w:uiPriority w:val="1"/>
    <w:qFormat/>
    <w:rsid w:val="0193ED09"/>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customStyle="1" w:styleId="JRCBoxtitle">
    <w:name w:val="JRC_Box_title"/>
    <w:basedOn w:val="Normal"/>
    <w:uiPriority w:val="1"/>
    <w:qFormat/>
    <w:rsid w:val="0193ED09"/>
    <w:pPr>
      <w:keepNext/>
      <w:spacing w:before="240" w:after="0"/>
    </w:pPr>
    <w:rPr>
      <w:sz w:val="18"/>
      <w:szCs w:val="18"/>
    </w:rPr>
  </w:style>
  <w:style w:type="paragraph" w:customStyle="1" w:styleId="JRCBoxtext">
    <w:name w:val="JRC_Box_text"/>
    <w:basedOn w:val="Normal"/>
    <w:qFormat/>
    <w:rsid w:val="0193ED09"/>
    <w:pPr>
      <w:keepLines/>
    </w:pPr>
  </w:style>
  <w:style w:type="paragraph" w:customStyle="1" w:styleId="JRCBoxbulletlist">
    <w:name w:val="JRC_Box_bullet_list"/>
    <w:basedOn w:val="Normal"/>
    <w:uiPriority w:val="1"/>
    <w:qFormat/>
    <w:rsid w:val="0193ED09"/>
    <w:pPr>
      <w:numPr>
        <w:numId w:val="2"/>
      </w:numPr>
    </w:pPr>
  </w:style>
  <w:style w:type="paragraph" w:customStyle="1" w:styleId="JRCTextnumberedlist1">
    <w:name w:val="JRC_Text_numbered_list1"/>
    <w:basedOn w:val="Normal"/>
    <w:uiPriority w:val="1"/>
    <w:qFormat/>
    <w:rsid w:val="0193ED09"/>
    <w:pPr>
      <w:numPr>
        <w:numId w:val="5"/>
      </w:numPr>
    </w:pPr>
  </w:style>
  <w:style w:type="paragraph" w:styleId="Header">
    <w:name w:val="header"/>
    <w:basedOn w:val="Normal"/>
    <w:link w:val="HeaderChar"/>
    <w:uiPriority w:val="99"/>
    <w:unhideWhenUsed/>
    <w:rsid w:val="0193ED09"/>
    <w:pPr>
      <w:tabs>
        <w:tab w:val="center" w:pos="4513"/>
        <w:tab w:val="right" w:pos="9026"/>
      </w:tabs>
      <w:spacing w:before="0" w:after="0"/>
    </w:pPr>
  </w:style>
  <w:style w:type="character" w:customStyle="1" w:styleId="HeaderChar">
    <w:name w:val="Header Char"/>
    <w:basedOn w:val="DefaultParagraphFont"/>
    <w:link w:val="Header"/>
    <w:uiPriority w:val="99"/>
    <w:rsid w:val="0193ED09"/>
    <w:rPr>
      <w:rFonts w:ascii="EC Square Sans Pro" w:eastAsia="Times New Roman" w:hAnsi="EC Square Sans Pro" w:cs="Times New Roman"/>
      <w:noProof w:val="0"/>
      <w:sz w:val="20"/>
      <w:szCs w:val="20"/>
      <w:lang w:val="en-GB" w:eastAsia="en-GB"/>
    </w:rPr>
  </w:style>
  <w:style w:type="paragraph" w:styleId="Footer">
    <w:name w:val="footer"/>
    <w:basedOn w:val="Normal"/>
    <w:link w:val="FooterChar"/>
    <w:uiPriority w:val="99"/>
    <w:unhideWhenUsed/>
    <w:rsid w:val="0193ED09"/>
    <w:pPr>
      <w:tabs>
        <w:tab w:val="center" w:pos="4513"/>
        <w:tab w:val="right" w:pos="9026"/>
      </w:tabs>
      <w:spacing w:before="0" w:after="0"/>
    </w:pPr>
  </w:style>
  <w:style w:type="character" w:customStyle="1" w:styleId="FooterChar">
    <w:name w:val="Footer Char"/>
    <w:basedOn w:val="DefaultParagraphFont"/>
    <w:link w:val="Footer"/>
    <w:uiPriority w:val="99"/>
    <w:rsid w:val="0193ED09"/>
    <w:rPr>
      <w:rFonts w:ascii="EC Square Sans Pro" w:eastAsia="Times New Roman" w:hAnsi="EC Square Sans Pro" w:cs="Times New Roman"/>
      <w:noProof w:val="0"/>
      <w:sz w:val="20"/>
      <w:szCs w:val="20"/>
      <w:lang w:val="en-GB" w:eastAsia="en-GB"/>
    </w:rPr>
  </w:style>
  <w:style w:type="paragraph" w:customStyle="1" w:styleId="JRCCoverAuthor">
    <w:name w:val="JRC_Cover_Author"/>
    <w:basedOn w:val="Normal"/>
    <w:uiPriority w:val="1"/>
    <w:qFormat/>
    <w:rsid w:val="0193ED09"/>
    <w:pPr>
      <w:jc w:val="left"/>
    </w:pPr>
    <w:rPr>
      <w:color w:val="7F7F7F" w:themeColor="text1" w:themeTint="80"/>
    </w:rPr>
  </w:style>
  <w:style w:type="paragraph" w:customStyle="1" w:styleId="JRCCoveryear">
    <w:name w:val="JRC_Cover_year"/>
    <w:basedOn w:val="Normal"/>
    <w:uiPriority w:val="1"/>
    <w:rsid w:val="0193ED09"/>
    <w:pPr>
      <w:spacing w:before="0" w:after="0"/>
      <w:jc w:val="left"/>
    </w:pPr>
  </w:style>
  <w:style w:type="paragraph" w:customStyle="1" w:styleId="JRCCoverclass">
    <w:name w:val="JRC_Cover_class"/>
    <w:basedOn w:val="Normal"/>
    <w:uiPriority w:val="1"/>
    <w:rsid w:val="0193ED09"/>
    <w:rPr>
      <w:color w:val="FF0000"/>
    </w:rPr>
  </w:style>
  <w:style w:type="paragraph" w:customStyle="1" w:styleId="JRCCoverEURISSN">
    <w:name w:val="JRC_Cover_EUR_ISSN"/>
    <w:basedOn w:val="Normal"/>
    <w:link w:val="JRCCoverEURISSNChar"/>
    <w:uiPriority w:val="1"/>
    <w:rsid w:val="0193ED09"/>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OBC Bullet,Normal 1,Task Body,Viñetas (Inicio Parrafo),3 Txt tabla,Zerrenda-paragrafoa,Fiche List Paragraph,Dot pt,F5 List Paragraph,List Paragraph1,No Spacing1,List Paragraph Char Char Char,Indicator Text,Numbered Para 1"/>
    <w:basedOn w:val="Normal"/>
    <w:link w:val="ListParagraphChar"/>
    <w:uiPriority w:val="34"/>
    <w:qFormat/>
    <w:rsid w:val="0193ED09"/>
    <w:pPr>
      <w:ind w:left="720"/>
      <w:contextualSpacing/>
    </w:pPr>
    <w:rPr>
      <w:rFonts w:eastAsiaTheme="minorEastAsia" w:cstheme="minorBidi"/>
      <w:lang w:eastAsia="en-US"/>
    </w:rPr>
  </w:style>
  <w:style w:type="paragraph" w:customStyle="1" w:styleId="JRCCovertext">
    <w:name w:val="JRC_Cover_text"/>
    <w:basedOn w:val="Normal"/>
    <w:qFormat/>
    <w:rsid w:val="0193ED09"/>
    <w:pPr>
      <w:widowControl w:val="0"/>
      <w:spacing w:before="0" w:after="0" w:line="200" w:lineRule="exact"/>
    </w:pPr>
    <w:rPr>
      <w:sz w:val="16"/>
      <w:szCs w:val="16"/>
    </w:rPr>
  </w:style>
  <w:style w:type="paragraph" w:customStyle="1" w:styleId="JRCTablesource">
    <w:name w:val="JRC_Table_source"/>
    <w:basedOn w:val="Normal"/>
    <w:next w:val="JRCText"/>
    <w:uiPriority w:val="1"/>
    <w:qFormat/>
    <w:rsid w:val="0193ED09"/>
    <w:pPr>
      <w:spacing w:before="0"/>
    </w:pPr>
    <w:rPr>
      <w:i/>
      <w:iCs/>
      <w:sz w:val="16"/>
      <w:szCs w:val="16"/>
    </w:rPr>
  </w:style>
  <w:style w:type="paragraph" w:customStyle="1" w:styleId="JRCFiguresource">
    <w:name w:val="JRC_Figure_source"/>
    <w:basedOn w:val="Normal"/>
    <w:next w:val="JRCText"/>
    <w:qFormat/>
    <w:rsid w:val="0193ED09"/>
    <w:pPr>
      <w:spacing w:before="0" w:after="360"/>
      <w:jc w:val="center"/>
    </w:pPr>
    <w:rPr>
      <w:i/>
      <w:iCs/>
      <w:sz w:val="16"/>
      <w:szCs w:val="16"/>
    </w:rPr>
  </w:style>
  <w:style w:type="paragraph" w:customStyle="1" w:styleId="JRCTablenote">
    <w:name w:val="JRC_Table_note"/>
    <w:basedOn w:val="Normal"/>
    <w:qFormat/>
    <w:rsid w:val="0193ED09"/>
    <w:pPr>
      <w:spacing w:before="0"/>
      <w:ind w:left="357" w:hanging="357"/>
      <w:contextualSpacing/>
    </w:pPr>
    <w:rPr>
      <w:sz w:val="16"/>
      <w:szCs w:val="16"/>
    </w:rPr>
  </w:style>
  <w:style w:type="paragraph" w:customStyle="1" w:styleId="JRCTextnumberedlist2">
    <w:name w:val="JRC_Text_numbered_list2"/>
    <w:basedOn w:val="Normal"/>
    <w:uiPriority w:val="1"/>
    <w:qFormat/>
    <w:rsid w:val="0193ED09"/>
    <w:pPr>
      <w:numPr>
        <w:ilvl w:val="1"/>
        <w:numId w:val="5"/>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0193ED09"/>
    <w:pPr>
      <w:spacing w:after="100"/>
      <w:ind w:left="1000"/>
    </w:pPr>
    <w:rPr>
      <w:rFonts w:ascii="EC Square Sans Cond Pro" w:hAnsi="EC Square Sans Cond Pro"/>
    </w:rPr>
  </w:style>
  <w:style w:type="paragraph" w:styleId="TOC7">
    <w:name w:val="toc 7"/>
    <w:basedOn w:val="Normal"/>
    <w:next w:val="Normal"/>
    <w:uiPriority w:val="39"/>
    <w:semiHidden/>
    <w:unhideWhenUsed/>
    <w:rsid w:val="0193ED09"/>
    <w:pPr>
      <w:spacing w:after="100"/>
      <w:ind w:left="1200"/>
    </w:pPr>
    <w:rPr>
      <w:rFonts w:ascii="EC Square Sans Cond Pro" w:hAnsi="EC Square Sans Cond Pro"/>
    </w:rPr>
  </w:style>
  <w:style w:type="paragraph" w:styleId="TOC8">
    <w:name w:val="toc 8"/>
    <w:basedOn w:val="Normal"/>
    <w:next w:val="Normal"/>
    <w:uiPriority w:val="39"/>
    <w:semiHidden/>
    <w:unhideWhenUsed/>
    <w:rsid w:val="0193ED09"/>
    <w:pPr>
      <w:spacing w:after="100"/>
      <w:ind w:left="1400"/>
    </w:pPr>
    <w:rPr>
      <w:rFonts w:ascii="EC Square Sans Cond Pro" w:hAnsi="EC Square Sans Cond Pro"/>
    </w:rPr>
  </w:style>
  <w:style w:type="paragraph" w:styleId="TOC9">
    <w:name w:val="toc 9"/>
    <w:basedOn w:val="Normal"/>
    <w:next w:val="Normal"/>
    <w:uiPriority w:val="39"/>
    <w:semiHidden/>
    <w:unhideWhenUsed/>
    <w:rsid w:val="0193ED09"/>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customStyle="1" w:styleId="JRCFrontCoverPublicationCategory">
    <w:name w:val="JRC_Front_Cover_Publication_Category"/>
    <w:basedOn w:val="Normal"/>
    <w:link w:val="JRCFrontCoverPublicationCategoryChar"/>
    <w:uiPriority w:val="1"/>
    <w:qFormat/>
    <w:rsid w:val="0193ED09"/>
    <w:pPr>
      <w:spacing w:before="0" w:after="0"/>
      <w:jc w:val="center"/>
    </w:pPr>
    <w:rPr>
      <w:rFonts w:ascii="EC Square Sans Pro Light" w:hAnsi="EC Square Sans Pro Light"/>
      <w:color w:val="FFFFFF" w:themeColor="background1"/>
      <w:sz w:val="29"/>
      <w:szCs w:val="29"/>
    </w:rPr>
  </w:style>
  <w:style w:type="paragraph" w:customStyle="1" w:styleId="JRCCoverTitle0">
    <w:name w:val="JRC_Cover_Title"/>
    <w:basedOn w:val="JRCCovertitle"/>
    <w:link w:val="JRCCoverTitleChar0"/>
    <w:uiPriority w:val="1"/>
    <w:qFormat/>
    <w:rsid w:val="0193ED09"/>
    <w:rPr>
      <w:rFonts w:ascii="EC Square Sans Pro Light" w:hAnsi="EC Square Sans Pro Light"/>
      <w:color w:val="5E66AB"/>
    </w:rPr>
  </w:style>
  <w:style w:type="character" w:customStyle="1" w:styleId="JRCFrontCoverPublicationCategoryChar">
    <w:name w:val="JRC_Front_Cover_Publication_Category Char"/>
    <w:basedOn w:val="DefaultParagraphFont"/>
    <w:link w:val="JRCFrontCoverPublicationCategory"/>
    <w:uiPriority w:val="1"/>
    <w:rsid w:val="0193ED09"/>
    <w:rPr>
      <w:rFonts w:ascii="EC Square Sans Pro Light" w:eastAsia="Times New Roman" w:hAnsi="EC Square Sans Pro Light" w:cs="Times New Roman"/>
      <w:noProof w:val="0"/>
      <w:color w:val="FFFFFF" w:themeColor="background1"/>
      <w:sz w:val="29"/>
      <w:szCs w:val="29"/>
      <w:lang w:val="en-GB" w:eastAsia="en-GB"/>
    </w:rPr>
  </w:style>
  <w:style w:type="paragraph" w:customStyle="1" w:styleId="JRCCoverSubtitle0">
    <w:name w:val="JRC_Cover_Subtitle"/>
    <w:basedOn w:val="JRCCoversubtitle"/>
    <w:link w:val="JRCCoverSubtitleChar0"/>
    <w:uiPriority w:val="1"/>
    <w:qFormat/>
    <w:rsid w:val="0193ED09"/>
  </w:style>
  <w:style w:type="character" w:customStyle="1" w:styleId="JRCCovertitleChar">
    <w:name w:val="JRC_Cover_title Char"/>
    <w:basedOn w:val="DefaultParagraphFont"/>
    <w:link w:val="JRCCovertitle"/>
    <w:uiPriority w:val="1"/>
    <w:rsid w:val="0193ED09"/>
    <w:rPr>
      <w:rFonts w:ascii="EC Square Sans Pro" w:eastAsia="Calibri" w:hAnsi="EC Square Sans Pro" w:cs="Times New Roman"/>
      <w:noProof w:val="0"/>
      <w:sz w:val="56"/>
      <w:szCs w:val="56"/>
      <w:lang w:val="en-GB" w:eastAsia="en-GB"/>
    </w:rPr>
  </w:style>
  <w:style w:type="character" w:customStyle="1" w:styleId="JRCCoverTitleChar0">
    <w:name w:val="JRC_Cover_Title Char"/>
    <w:basedOn w:val="JRCCovertitleChar"/>
    <w:link w:val="JRCCoverTitle0"/>
    <w:uiPriority w:val="1"/>
    <w:rsid w:val="0193ED09"/>
    <w:rPr>
      <w:rFonts w:ascii="EC Square Sans Pro Light" w:eastAsia="Calibri" w:hAnsi="EC Square Sans Pro Light" w:cs="Times New Roman"/>
      <w:noProof w:val="0"/>
      <w:color w:val="5E66AB"/>
      <w:sz w:val="56"/>
      <w:szCs w:val="56"/>
      <w:lang w:val="en-GB" w:eastAsia="en-GB"/>
    </w:rPr>
  </w:style>
  <w:style w:type="paragraph" w:customStyle="1" w:styleId="JRCCoverISSN">
    <w:name w:val="JRC_Cover_ISSN"/>
    <w:basedOn w:val="JRCCoverEURISSN"/>
    <w:link w:val="JRCCoverISSNChar"/>
    <w:uiPriority w:val="1"/>
    <w:qFormat/>
    <w:rsid w:val="0193ED09"/>
  </w:style>
  <w:style w:type="character" w:customStyle="1" w:styleId="JRCCoversubtitleChar">
    <w:name w:val="JRC_Cover_subtitle Char"/>
    <w:basedOn w:val="DefaultParagraphFont"/>
    <w:link w:val="JRCCoversubtitle"/>
    <w:uiPriority w:val="1"/>
    <w:rsid w:val="0193ED09"/>
    <w:rPr>
      <w:rFonts w:ascii="EC Square Sans Pro" w:eastAsia="Calibri" w:hAnsi="EC Square Sans Pro" w:cs="Times New Roman"/>
      <w:i/>
      <w:iCs/>
      <w:noProof w:val="0"/>
      <w:color w:val="5E66AB"/>
      <w:sz w:val="32"/>
      <w:szCs w:val="32"/>
      <w:lang w:val="en-GB"/>
    </w:rPr>
  </w:style>
  <w:style w:type="character" w:customStyle="1" w:styleId="JRCCoverSubtitleChar0">
    <w:name w:val="JRC_Cover_Subtitle Char"/>
    <w:basedOn w:val="JRCCoversubtitleChar"/>
    <w:link w:val="JRCCoverSubtitle0"/>
    <w:uiPriority w:val="1"/>
    <w:rsid w:val="0193ED09"/>
    <w:rPr>
      <w:rFonts w:ascii="EC Square Sans Pro" w:eastAsia="Calibri" w:hAnsi="EC Square Sans Pro" w:cs="Times New Roman"/>
      <w:i/>
      <w:iCs/>
      <w:noProof w:val="0"/>
      <w:color w:val="5E66AB"/>
      <w:sz w:val="32"/>
      <w:szCs w:val="32"/>
      <w:lang w:val="en-GB"/>
    </w:rPr>
  </w:style>
  <w:style w:type="paragraph" w:customStyle="1" w:styleId="JRCCoverEURNumber">
    <w:name w:val="JRC_Cover_EUR_Number"/>
    <w:basedOn w:val="JRCCoverEURISSN"/>
    <w:link w:val="JRCCoverEURNumberChar"/>
    <w:uiPriority w:val="1"/>
    <w:qFormat/>
    <w:rsid w:val="0193ED09"/>
    <w:rPr>
      <w:color w:val="FFFFFF" w:themeColor="background1"/>
    </w:rPr>
  </w:style>
  <w:style w:type="character" w:customStyle="1" w:styleId="JRCCoverEURISSNChar">
    <w:name w:val="JRC_Cover_EUR_ISSN Char"/>
    <w:basedOn w:val="DefaultParagraphFont"/>
    <w:link w:val="JRCCoverEU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ISSNChar">
    <w:name w:val="JRC_Cover_ISSN Char"/>
    <w:basedOn w:val="JRCCoverEURISSNChar"/>
    <w:link w:val="JRCCove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EURNumberChar">
    <w:name w:val="JRC_Cover_EUR_Number Char"/>
    <w:basedOn w:val="JRCCoverEURISSNChar"/>
    <w:link w:val="JRCCoverEURNumber"/>
    <w:uiPriority w:val="1"/>
    <w:rsid w:val="0193ED09"/>
    <w:rPr>
      <w:rFonts w:ascii="EC Square Sans Pro" w:eastAsia="Times New Roman" w:hAnsi="EC Square Sans Pro" w:cs="Times New Roman"/>
      <w:noProof w:val="0"/>
      <w:color w:val="FFFFFF" w:themeColor="background1"/>
      <w:sz w:val="18"/>
      <w:szCs w:val="18"/>
      <w:lang w:val="en-GB" w:eastAsia="en-GB"/>
    </w:rPr>
  </w:style>
  <w:style w:type="paragraph" w:customStyle="1" w:styleId="JRCBackCoverCatalogueNumber">
    <w:name w:val="JRC_Back_Cover_Catalogue_Number"/>
    <w:basedOn w:val="Normal"/>
    <w:link w:val="JRCBackCoverCatalogueNumberChar"/>
    <w:uiPriority w:val="1"/>
    <w:qFormat/>
    <w:rsid w:val="0193ED09"/>
    <w:pPr>
      <w:widowControl w:val="0"/>
      <w:spacing w:line="160" w:lineRule="exact"/>
    </w:pPr>
    <w:rPr>
      <w:color w:val="FFFFFF" w:themeColor="background1"/>
      <w:sz w:val="14"/>
      <w:szCs w:val="14"/>
    </w:rPr>
  </w:style>
  <w:style w:type="paragraph" w:customStyle="1" w:styleId="JRCBackCoverISBN">
    <w:name w:val="JRC_Back_Cover_ISBN"/>
    <w:basedOn w:val="Normal"/>
    <w:link w:val="JRCBackCoverISBNChar"/>
    <w:uiPriority w:val="1"/>
    <w:qFormat/>
    <w:rsid w:val="0193ED09"/>
    <w:pPr>
      <w:jc w:val="right"/>
    </w:pPr>
    <w:rPr>
      <w:color w:val="000000" w:themeColor="text1"/>
      <w:sz w:val="14"/>
      <w:szCs w:val="14"/>
    </w:rPr>
  </w:style>
  <w:style w:type="character" w:customStyle="1" w:styleId="JRCBackCoverCatalogueNumberChar">
    <w:name w:val="JRC_Back_Cover_Catalogue_Number Char"/>
    <w:basedOn w:val="DefaultParagraphFont"/>
    <w:link w:val="JRCBackCoverCatalogueNumber"/>
    <w:uiPriority w:val="1"/>
    <w:rsid w:val="0193ED09"/>
    <w:rPr>
      <w:rFonts w:ascii="EC Square Sans Pro" w:eastAsia="Times New Roman" w:hAnsi="EC Square Sans Pro" w:cs="Times New Roman"/>
      <w:noProof w:val="0"/>
      <w:color w:val="FFFFFF" w:themeColor="background1"/>
      <w:sz w:val="14"/>
      <w:szCs w:val="14"/>
      <w:lang w:val="en-GB" w:eastAsia="en-GB"/>
    </w:rPr>
  </w:style>
  <w:style w:type="character" w:customStyle="1" w:styleId="JRCBackCoverISBNChar">
    <w:name w:val="JRC_Back_Cover_ISBN Char"/>
    <w:basedOn w:val="DefaultParagraphFont"/>
    <w:link w:val="JRCBackCoverISBN"/>
    <w:uiPriority w:val="1"/>
    <w:rsid w:val="0193ED09"/>
    <w:rPr>
      <w:rFonts w:ascii="EC Square Sans Pro" w:eastAsia="Times New Roman" w:hAnsi="EC Square Sans Pro" w:cs="Times New Roman"/>
      <w:noProof w:val="0"/>
      <w:color w:val="000000" w:themeColor="text1"/>
      <w:sz w:val="14"/>
      <w:szCs w:val="14"/>
      <w:lang w:val="en-GB" w:eastAsia="en-GB"/>
    </w:rPr>
  </w:style>
  <w:style w:type="paragraph" w:customStyle="1" w:styleId="JRCCoverEUR">
    <w:name w:val="JRC_Cover_EUR"/>
    <w:basedOn w:val="Normal"/>
    <w:uiPriority w:val="1"/>
    <w:rsid w:val="0193ED09"/>
    <w:pPr>
      <w:spacing w:before="0" w:after="0"/>
      <w:jc w:val="right"/>
    </w:pPr>
    <w:rPr>
      <w:rFonts w:ascii="Verdana" w:hAnsi="Verdana"/>
      <w:sz w:val="18"/>
      <w:szCs w:val="18"/>
    </w:rPr>
  </w:style>
  <w:style w:type="character" w:customStyle="1" w:styleId="JRCCoverPublicationCategoryChar">
    <w:name w:val="JRC_Cover_Publication_Category Char"/>
    <w:basedOn w:val="DefaultParagraphFont"/>
    <w:link w:val="JRCCoverPublicationCategory"/>
    <w:uiPriority w:val="1"/>
    <w:rsid w:val="0193ED09"/>
    <w:rPr>
      <w:rFonts w:ascii="EC Square Sans Pro Light" w:eastAsiaTheme="minorEastAsia" w:hAnsi="EC Square Sans Pro Light" w:cstheme="minorBidi"/>
      <w:noProof w:val="0"/>
      <w:color w:val="FFFFFF" w:themeColor="background1"/>
      <w:sz w:val="29"/>
      <w:szCs w:val="29"/>
      <w:lang w:val="en-GB"/>
    </w:rPr>
  </w:style>
  <w:style w:type="paragraph" w:customStyle="1" w:styleId="JRCCoverPublicationCategory">
    <w:name w:val="JRC_Cover_Publication_Category"/>
    <w:basedOn w:val="Normal"/>
    <w:link w:val="JRCCoverPublicationCategoryChar"/>
    <w:uiPriority w:val="1"/>
    <w:qFormat/>
    <w:rsid w:val="0193ED09"/>
    <w:pPr>
      <w:spacing w:before="0" w:after="0"/>
      <w:jc w:val="center"/>
    </w:pPr>
    <w:rPr>
      <w:rFonts w:ascii="EC Square Sans Pro Light" w:eastAsiaTheme="minorEastAsia" w:hAnsi="EC Square Sans Pro Light" w:cstheme="minorBidi"/>
      <w:color w:val="FFFFFF" w:themeColor="background1"/>
      <w:sz w:val="29"/>
      <w:szCs w:val="29"/>
      <w:lang w:eastAsia="en-US"/>
    </w:rPr>
  </w:style>
  <w:style w:type="character" w:customStyle="1" w:styleId="normaltextrun">
    <w:name w:val="normaltextrun"/>
    <w:basedOn w:val="DefaultParagraphFont"/>
    <w:rsid w:val="00F7732B"/>
  </w:style>
  <w:style w:type="character" w:customStyle="1" w:styleId="eop">
    <w:name w:val="eop"/>
    <w:basedOn w:val="DefaultParagraphFont"/>
    <w:rsid w:val="00F7732B"/>
  </w:style>
  <w:style w:type="character" w:customStyle="1" w:styleId="font221">
    <w:name w:val="font221"/>
    <w:basedOn w:val="DefaultParagraphFont"/>
    <w:rsid w:val="00F7732B"/>
    <w:rPr>
      <w:rFonts w:ascii="EC Square Sans Pro" w:hAnsi="EC Square Sans Pro" w:hint="default"/>
      <w:b w:val="0"/>
      <w:bCs w:val="0"/>
      <w:i/>
      <w:iCs/>
      <w:strike w:val="0"/>
      <w:dstrike w:val="0"/>
      <w:color w:val="000000"/>
      <w:sz w:val="20"/>
      <w:szCs w:val="20"/>
      <w:u w:val="none"/>
      <w:effect w:val="none"/>
    </w:rPr>
  </w:style>
  <w:style w:type="paragraph" w:customStyle="1" w:styleId="paragraph">
    <w:name w:val="paragraph"/>
    <w:basedOn w:val="Normal"/>
    <w:rsid w:val="0193ED09"/>
    <w:pPr>
      <w:spacing w:beforeAutospacing="1" w:afterAutospacing="1"/>
      <w:jc w:val="left"/>
    </w:pPr>
    <w:rPr>
      <w:rFonts w:ascii="Times New Roman" w:hAnsi="Times New Roman"/>
      <w:sz w:val="24"/>
      <w:szCs w:val="24"/>
    </w:rPr>
  </w:style>
  <w:style w:type="character" w:customStyle="1" w:styleId="superscript">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UnresolvedMention2">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0193ED09"/>
    <w:pPr>
      <w:spacing w:before="0" w:after="0"/>
      <w:contextualSpacing/>
      <w:jc w:val="left"/>
    </w:pPr>
    <w:rPr>
      <w:rFonts w:asciiTheme="majorHAnsi" w:eastAsiaTheme="majorEastAsia" w:hAnsiTheme="majorHAnsi" w:cstheme="majorBidi"/>
      <w:sz w:val="56"/>
      <w:szCs w:val="56"/>
      <w:lang w:eastAsia="en-US"/>
    </w:rPr>
  </w:style>
  <w:style w:type="character" w:customStyle="1" w:styleId="TitleChar">
    <w:name w:val="Title Char"/>
    <w:basedOn w:val="DefaultParagraphFont"/>
    <w:link w:val="Title"/>
    <w:uiPriority w:val="10"/>
    <w:rsid w:val="0193ED09"/>
    <w:rPr>
      <w:rFonts w:asciiTheme="majorHAnsi" w:eastAsiaTheme="majorEastAsia" w:hAnsiTheme="majorHAnsi" w:cstheme="majorBidi"/>
      <w:noProof w:val="0"/>
      <w:sz w:val="56"/>
      <w:szCs w:val="56"/>
      <w:lang w:val="en-GB"/>
    </w:rPr>
  </w:style>
  <w:style w:type="table" w:customStyle="1" w:styleId="TableGrid1">
    <w:name w:val="Table Grid1"/>
    <w:basedOn w:val="TableNormal"/>
    <w:next w:val="TableGrid"/>
    <w:uiPriority w:val="39"/>
    <w:rsid w:val="00F87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193ED09"/>
    <w:pPr>
      <w:spacing w:before="0" w:after="160"/>
      <w:jc w:val="left"/>
    </w:pPr>
    <w:rPr>
      <w:lang w:eastAsia="en-US"/>
    </w:rPr>
  </w:style>
  <w:style w:type="character" w:customStyle="1" w:styleId="CommentTextChar">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customStyle="1" w:styleId="Mention4">
    <w:name w:val="Mention4"/>
    <w:basedOn w:val="DefaultParagraphFont"/>
    <w:uiPriority w:val="99"/>
    <w:unhideWhenUsed/>
    <w:rsid w:val="000D052F"/>
    <w:rPr>
      <w:color w:val="2B579A"/>
      <w:shd w:val="clear" w:color="auto" w:fill="E1DFDD"/>
    </w:rPr>
  </w:style>
  <w:style w:type="character" w:customStyle="1" w:styleId="font191">
    <w:name w:val="font19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character" w:customStyle="1" w:styleId="font471">
    <w:name w:val="font471"/>
    <w:basedOn w:val="DefaultParagraphFont"/>
    <w:rsid w:val="00B2534A"/>
    <w:rPr>
      <w:rFonts w:ascii="EC Square Sans Pro" w:hAnsi="EC Square Sans Pro" w:hint="default"/>
      <w:b/>
      <w:bCs/>
      <w:i/>
      <w:iCs/>
      <w:strike w:val="0"/>
      <w:dstrike w:val="0"/>
      <w:color w:val="000000"/>
      <w:sz w:val="20"/>
      <w:szCs w:val="20"/>
      <w:u w:val="none"/>
      <w:effect w:val="none"/>
    </w:rPr>
  </w:style>
  <w:style w:type="character" w:customStyle="1" w:styleId="font481">
    <w:name w:val="font481"/>
    <w:basedOn w:val="DefaultParagraphFont"/>
    <w:rsid w:val="00B2534A"/>
    <w:rPr>
      <w:rFonts w:ascii="EC Square Sans Pro" w:hAnsi="EC Square Sans Pro" w:hint="default"/>
      <w:b/>
      <w:bCs/>
      <w:i/>
      <w:iCs/>
      <w:color w:val="000000"/>
      <w:sz w:val="20"/>
      <w:szCs w:val="20"/>
      <w:u w:val="single"/>
    </w:rPr>
  </w:style>
  <w:style w:type="character" w:customStyle="1" w:styleId="font571">
    <w:name w:val="font571"/>
    <w:basedOn w:val="DefaultParagraphFont"/>
    <w:rsid w:val="00B2534A"/>
    <w:rPr>
      <w:rFonts w:ascii="EC Square Sans Pro" w:hAnsi="EC Square Sans Pro" w:hint="default"/>
      <w:b/>
      <w:bCs/>
      <w:i/>
      <w:iCs/>
      <w:color w:val="000000"/>
      <w:sz w:val="20"/>
      <w:szCs w:val="20"/>
      <w:u w:val="single"/>
    </w:rPr>
  </w:style>
  <w:style w:type="character" w:customStyle="1" w:styleId="font581">
    <w:name w:val="font58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abchar">
    <w:name w:val="tabchar"/>
    <w:basedOn w:val="DefaultParagraphFont"/>
    <w:rsid w:val="00EB7322"/>
  </w:style>
  <w:style w:type="character" w:customStyle="1" w:styleId="font891">
    <w:name w:val="font891"/>
    <w:basedOn w:val="DefaultParagraphFont"/>
    <w:rsid w:val="004E1626"/>
    <w:rPr>
      <w:rFonts w:ascii="EC Square Sans Pro" w:hAnsi="EC Square Sans Pro" w:hint="default"/>
      <w:b/>
      <w:bCs/>
      <w:i/>
      <w:iCs/>
      <w:strike w:val="0"/>
      <w:dstrike w:val="0"/>
      <w:color w:val="000000"/>
      <w:sz w:val="20"/>
      <w:szCs w:val="20"/>
      <w:u w:val="none"/>
      <w:effect w:val="none"/>
    </w:rPr>
  </w:style>
  <w:style w:type="paragraph" w:styleId="Bibliography">
    <w:name w:val="Bibliography"/>
    <w:basedOn w:val="Normal"/>
    <w:next w:val="Normal"/>
    <w:uiPriority w:val="37"/>
    <w:unhideWhenUsed/>
    <w:rsid w:val="0193ED09"/>
    <w:pPr>
      <w:tabs>
        <w:tab w:val="left" w:pos="624"/>
      </w:tabs>
      <w:spacing w:after="0"/>
      <w:ind w:left="624" w:hanging="624"/>
    </w:pPr>
  </w:style>
  <w:style w:type="character" w:customStyle="1" w:styleId="ui-provider">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customStyle="1" w:styleId="CommentSubjectChar">
    <w:name w:val="Comment Subject Char"/>
    <w:basedOn w:val="CommentTextChar"/>
    <w:link w:val="CommentSubject"/>
    <w:uiPriority w:val="99"/>
    <w:semiHidden/>
    <w:rsid w:val="0193ED09"/>
    <w:rPr>
      <w:rFonts w:ascii="EC Square Sans Pro" w:eastAsia="Times New Roman" w:hAnsi="EC Square Sans Pro" w:cs="Times New Roman"/>
      <w:b/>
      <w:bCs/>
      <w:noProof w:val="0"/>
      <w:sz w:val="20"/>
      <w:szCs w:val="20"/>
      <w:lang w:val="en-GB" w:eastAsia="en-GB"/>
    </w:rPr>
  </w:style>
  <w:style w:type="paragraph" w:styleId="Subtitle">
    <w:name w:val="Subtitle"/>
    <w:basedOn w:val="Normal"/>
    <w:next w:val="Normal"/>
    <w:link w:val="SubtitleChar"/>
    <w:uiPriority w:val="11"/>
    <w:qFormat/>
    <w:rsid w:val="0193ED09"/>
    <w:rPr>
      <w:rFonts w:eastAsiaTheme="minorEastAsia"/>
      <w:color w:val="5A5A5A"/>
    </w:rPr>
  </w:style>
  <w:style w:type="paragraph" w:styleId="Quote">
    <w:name w:val="Quote"/>
    <w:basedOn w:val="Normal"/>
    <w:next w:val="Normal"/>
    <w:link w:val="QuoteChar"/>
    <w:uiPriority w:val="29"/>
    <w:qFormat/>
    <w:rsid w:val="0193ED0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93ED09"/>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0193ED09"/>
    <w:rPr>
      <w:rFonts w:asciiTheme="majorHAnsi" w:eastAsiaTheme="majorEastAsia" w:hAnsiTheme="majorHAnsi" w:cstheme="majorBidi"/>
      <w:noProof w:val="0"/>
      <w:color w:val="1F4D78"/>
      <w:lang w:val="en-GB"/>
    </w:rPr>
  </w:style>
  <w:style w:type="character" w:customStyle="1" w:styleId="Heading7Char">
    <w:name w:val="Heading 7 Char"/>
    <w:basedOn w:val="DefaultParagraphFont"/>
    <w:link w:val="Heading7"/>
    <w:uiPriority w:val="9"/>
    <w:rsid w:val="0193ED09"/>
    <w:rPr>
      <w:rFonts w:asciiTheme="majorHAnsi" w:eastAsiaTheme="majorEastAsia" w:hAnsiTheme="majorHAnsi" w:cstheme="majorBidi"/>
      <w:i/>
      <w:iCs/>
      <w:noProof w:val="0"/>
      <w:color w:val="1F4D78"/>
      <w:lang w:val="en-GB"/>
    </w:rPr>
  </w:style>
  <w:style w:type="character" w:customStyle="1" w:styleId="Heading8Char">
    <w:name w:val="Heading 8 Char"/>
    <w:basedOn w:val="DefaultParagraphFont"/>
    <w:link w:val="Heading8"/>
    <w:uiPriority w:val="9"/>
    <w:rsid w:val="0193ED0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193ED09"/>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0193ED09"/>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193ED09"/>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0193ED09"/>
    <w:pPr>
      <w:spacing w:after="0"/>
    </w:pPr>
  </w:style>
  <w:style w:type="character" w:customStyle="1" w:styleId="EndnoteTextChar">
    <w:name w:val="Endnote Text Char"/>
    <w:basedOn w:val="DefaultParagraphFont"/>
    <w:link w:val="EndnoteText"/>
    <w:uiPriority w:val="99"/>
    <w:semiHidden/>
    <w:rsid w:val="0193ED09"/>
    <w:rPr>
      <w:noProof w:val="0"/>
      <w:sz w:val="20"/>
      <w:szCs w:val="20"/>
      <w:lang w:val="en-GB"/>
    </w:rPr>
  </w:style>
  <w:style w:type="paragraph" w:customStyle="1" w:styleId="BasicParagraph">
    <w:name w:val="[Basic Paragraph]"/>
    <w:basedOn w:val="Normal"/>
    <w:uiPriority w:val="99"/>
    <w:rsid w:val="005B112E"/>
    <w:pPr>
      <w:autoSpaceDE w:val="0"/>
      <w:autoSpaceDN w:val="0"/>
      <w:adjustRightInd w:val="0"/>
      <w:spacing w:before="0" w:after="0" w:line="288" w:lineRule="auto"/>
      <w:jc w:val="left"/>
      <w:textAlignment w:val="center"/>
    </w:pPr>
    <w:rPr>
      <w:rFonts w:ascii="MinionPro-Regular" w:eastAsiaTheme="minorHAnsi" w:hAnsi="MinionPro-Regular" w:cs="MinionPro-Regular"/>
      <w:color w:val="000000"/>
      <w:sz w:val="24"/>
      <w:szCs w:val="24"/>
      <w:lang w:eastAsia="en-US"/>
    </w:rPr>
  </w:style>
  <w:style w:type="paragraph" w:styleId="Revision">
    <w:name w:val="Revision"/>
    <w:hidden/>
    <w:uiPriority w:val="99"/>
    <w:semiHidden/>
    <w:rsid w:val="001F1AEF"/>
    <w:pPr>
      <w:spacing w:after="0" w:line="240" w:lineRule="auto"/>
    </w:pPr>
    <w:rPr>
      <w:rFonts w:ascii="EC Square Sans Pro" w:eastAsia="Times New Roman" w:hAnsi="EC Square Sans Pro" w:cs="Times New Roman"/>
      <w:sz w:val="20"/>
      <w:szCs w:val="20"/>
      <w:lang w:eastAsia="en-GB"/>
    </w:rPr>
  </w:style>
  <w:style w:type="character" w:customStyle="1" w:styleId="Mention1">
    <w:name w:val="Mention1"/>
    <w:basedOn w:val="DefaultParagraphFont"/>
    <w:uiPriority w:val="99"/>
    <w:unhideWhenUsed/>
    <w:rsid w:val="001F1AEF"/>
    <w:rPr>
      <w:color w:val="2B579A"/>
      <w:shd w:val="clear" w:color="auto" w:fill="E6E6E6"/>
    </w:rPr>
  </w:style>
  <w:style w:type="character" w:customStyle="1" w:styleId="cf01">
    <w:name w:val="cf01"/>
    <w:basedOn w:val="DefaultParagraphFont"/>
    <w:rsid w:val="00E517C7"/>
    <w:rPr>
      <w:rFonts w:ascii="Segoe UI" w:hAnsi="Segoe UI" w:cs="Segoe UI" w:hint="default"/>
      <w:sz w:val="18"/>
      <w:szCs w:val="18"/>
    </w:rPr>
  </w:style>
  <w:style w:type="character" w:customStyle="1" w:styleId="Menzione1">
    <w:name w:val="Menzione1"/>
    <w:basedOn w:val="DefaultParagraphFont"/>
    <w:uiPriority w:val="99"/>
    <w:unhideWhenUsed/>
    <w:rsid w:val="00A87B43"/>
    <w:rPr>
      <w:color w:val="2B579A"/>
      <w:shd w:val="clear" w:color="auto" w:fill="E6E6E6"/>
    </w:rPr>
  </w:style>
  <w:style w:type="character" w:customStyle="1" w:styleId="Mention2">
    <w:name w:val="Mention2"/>
    <w:basedOn w:val="DefaultParagraphFont"/>
    <w:uiPriority w:val="99"/>
    <w:unhideWhenUsed/>
    <w:rsid w:val="00877390"/>
    <w:rPr>
      <w:color w:val="2B579A"/>
      <w:shd w:val="clear" w:color="auto" w:fill="E6E6E6"/>
    </w:rPr>
  </w:style>
  <w:style w:type="character" w:customStyle="1" w:styleId="Menzione10">
    <w:name w:val="Menzione10"/>
    <w:basedOn w:val="DefaultParagraphFont"/>
    <w:uiPriority w:val="99"/>
    <w:unhideWhenUsed/>
    <w:rsid w:val="00034E51"/>
    <w:rPr>
      <w:color w:val="2B579A"/>
      <w:shd w:val="clear" w:color="auto" w:fill="E6E6E6"/>
    </w:rPr>
  </w:style>
  <w:style w:type="character" w:customStyle="1" w:styleId="Mention20">
    <w:name w:val="Mention20"/>
    <w:basedOn w:val="DefaultParagraphFont"/>
    <w:uiPriority w:val="99"/>
    <w:unhideWhenUsed/>
    <w:rsid w:val="00B06E30"/>
    <w:rPr>
      <w:color w:val="2B579A"/>
      <w:shd w:val="clear" w:color="auto" w:fill="E6E6E6"/>
    </w:rPr>
  </w:style>
  <w:style w:type="character" w:customStyle="1" w:styleId="Mention200">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unhideWhenUsed/>
    <w:rsid w:val="00792707"/>
    <w:pPr>
      <w:spacing w:before="100" w:beforeAutospacing="1" w:after="100"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customStyle="1" w:styleId="Menzione100">
    <w:name w:val="Menzione100"/>
    <w:basedOn w:val="DefaultParagraphFont"/>
    <w:uiPriority w:val="99"/>
    <w:unhideWhenUsed/>
    <w:rsid w:val="000073A3"/>
    <w:rPr>
      <w:color w:val="2B579A"/>
      <w:shd w:val="clear" w:color="auto" w:fill="E6E6E6"/>
    </w:rPr>
  </w:style>
  <w:style w:type="character" w:customStyle="1" w:styleId="Menzione1000">
    <w:name w:val="Menzione1000"/>
    <w:basedOn w:val="DefaultParagraphFont"/>
    <w:uiPriority w:val="99"/>
    <w:unhideWhenUsed/>
    <w:rsid w:val="00AF748E"/>
    <w:rPr>
      <w:color w:val="2B579A"/>
      <w:shd w:val="clear" w:color="auto" w:fill="E6E6E6"/>
    </w:rPr>
  </w:style>
  <w:style w:type="character" w:customStyle="1" w:styleId="Menzione10000">
    <w:name w:val="Menzione10000"/>
    <w:basedOn w:val="DefaultParagraphFont"/>
    <w:uiPriority w:val="99"/>
    <w:unhideWhenUsed/>
    <w:rsid w:val="00D541F7"/>
    <w:rPr>
      <w:color w:val="2B579A"/>
      <w:shd w:val="clear" w:color="auto" w:fill="E6E6E6"/>
    </w:rPr>
  </w:style>
  <w:style w:type="character" w:customStyle="1" w:styleId="Menzione100000">
    <w:name w:val="Menzione100000"/>
    <w:basedOn w:val="DefaultParagraphFont"/>
    <w:uiPriority w:val="99"/>
    <w:unhideWhenUsed/>
    <w:rsid w:val="004B21F5"/>
    <w:rPr>
      <w:color w:val="2B579A"/>
      <w:shd w:val="clear" w:color="auto" w:fill="E6E6E6"/>
    </w:rPr>
  </w:style>
  <w:style w:type="character" w:customStyle="1" w:styleId="Menzione1000000">
    <w:name w:val="Menzione1000000"/>
    <w:basedOn w:val="DefaultParagraphFont"/>
    <w:uiPriority w:val="99"/>
    <w:unhideWhenUsed/>
    <w:rsid w:val="0023235A"/>
    <w:rPr>
      <w:color w:val="2B579A"/>
      <w:shd w:val="clear" w:color="auto" w:fill="E6E6E6"/>
    </w:rPr>
  </w:style>
  <w:style w:type="character" w:customStyle="1" w:styleId="Menzione10000000">
    <w:name w:val="Menzione10000000"/>
    <w:basedOn w:val="DefaultParagraphFont"/>
    <w:uiPriority w:val="99"/>
    <w:unhideWhenUsed/>
    <w:rsid w:val="007825E6"/>
    <w:rPr>
      <w:color w:val="2B579A"/>
      <w:shd w:val="clear" w:color="auto" w:fill="E6E6E6"/>
    </w:rPr>
  </w:style>
  <w:style w:type="character" w:customStyle="1" w:styleId="Menzione100000000">
    <w:name w:val="Menzione100000000"/>
    <w:basedOn w:val="DefaultParagraphFont"/>
    <w:uiPriority w:val="99"/>
    <w:unhideWhenUsed/>
    <w:rsid w:val="00971B23"/>
    <w:rPr>
      <w:color w:val="2B579A"/>
      <w:shd w:val="clear" w:color="auto" w:fill="E6E6E6"/>
    </w:rPr>
  </w:style>
  <w:style w:type="character" w:customStyle="1" w:styleId="Menzione1000000000">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RCCovertextNospacing">
    <w:name w:val="JRC_Cover_text (No spacing)"/>
    <w:basedOn w:val="JRCCovertext"/>
    <w:qFormat/>
    <w:rsid w:val="00500DF7"/>
    <w:pPr>
      <w:suppressAutoHyphens/>
      <w:spacing w:line="264" w:lineRule="auto"/>
      <w:jc w:val="left"/>
    </w:pPr>
    <w:rPr>
      <w:sz w:val="18"/>
      <w:szCs w:val="14"/>
    </w:rPr>
  </w:style>
  <w:style w:type="paragraph" w:customStyle="1" w:styleId="JRCCovertextNospacingafter">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customStyle="1" w:styleId="Default">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customStyle="1" w:styleId="Pa0">
    <w:name w:val="Pa0"/>
    <w:basedOn w:val="Default"/>
    <w:next w:val="Default"/>
    <w:uiPriority w:val="99"/>
    <w:rsid w:val="00500DF7"/>
    <w:pPr>
      <w:spacing w:line="241" w:lineRule="atLeast"/>
    </w:pPr>
    <w:rPr>
      <w:rFonts w:cstheme="minorBidi"/>
      <w:color w:val="auto"/>
    </w:rPr>
  </w:style>
  <w:style w:type="character" w:customStyle="1" w:styleId="A0">
    <w:name w:val="A0"/>
    <w:uiPriority w:val="99"/>
    <w:rsid w:val="00500DF7"/>
    <w:rPr>
      <w:rFonts w:cs="EC Square Sans Pro"/>
      <w:color w:val="211D1E"/>
      <w:sz w:val="16"/>
      <w:szCs w:val="16"/>
    </w:rPr>
  </w:style>
  <w:style w:type="character" w:customStyle="1" w:styleId="Mention3">
    <w:name w:val="Mention3"/>
    <w:basedOn w:val="DefaultParagraphFont"/>
    <w:uiPriority w:val="99"/>
    <w:unhideWhenUsed/>
    <w:rsid w:val="000E7A04"/>
    <w:rPr>
      <w:color w:val="2B579A"/>
      <w:shd w:val="clear" w:color="auto" w:fill="E1DFDD"/>
    </w:rPr>
  </w:style>
  <w:style w:type="character" w:customStyle="1" w:styleId="Mention5">
    <w:name w:val="Mention5"/>
    <w:basedOn w:val="DefaultParagraphFont"/>
    <w:uiPriority w:val="99"/>
    <w:unhideWhenUsed/>
    <w:rPr>
      <w:color w:val="2B579A"/>
      <w:shd w:val="clear" w:color="auto" w:fill="E6E6E6"/>
    </w:rPr>
  </w:style>
  <w:style w:type="character" w:customStyle="1" w:styleId="Mention6">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315E"/>
    <w:rPr>
      <w:rFonts w:eastAsiaTheme="minorEastAsia"/>
      <w:lang w:val="en-US"/>
    </w:rPr>
  </w:style>
  <w:style w:type="character" w:customStyle="1" w:styleId="Mention7">
    <w:name w:val="Mention7"/>
    <w:basedOn w:val="DefaultParagraphFont"/>
    <w:uiPriority w:val="99"/>
    <w:unhideWhenUsed/>
    <w:rsid w:val="000512B3"/>
    <w:rPr>
      <w:color w:val="2B579A"/>
      <w:shd w:val="clear" w:color="auto" w:fill="E6E6E6"/>
    </w:rPr>
  </w:style>
  <w:style w:type="character" w:customStyle="1" w:styleId="Mention8">
    <w:name w:val="Mention8"/>
    <w:basedOn w:val="DefaultParagraphFont"/>
    <w:uiPriority w:val="99"/>
    <w:unhideWhenUsed/>
    <w:rsid w:val="00EE0963"/>
    <w:rPr>
      <w:color w:val="2B579A"/>
      <w:shd w:val="clear" w:color="auto" w:fill="E6E6E6"/>
    </w:rPr>
  </w:style>
  <w:style w:type="character" w:customStyle="1" w:styleId="Mention9">
    <w:name w:val="Mention9"/>
    <w:basedOn w:val="DefaultParagraphFont"/>
    <w:uiPriority w:val="99"/>
    <w:unhideWhenUsed/>
    <w:rPr>
      <w:color w:val="2B579A"/>
      <w:shd w:val="clear" w:color="auto" w:fill="E6E6E6"/>
    </w:rPr>
  </w:style>
  <w:style w:type="character" w:customStyle="1" w:styleId="Mention10">
    <w:name w:val="Mention10"/>
    <w:basedOn w:val="DefaultParagraphFont"/>
    <w:uiPriority w:val="99"/>
    <w:unhideWhenUsed/>
    <w:rsid w:val="00F616F2"/>
    <w:rPr>
      <w:color w:val="2B579A"/>
      <w:shd w:val="clear" w:color="auto" w:fill="E6E6E6"/>
    </w:rPr>
  </w:style>
  <w:style w:type="character" w:customStyle="1" w:styleId="Mention100">
    <w:name w:val="Mention100"/>
    <w:basedOn w:val="DefaultParagraphFont"/>
    <w:uiPriority w:val="99"/>
    <w:unhideWhenUsed/>
    <w:rsid w:val="008C1890"/>
    <w:rPr>
      <w:color w:val="2B579A"/>
      <w:shd w:val="clear" w:color="auto" w:fill="E6E6E6"/>
    </w:rPr>
  </w:style>
  <w:style w:type="character" w:customStyle="1" w:styleId="Mention1000">
    <w:name w:val="Mention1000"/>
    <w:basedOn w:val="DefaultParagraphFont"/>
    <w:uiPriority w:val="99"/>
    <w:unhideWhenUsed/>
    <w:rsid w:val="00A928F4"/>
    <w:rPr>
      <w:color w:val="2B579A"/>
      <w:shd w:val="clear" w:color="auto" w:fill="E6E6E6"/>
    </w:rPr>
  </w:style>
  <w:style w:type="paragraph" w:styleId="Caption">
    <w:name w:val="caption"/>
    <w:basedOn w:val="Normal"/>
    <w:next w:val="Normal"/>
    <w:uiPriority w:val="35"/>
    <w:unhideWhenUsed/>
    <w:qFormat/>
    <w:rsid w:val="009B5AD3"/>
    <w:pPr>
      <w:keepNext/>
      <w:keepLines/>
      <w:suppressAutoHyphens/>
      <w:spacing w:before="240" w:after="160" w:line="264" w:lineRule="auto"/>
      <w:jc w:val="left"/>
    </w:pPr>
    <w:rPr>
      <w:rFonts w:asciiTheme="minorHAnsi" w:eastAsiaTheme="minorHAnsi" w:hAnsiTheme="minorHAnsi" w:cstheme="minorBidi"/>
      <w:iCs/>
      <w:szCs w:val="18"/>
      <w:lang w:eastAsia="en-US"/>
    </w:rPr>
  </w:style>
  <w:style w:type="character" w:customStyle="1" w:styleId="markedcontent">
    <w:name w:val="markedcontent"/>
    <w:basedOn w:val="DefaultParagraphFont"/>
    <w:rsid w:val="00AC286C"/>
  </w:style>
  <w:style w:type="character" w:customStyle="1" w:styleId="Mention11">
    <w:name w:val="Mention11"/>
    <w:basedOn w:val="DefaultParagraphFont"/>
    <w:uiPriority w:val="99"/>
    <w:unhideWhenUsed/>
    <w:rPr>
      <w:color w:val="2B579A"/>
      <w:shd w:val="clear" w:color="auto" w:fill="E6E6E6"/>
    </w:rPr>
  </w:style>
  <w:style w:type="character" w:customStyle="1" w:styleId="cf11">
    <w:name w:val="cf11"/>
    <w:basedOn w:val="DefaultParagraphFont"/>
    <w:rsid w:val="00BB35C2"/>
    <w:rPr>
      <w:rFonts w:ascii="Segoe UI" w:hAnsi="Segoe UI" w:cs="Segoe UI" w:hint="default"/>
      <w:sz w:val="18"/>
      <w:szCs w:val="18"/>
    </w:rPr>
  </w:style>
  <w:style w:type="character" w:customStyle="1" w:styleId="scxw27895463">
    <w:name w:val="scxw27895463"/>
    <w:basedOn w:val="DefaultParagraphFont"/>
    <w:rsid w:val="001D4D43"/>
  </w:style>
  <w:style w:type="character" w:customStyle="1" w:styleId="scxw12503194">
    <w:name w:val="scxw12503194"/>
    <w:basedOn w:val="DefaultParagraphFont"/>
    <w:rsid w:val="001D4D43"/>
  </w:style>
  <w:style w:type="character" w:customStyle="1" w:styleId="scxw112688113">
    <w:name w:val="scxw112688113"/>
    <w:basedOn w:val="DefaultParagraphFont"/>
    <w:rsid w:val="001D4D43"/>
  </w:style>
  <w:style w:type="character" w:customStyle="1" w:styleId="scxw133651870">
    <w:name w:val="scxw133651870"/>
    <w:basedOn w:val="DefaultParagraphFont"/>
    <w:rsid w:val="004D46DC"/>
  </w:style>
  <w:style w:type="character" w:customStyle="1" w:styleId="scxw199434157">
    <w:name w:val="scxw199434157"/>
    <w:basedOn w:val="DefaultParagraphFont"/>
    <w:rsid w:val="00013812"/>
  </w:style>
  <w:style w:type="character" w:customStyle="1" w:styleId="scxw33338584">
    <w:name w:val="scxw33338584"/>
    <w:basedOn w:val="DefaultParagraphFont"/>
    <w:rsid w:val="00013812"/>
  </w:style>
  <w:style w:type="character" w:customStyle="1" w:styleId="scxw44420143">
    <w:name w:val="scxw44420143"/>
    <w:basedOn w:val="DefaultParagraphFont"/>
    <w:rsid w:val="0029649F"/>
  </w:style>
  <w:style w:type="character" w:customStyle="1" w:styleId="scxw104438151">
    <w:name w:val="scxw104438151"/>
    <w:basedOn w:val="DefaultParagraphFont"/>
    <w:rsid w:val="00CE0C89"/>
  </w:style>
  <w:style w:type="character" w:customStyle="1" w:styleId="JRCTextZchn">
    <w:name w:val="JRC_Text Zchn"/>
    <w:basedOn w:val="DefaultParagraphFont"/>
    <w:link w:val="JRCText"/>
    <w:qFormat/>
    <w:rsid w:val="002E563C"/>
    <w:rPr>
      <w:rFonts w:ascii="EC Square Sans Pro" w:eastAsia="Calibri" w:hAnsi="EC Square Sans Pro" w:cs="Times New Roman"/>
      <w:sz w:val="20"/>
      <w:szCs w:val="20"/>
    </w:rPr>
  </w:style>
  <w:style w:type="character" w:customStyle="1" w:styleId="Mention12">
    <w:name w:val="Mention12"/>
    <w:basedOn w:val="DefaultParagraphFont"/>
    <w:uiPriority w:val="99"/>
    <w:unhideWhenUsed/>
    <w:rsid w:val="00502EFE"/>
    <w:rPr>
      <w:color w:val="2B579A"/>
      <w:shd w:val="clear" w:color="auto" w:fill="E6E6E6"/>
    </w:rPr>
  </w:style>
  <w:style w:type="paragraph" w:customStyle="1" w:styleId="CharCharChar1">
    <w:name w:val="Char Char Char1"/>
    <w:basedOn w:val="Normal"/>
    <w:link w:val="FootnoteReference"/>
    <w:uiPriority w:val="99"/>
    <w:rsid w:val="008F4A08"/>
    <w:pPr>
      <w:keepLines/>
      <w:spacing w:before="0" w:after="160" w:line="240" w:lineRule="exact"/>
    </w:pPr>
    <w:rPr>
      <w:rFonts w:eastAsiaTheme="minorHAnsi" w:cstheme="minorBidi"/>
      <w:sz w:val="22"/>
      <w:szCs w:val="22"/>
      <w:vertAlign w:val="superscript"/>
      <w:lang w:eastAsia="en-US"/>
    </w:rPr>
  </w:style>
  <w:style w:type="character" w:styleId="Emphasis">
    <w:name w:val="Emphasis"/>
    <w:basedOn w:val="DefaultParagraphFont"/>
    <w:uiPriority w:val="20"/>
    <w:qFormat/>
    <w:rsid w:val="00587DFC"/>
    <w:rPr>
      <w:i/>
      <w:iCs/>
    </w:rPr>
  </w:style>
  <w:style w:type="paragraph" w:customStyle="1" w:styleId="whitespace-pre-wrap">
    <w:name w:val="whitespace-pre-wrap"/>
    <w:basedOn w:val="Normal"/>
    <w:uiPriority w:val="1"/>
    <w:rsid w:val="008268EB"/>
    <w:pPr>
      <w:spacing w:beforeAutospacing="1" w:afterAutospacing="1" w:line="240" w:lineRule="auto"/>
      <w:jc w:val="left"/>
    </w:pPr>
    <w:rPr>
      <w:rFonts w:asciiTheme="minorHAnsi" w:eastAsiaTheme="minorEastAsia" w:hAnsiTheme="minorHAnsi" w:cstheme="minorBidi"/>
      <w:sz w:val="24"/>
      <w:szCs w:val="24"/>
    </w:rPr>
  </w:style>
  <w:style w:type="character" w:customStyle="1" w:styleId="UnresolvedMention1">
    <w:name w:val="Unresolved Mention1"/>
    <w:basedOn w:val="DefaultParagraphFont"/>
    <w:uiPriority w:val="99"/>
    <w:semiHidden/>
    <w:unhideWhenUsed/>
    <w:rsid w:val="001853E6"/>
    <w:rPr>
      <w:color w:val="605E5C"/>
      <w:shd w:val="clear" w:color="auto" w:fill="E1DFDD"/>
    </w:rPr>
  </w:style>
  <w:style w:type="character" w:customStyle="1" w:styleId="ListParagraphChar">
    <w:name w:val="List Paragraph Char"/>
    <w:aliases w:val="OBC Bullet Char,Normal 1 Char,Task Body Char,Viñetas (Inicio Parrafo) Char,3 Txt tabla Char,Zerrenda-paragrafoa Char,Fiche List Paragraph Char,Dot pt Char,F5 List Paragraph Char,List Paragraph1 Char,No Spacing1 Char"/>
    <w:basedOn w:val="DefaultParagraphFont"/>
    <w:link w:val="ListParagraph"/>
    <w:uiPriority w:val="34"/>
    <w:locked/>
    <w:rsid w:val="00C80D1A"/>
    <w:rPr>
      <w:rFonts w:ascii="EC Square Sans Pro" w:eastAsiaTheme="minorEastAsia" w:hAnsi="EC Square Sans Pro"/>
      <w:sz w:val="20"/>
      <w:szCs w:val="20"/>
    </w:rPr>
  </w:style>
  <w:style w:type="character" w:customStyle="1" w:styleId="Mention13">
    <w:name w:val="Mention13"/>
    <w:basedOn w:val="DefaultParagraphFont"/>
    <w:uiPriority w:val="99"/>
    <w:unhideWhenUsed/>
    <w:rsid w:val="005C529A"/>
    <w:rPr>
      <w:color w:val="2B579A"/>
      <w:shd w:val="clear" w:color="auto" w:fill="E6E6E6"/>
    </w:rPr>
  </w:style>
  <w:style w:type="character" w:customStyle="1" w:styleId="break-words">
    <w:name w:val="break-words"/>
    <w:basedOn w:val="DefaultParagraphFont"/>
    <w:rsid w:val="00D1521C"/>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al"/>
    <w:uiPriority w:val="99"/>
    <w:rsid w:val="00D1521C"/>
    <w:pPr>
      <w:spacing w:before="0" w:after="160" w:line="240" w:lineRule="exact"/>
      <w:jc w:val="left"/>
    </w:pPr>
    <w:rPr>
      <w:rFonts w:asciiTheme="minorHAnsi" w:eastAsiaTheme="minorHAnsi" w:hAnsiTheme="minorHAnsi" w:cstheme="minorBidi"/>
      <w:sz w:val="19"/>
      <w:szCs w:val="19"/>
      <w:vertAlign w:val="superscript"/>
      <w:lang w:eastAsia="en-US"/>
    </w:rPr>
  </w:style>
  <w:style w:type="character" w:customStyle="1" w:styleId="Text1Char">
    <w:name w:val="Text 1 Char"/>
    <w:basedOn w:val="DefaultParagraphFont"/>
    <w:link w:val="Text1"/>
    <w:locked/>
    <w:rsid w:val="00D1521C"/>
    <w:rPr>
      <w:rFonts w:ascii="Verdana" w:hAnsi="Verdana"/>
    </w:rPr>
  </w:style>
  <w:style w:type="paragraph" w:customStyle="1" w:styleId="Text1">
    <w:name w:val="Text 1"/>
    <w:basedOn w:val="Normal"/>
    <w:link w:val="Text1Char"/>
    <w:rsid w:val="00D1521C"/>
    <w:pPr>
      <w:spacing w:before="0" w:after="240" w:line="240" w:lineRule="auto"/>
      <w:ind w:left="482"/>
    </w:pPr>
    <w:rPr>
      <w:rFonts w:ascii="Verdana" w:eastAsiaTheme="minorHAnsi" w:hAnsi="Verdana" w:cstheme="minorBidi"/>
      <w:sz w:val="22"/>
      <w:szCs w:val="22"/>
      <w:lang w:eastAsia="en-US"/>
    </w:rPr>
  </w:style>
  <w:style w:type="character" w:customStyle="1" w:styleId="Mention">
    <w:name w:val="Mention"/>
    <w:basedOn w:val="DefaultParagraphFont"/>
    <w:uiPriority w:val="99"/>
    <w:unhideWhenUsed/>
    <w:rsid w:val="00520FEF"/>
    <w:rPr>
      <w:color w:val="2B579A"/>
      <w:shd w:val="clear" w:color="auto" w:fill="E1DFDD"/>
    </w:rPr>
  </w:style>
  <w:style w:type="character" w:customStyle="1" w:styleId="Menzione2">
    <w:name w:val="Menzione2"/>
    <w:basedOn w:val="DefaultParagraphFont"/>
    <w:uiPriority w:val="99"/>
    <w:unhideWhenUsed/>
    <w:rsid w:val="00A37835"/>
    <w:rPr>
      <w:color w:val="2B579A"/>
      <w:shd w:val="clear" w:color="auto" w:fill="E1DFDD"/>
    </w:rPr>
  </w:style>
  <w:style w:type="character" w:customStyle="1" w:styleId="Menzionenonrisolta1">
    <w:name w:val="Menzione non risolta1"/>
    <w:basedOn w:val="DefaultParagraphFont"/>
    <w:uiPriority w:val="99"/>
    <w:semiHidden/>
    <w:unhideWhenUsed/>
    <w:rsid w:val="00A37835"/>
    <w:rPr>
      <w:color w:val="605E5C"/>
      <w:shd w:val="clear" w:color="auto" w:fill="E1DFDD"/>
    </w:rPr>
  </w:style>
  <w:style w:type="character" w:customStyle="1" w:styleId="anchor-text">
    <w:name w:val="anchor-text"/>
    <w:basedOn w:val="DefaultParagraphFont"/>
    <w:rsid w:val="00A37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71705260">
      <w:bodyDiv w:val="1"/>
      <w:marLeft w:val="0"/>
      <w:marRight w:val="0"/>
      <w:marTop w:val="0"/>
      <w:marBottom w:val="0"/>
      <w:divBdr>
        <w:top w:val="none" w:sz="0" w:space="0" w:color="auto"/>
        <w:left w:val="none" w:sz="0" w:space="0" w:color="auto"/>
        <w:bottom w:val="none" w:sz="0" w:space="0" w:color="auto"/>
        <w:right w:val="none" w:sz="0" w:space="0" w:color="auto"/>
      </w:divBdr>
      <w:divsChild>
        <w:div w:id="1554389561">
          <w:marLeft w:val="0"/>
          <w:marRight w:val="0"/>
          <w:marTop w:val="0"/>
          <w:marBottom w:val="0"/>
          <w:divBdr>
            <w:top w:val="none" w:sz="0" w:space="0" w:color="auto"/>
            <w:left w:val="none" w:sz="0" w:space="0" w:color="auto"/>
            <w:bottom w:val="none" w:sz="0" w:space="0" w:color="auto"/>
            <w:right w:val="none" w:sz="0" w:space="0" w:color="auto"/>
          </w:divBdr>
          <w:divsChild>
            <w:div w:id="1194491605">
              <w:marLeft w:val="0"/>
              <w:marRight w:val="0"/>
              <w:marTop w:val="0"/>
              <w:marBottom w:val="0"/>
              <w:divBdr>
                <w:top w:val="none" w:sz="0" w:space="0" w:color="auto"/>
                <w:left w:val="none" w:sz="0" w:space="0" w:color="auto"/>
                <w:bottom w:val="none" w:sz="0" w:space="0" w:color="auto"/>
                <w:right w:val="none" w:sz="0" w:space="0" w:color="auto"/>
              </w:divBdr>
            </w:div>
            <w:div w:id="1576551083">
              <w:marLeft w:val="0"/>
              <w:marRight w:val="0"/>
              <w:marTop w:val="0"/>
              <w:marBottom w:val="0"/>
              <w:divBdr>
                <w:top w:val="none" w:sz="0" w:space="0" w:color="auto"/>
                <w:left w:val="none" w:sz="0" w:space="0" w:color="auto"/>
                <w:bottom w:val="none" w:sz="0" w:space="0" w:color="auto"/>
                <w:right w:val="none" w:sz="0" w:space="0" w:color="auto"/>
              </w:divBdr>
            </w:div>
            <w:div w:id="2057972218">
              <w:marLeft w:val="0"/>
              <w:marRight w:val="0"/>
              <w:marTop w:val="0"/>
              <w:marBottom w:val="0"/>
              <w:divBdr>
                <w:top w:val="none" w:sz="0" w:space="0" w:color="auto"/>
                <w:left w:val="none" w:sz="0" w:space="0" w:color="auto"/>
                <w:bottom w:val="none" w:sz="0" w:space="0" w:color="auto"/>
                <w:right w:val="none" w:sz="0" w:space="0" w:color="auto"/>
              </w:divBdr>
            </w:div>
            <w:div w:id="2097942569">
              <w:marLeft w:val="0"/>
              <w:marRight w:val="0"/>
              <w:marTop w:val="0"/>
              <w:marBottom w:val="0"/>
              <w:divBdr>
                <w:top w:val="none" w:sz="0" w:space="0" w:color="auto"/>
                <w:left w:val="none" w:sz="0" w:space="0" w:color="auto"/>
                <w:bottom w:val="none" w:sz="0" w:space="0" w:color="auto"/>
                <w:right w:val="none" w:sz="0" w:space="0" w:color="auto"/>
              </w:divBdr>
            </w:div>
            <w:div w:id="20992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3156">
      <w:bodyDiv w:val="1"/>
      <w:marLeft w:val="0"/>
      <w:marRight w:val="0"/>
      <w:marTop w:val="0"/>
      <w:marBottom w:val="0"/>
      <w:divBdr>
        <w:top w:val="none" w:sz="0" w:space="0" w:color="auto"/>
        <w:left w:val="none" w:sz="0" w:space="0" w:color="auto"/>
        <w:bottom w:val="none" w:sz="0" w:space="0" w:color="auto"/>
        <w:right w:val="none" w:sz="0" w:space="0" w:color="auto"/>
      </w:divBdr>
      <w:divsChild>
        <w:div w:id="1105613833">
          <w:marLeft w:val="0"/>
          <w:marRight w:val="0"/>
          <w:marTop w:val="0"/>
          <w:marBottom w:val="0"/>
          <w:divBdr>
            <w:top w:val="none" w:sz="0" w:space="0" w:color="auto"/>
            <w:left w:val="none" w:sz="0" w:space="0" w:color="auto"/>
            <w:bottom w:val="none" w:sz="0" w:space="0" w:color="auto"/>
            <w:right w:val="none" w:sz="0" w:space="0" w:color="auto"/>
          </w:divBdr>
        </w:div>
      </w:divsChild>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07038355">
      <w:bodyDiv w:val="1"/>
      <w:marLeft w:val="0"/>
      <w:marRight w:val="0"/>
      <w:marTop w:val="0"/>
      <w:marBottom w:val="0"/>
      <w:divBdr>
        <w:top w:val="none" w:sz="0" w:space="0" w:color="auto"/>
        <w:left w:val="none" w:sz="0" w:space="0" w:color="auto"/>
        <w:bottom w:val="none" w:sz="0" w:space="0" w:color="auto"/>
        <w:right w:val="none" w:sz="0" w:space="0" w:color="auto"/>
      </w:divBdr>
      <w:divsChild>
        <w:div w:id="1622613244">
          <w:marLeft w:val="0"/>
          <w:marRight w:val="0"/>
          <w:marTop w:val="0"/>
          <w:marBottom w:val="0"/>
          <w:divBdr>
            <w:top w:val="none" w:sz="0" w:space="0" w:color="auto"/>
            <w:left w:val="none" w:sz="0" w:space="0" w:color="auto"/>
            <w:bottom w:val="none" w:sz="0" w:space="0" w:color="auto"/>
            <w:right w:val="none" w:sz="0" w:space="0" w:color="auto"/>
          </w:divBdr>
          <w:divsChild>
            <w:div w:id="132258045">
              <w:marLeft w:val="0"/>
              <w:marRight w:val="0"/>
              <w:marTop w:val="0"/>
              <w:marBottom w:val="0"/>
              <w:divBdr>
                <w:top w:val="none" w:sz="0" w:space="0" w:color="auto"/>
                <w:left w:val="none" w:sz="0" w:space="0" w:color="auto"/>
                <w:bottom w:val="none" w:sz="0" w:space="0" w:color="auto"/>
                <w:right w:val="none" w:sz="0" w:space="0" w:color="auto"/>
              </w:divBdr>
            </w:div>
            <w:div w:id="492528603">
              <w:marLeft w:val="0"/>
              <w:marRight w:val="0"/>
              <w:marTop w:val="0"/>
              <w:marBottom w:val="0"/>
              <w:divBdr>
                <w:top w:val="none" w:sz="0" w:space="0" w:color="auto"/>
                <w:left w:val="none" w:sz="0" w:space="0" w:color="auto"/>
                <w:bottom w:val="none" w:sz="0" w:space="0" w:color="auto"/>
                <w:right w:val="none" w:sz="0" w:space="0" w:color="auto"/>
              </w:divBdr>
            </w:div>
            <w:div w:id="776994845">
              <w:marLeft w:val="0"/>
              <w:marRight w:val="0"/>
              <w:marTop w:val="0"/>
              <w:marBottom w:val="0"/>
              <w:divBdr>
                <w:top w:val="none" w:sz="0" w:space="0" w:color="auto"/>
                <w:left w:val="none" w:sz="0" w:space="0" w:color="auto"/>
                <w:bottom w:val="none" w:sz="0" w:space="0" w:color="auto"/>
                <w:right w:val="none" w:sz="0" w:space="0" w:color="auto"/>
              </w:divBdr>
            </w:div>
            <w:div w:id="1145972880">
              <w:marLeft w:val="0"/>
              <w:marRight w:val="0"/>
              <w:marTop w:val="0"/>
              <w:marBottom w:val="0"/>
              <w:divBdr>
                <w:top w:val="none" w:sz="0" w:space="0" w:color="auto"/>
                <w:left w:val="none" w:sz="0" w:space="0" w:color="auto"/>
                <w:bottom w:val="none" w:sz="0" w:space="0" w:color="auto"/>
                <w:right w:val="none" w:sz="0" w:space="0" w:color="auto"/>
              </w:divBdr>
            </w:div>
            <w:div w:id="1372535059">
              <w:marLeft w:val="0"/>
              <w:marRight w:val="0"/>
              <w:marTop w:val="0"/>
              <w:marBottom w:val="0"/>
              <w:divBdr>
                <w:top w:val="none" w:sz="0" w:space="0" w:color="auto"/>
                <w:left w:val="none" w:sz="0" w:space="0" w:color="auto"/>
                <w:bottom w:val="none" w:sz="0" w:space="0" w:color="auto"/>
                <w:right w:val="none" w:sz="0" w:space="0" w:color="auto"/>
              </w:divBdr>
            </w:div>
            <w:div w:id="16963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275528651">
      <w:bodyDiv w:val="1"/>
      <w:marLeft w:val="0"/>
      <w:marRight w:val="0"/>
      <w:marTop w:val="0"/>
      <w:marBottom w:val="0"/>
      <w:divBdr>
        <w:top w:val="none" w:sz="0" w:space="0" w:color="auto"/>
        <w:left w:val="none" w:sz="0" w:space="0" w:color="auto"/>
        <w:bottom w:val="none" w:sz="0" w:space="0" w:color="auto"/>
        <w:right w:val="none" w:sz="0" w:space="0" w:color="auto"/>
      </w:divBdr>
      <w:divsChild>
        <w:div w:id="2101632517">
          <w:marLeft w:val="0"/>
          <w:marRight w:val="0"/>
          <w:marTop w:val="0"/>
          <w:marBottom w:val="0"/>
          <w:divBdr>
            <w:top w:val="none" w:sz="0" w:space="0" w:color="auto"/>
            <w:left w:val="none" w:sz="0" w:space="0" w:color="auto"/>
            <w:bottom w:val="none" w:sz="0" w:space="0" w:color="auto"/>
            <w:right w:val="none" w:sz="0" w:space="0" w:color="auto"/>
          </w:divBdr>
          <w:divsChild>
            <w:div w:id="52169558">
              <w:marLeft w:val="0"/>
              <w:marRight w:val="0"/>
              <w:marTop w:val="0"/>
              <w:marBottom w:val="0"/>
              <w:divBdr>
                <w:top w:val="none" w:sz="0" w:space="0" w:color="auto"/>
                <w:left w:val="none" w:sz="0" w:space="0" w:color="auto"/>
                <w:bottom w:val="none" w:sz="0" w:space="0" w:color="auto"/>
                <w:right w:val="none" w:sz="0" w:space="0" w:color="auto"/>
              </w:divBdr>
            </w:div>
            <w:div w:id="577131957">
              <w:marLeft w:val="0"/>
              <w:marRight w:val="0"/>
              <w:marTop w:val="0"/>
              <w:marBottom w:val="0"/>
              <w:divBdr>
                <w:top w:val="none" w:sz="0" w:space="0" w:color="auto"/>
                <w:left w:val="none" w:sz="0" w:space="0" w:color="auto"/>
                <w:bottom w:val="none" w:sz="0" w:space="0" w:color="auto"/>
                <w:right w:val="none" w:sz="0" w:space="0" w:color="auto"/>
              </w:divBdr>
            </w:div>
            <w:div w:id="1727027883">
              <w:marLeft w:val="0"/>
              <w:marRight w:val="0"/>
              <w:marTop w:val="0"/>
              <w:marBottom w:val="0"/>
              <w:divBdr>
                <w:top w:val="none" w:sz="0" w:space="0" w:color="auto"/>
                <w:left w:val="none" w:sz="0" w:space="0" w:color="auto"/>
                <w:bottom w:val="none" w:sz="0" w:space="0" w:color="auto"/>
                <w:right w:val="none" w:sz="0" w:space="0" w:color="auto"/>
              </w:divBdr>
            </w:div>
            <w:div w:id="20695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393547981">
      <w:bodyDiv w:val="1"/>
      <w:marLeft w:val="0"/>
      <w:marRight w:val="0"/>
      <w:marTop w:val="0"/>
      <w:marBottom w:val="0"/>
      <w:divBdr>
        <w:top w:val="none" w:sz="0" w:space="0" w:color="auto"/>
        <w:left w:val="none" w:sz="0" w:space="0" w:color="auto"/>
        <w:bottom w:val="none" w:sz="0" w:space="0" w:color="auto"/>
        <w:right w:val="none" w:sz="0" w:space="0" w:color="auto"/>
      </w:divBdr>
      <w:divsChild>
        <w:div w:id="203949322">
          <w:marLeft w:val="0"/>
          <w:marRight w:val="0"/>
          <w:marTop w:val="0"/>
          <w:marBottom w:val="0"/>
          <w:divBdr>
            <w:top w:val="none" w:sz="0" w:space="0" w:color="auto"/>
            <w:left w:val="none" w:sz="0" w:space="0" w:color="auto"/>
            <w:bottom w:val="none" w:sz="0" w:space="0" w:color="auto"/>
            <w:right w:val="none" w:sz="0" w:space="0" w:color="auto"/>
          </w:divBdr>
        </w:div>
        <w:div w:id="657734888">
          <w:marLeft w:val="0"/>
          <w:marRight w:val="0"/>
          <w:marTop w:val="0"/>
          <w:marBottom w:val="0"/>
          <w:divBdr>
            <w:top w:val="none" w:sz="0" w:space="0" w:color="auto"/>
            <w:left w:val="none" w:sz="0" w:space="0" w:color="auto"/>
            <w:bottom w:val="none" w:sz="0" w:space="0" w:color="auto"/>
            <w:right w:val="none" w:sz="0" w:space="0" w:color="auto"/>
          </w:divBdr>
        </w:div>
        <w:div w:id="816412717">
          <w:marLeft w:val="0"/>
          <w:marRight w:val="0"/>
          <w:marTop w:val="0"/>
          <w:marBottom w:val="0"/>
          <w:divBdr>
            <w:top w:val="none" w:sz="0" w:space="0" w:color="auto"/>
            <w:left w:val="none" w:sz="0" w:space="0" w:color="auto"/>
            <w:bottom w:val="none" w:sz="0" w:space="0" w:color="auto"/>
            <w:right w:val="none" w:sz="0" w:space="0" w:color="auto"/>
          </w:divBdr>
        </w:div>
        <w:div w:id="1017806177">
          <w:marLeft w:val="0"/>
          <w:marRight w:val="0"/>
          <w:marTop w:val="0"/>
          <w:marBottom w:val="0"/>
          <w:divBdr>
            <w:top w:val="none" w:sz="0" w:space="0" w:color="auto"/>
            <w:left w:val="none" w:sz="0" w:space="0" w:color="auto"/>
            <w:bottom w:val="none" w:sz="0" w:space="0" w:color="auto"/>
            <w:right w:val="none" w:sz="0" w:space="0" w:color="auto"/>
          </w:divBdr>
        </w:div>
        <w:div w:id="1227302002">
          <w:marLeft w:val="0"/>
          <w:marRight w:val="0"/>
          <w:marTop w:val="0"/>
          <w:marBottom w:val="0"/>
          <w:divBdr>
            <w:top w:val="none" w:sz="0" w:space="0" w:color="auto"/>
            <w:left w:val="none" w:sz="0" w:space="0" w:color="auto"/>
            <w:bottom w:val="none" w:sz="0" w:space="0" w:color="auto"/>
            <w:right w:val="none" w:sz="0" w:space="0" w:color="auto"/>
          </w:divBdr>
        </w:div>
        <w:div w:id="2098086848">
          <w:marLeft w:val="0"/>
          <w:marRight w:val="0"/>
          <w:marTop w:val="0"/>
          <w:marBottom w:val="0"/>
          <w:divBdr>
            <w:top w:val="none" w:sz="0" w:space="0" w:color="auto"/>
            <w:left w:val="none" w:sz="0" w:space="0" w:color="auto"/>
            <w:bottom w:val="none" w:sz="0" w:space="0" w:color="auto"/>
            <w:right w:val="none" w:sz="0" w:space="0" w:color="auto"/>
          </w:divBdr>
        </w:div>
      </w:divsChild>
    </w:div>
    <w:div w:id="422576963">
      <w:bodyDiv w:val="1"/>
      <w:marLeft w:val="0"/>
      <w:marRight w:val="0"/>
      <w:marTop w:val="0"/>
      <w:marBottom w:val="0"/>
      <w:divBdr>
        <w:top w:val="none" w:sz="0" w:space="0" w:color="auto"/>
        <w:left w:val="none" w:sz="0" w:space="0" w:color="auto"/>
        <w:bottom w:val="none" w:sz="0" w:space="0" w:color="auto"/>
        <w:right w:val="none" w:sz="0" w:space="0" w:color="auto"/>
      </w:divBdr>
      <w:divsChild>
        <w:div w:id="275597374">
          <w:marLeft w:val="0"/>
          <w:marRight w:val="0"/>
          <w:marTop w:val="0"/>
          <w:marBottom w:val="0"/>
          <w:divBdr>
            <w:top w:val="none" w:sz="0" w:space="0" w:color="auto"/>
            <w:left w:val="none" w:sz="0" w:space="0" w:color="auto"/>
            <w:bottom w:val="none" w:sz="0" w:space="0" w:color="auto"/>
            <w:right w:val="none" w:sz="0" w:space="0" w:color="auto"/>
          </w:divBdr>
        </w:div>
      </w:divsChild>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3261">
      <w:bodyDiv w:val="1"/>
      <w:marLeft w:val="0"/>
      <w:marRight w:val="0"/>
      <w:marTop w:val="0"/>
      <w:marBottom w:val="0"/>
      <w:divBdr>
        <w:top w:val="none" w:sz="0" w:space="0" w:color="auto"/>
        <w:left w:val="none" w:sz="0" w:space="0" w:color="auto"/>
        <w:bottom w:val="none" w:sz="0" w:space="0" w:color="auto"/>
        <w:right w:val="none" w:sz="0" w:space="0" w:color="auto"/>
      </w:divBdr>
      <w:divsChild>
        <w:div w:id="1518155550">
          <w:marLeft w:val="0"/>
          <w:marRight w:val="0"/>
          <w:marTop w:val="0"/>
          <w:marBottom w:val="0"/>
          <w:divBdr>
            <w:top w:val="none" w:sz="0" w:space="0" w:color="auto"/>
            <w:left w:val="none" w:sz="0" w:space="0" w:color="auto"/>
            <w:bottom w:val="none" w:sz="0" w:space="0" w:color="auto"/>
            <w:right w:val="none" w:sz="0" w:space="0" w:color="auto"/>
          </w:divBdr>
        </w:div>
      </w:divsChild>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586572067">
      <w:bodyDiv w:val="1"/>
      <w:marLeft w:val="0"/>
      <w:marRight w:val="0"/>
      <w:marTop w:val="0"/>
      <w:marBottom w:val="0"/>
      <w:divBdr>
        <w:top w:val="none" w:sz="0" w:space="0" w:color="auto"/>
        <w:left w:val="none" w:sz="0" w:space="0" w:color="auto"/>
        <w:bottom w:val="none" w:sz="0" w:space="0" w:color="auto"/>
        <w:right w:val="none" w:sz="0" w:space="0" w:color="auto"/>
      </w:divBdr>
    </w:div>
    <w:div w:id="592402727">
      <w:bodyDiv w:val="1"/>
      <w:marLeft w:val="0"/>
      <w:marRight w:val="0"/>
      <w:marTop w:val="0"/>
      <w:marBottom w:val="0"/>
      <w:divBdr>
        <w:top w:val="none" w:sz="0" w:space="0" w:color="auto"/>
        <w:left w:val="none" w:sz="0" w:space="0" w:color="auto"/>
        <w:bottom w:val="none" w:sz="0" w:space="0" w:color="auto"/>
        <w:right w:val="none" w:sz="0" w:space="0" w:color="auto"/>
      </w:divBdr>
    </w:div>
    <w:div w:id="593974399">
      <w:bodyDiv w:val="1"/>
      <w:marLeft w:val="0"/>
      <w:marRight w:val="0"/>
      <w:marTop w:val="0"/>
      <w:marBottom w:val="0"/>
      <w:divBdr>
        <w:top w:val="none" w:sz="0" w:space="0" w:color="auto"/>
        <w:left w:val="none" w:sz="0" w:space="0" w:color="auto"/>
        <w:bottom w:val="none" w:sz="0" w:space="0" w:color="auto"/>
        <w:right w:val="none" w:sz="0" w:space="0" w:color="auto"/>
      </w:divBdr>
      <w:divsChild>
        <w:div w:id="9258290">
          <w:marLeft w:val="0"/>
          <w:marRight w:val="0"/>
          <w:marTop w:val="0"/>
          <w:marBottom w:val="0"/>
          <w:divBdr>
            <w:top w:val="none" w:sz="0" w:space="0" w:color="auto"/>
            <w:left w:val="none" w:sz="0" w:space="0" w:color="auto"/>
            <w:bottom w:val="none" w:sz="0" w:space="0" w:color="auto"/>
            <w:right w:val="none" w:sz="0" w:space="0" w:color="auto"/>
          </w:divBdr>
          <w:divsChild>
            <w:div w:id="1289361093">
              <w:marLeft w:val="0"/>
              <w:marRight w:val="0"/>
              <w:marTop w:val="0"/>
              <w:marBottom w:val="0"/>
              <w:divBdr>
                <w:top w:val="none" w:sz="0" w:space="0" w:color="auto"/>
                <w:left w:val="none" w:sz="0" w:space="0" w:color="auto"/>
                <w:bottom w:val="none" w:sz="0" w:space="0" w:color="auto"/>
                <w:right w:val="none" w:sz="0" w:space="0" w:color="auto"/>
              </w:divBdr>
              <w:divsChild>
                <w:div w:id="1608347751">
                  <w:marLeft w:val="0"/>
                  <w:marRight w:val="0"/>
                  <w:marTop w:val="0"/>
                  <w:marBottom w:val="0"/>
                  <w:divBdr>
                    <w:top w:val="none" w:sz="0" w:space="0" w:color="auto"/>
                    <w:left w:val="none" w:sz="0" w:space="0" w:color="auto"/>
                    <w:bottom w:val="none" w:sz="0" w:space="0" w:color="auto"/>
                    <w:right w:val="none" w:sz="0" w:space="0" w:color="auto"/>
                  </w:divBdr>
                  <w:divsChild>
                    <w:div w:id="592978428">
                      <w:marLeft w:val="0"/>
                      <w:marRight w:val="0"/>
                      <w:marTop w:val="0"/>
                      <w:marBottom w:val="0"/>
                      <w:divBdr>
                        <w:top w:val="none" w:sz="0" w:space="0" w:color="auto"/>
                        <w:left w:val="none" w:sz="0" w:space="0" w:color="auto"/>
                        <w:bottom w:val="none" w:sz="0" w:space="0" w:color="auto"/>
                        <w:right w:val="none" w:sz="0" w:space="0" w:color="auto"/>
                      </w:divBdr>
                    </w:div>
                    <w:div w:id="11424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381102483">
          <w:marLeft w:val="0"/>
          <w:marRight w:val="0"/>
          <w:marTop w:val="0"/>
          <w:marBottom w:val="0"/>
          <w:divBdr>
            <w:top w:val="none" w:sz="0" w:space="0" w:color="auto"/>
            <w:left w:val="none" w:sz="0" w:space="0" w:color="auto"/>
            <w:bottom w:val="none" w:sz="0" w:space="0" w:color="auto"/>
            <w:right w:val="none" w:sz="0" w:space="0" w:color="auto"/>
          </w:divBdr>
        </w:div>
        <w:div w:id="472529286">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00072105">
      <w:bodyDiv w:val="1"/>
      <w:marLeft w:val="0"/>
      <w:marRight w:val="0"/>
      <w:marTop w:val="0"/>
      <w:marBottom w:val="0"/>
      <w:divBdr>
        <w:top w:val="none" w:sz="0" w:space="0" w:color="auto"/>
        <w:left w:val="none" w:sz="0" w:space="0" w:color="auto"/>
        <w:bottom w:val="none" w:sz="0" w:space="0" w:color="auto"/>
        <w:right w:val="none" w:sz="0" w:space="0" w:color="auto"/>
      </w:divBdr>
      <w:divsChild>
        <w:div w:id="1362584901">
          <w:marLeft w:val="0"/>
          <w:marRight w:val="0"/>
          <w:marTop w:val="0"/>
          <w:marBottom w:val="0"/>
          <w:divBdr>
            <w:top w:val="none" w:sz="0" w:space="0" w:color="auto"/>
            <w:left w:val="none" w:sz="0" w:space="0" w:color="auto"/>
            <w:bottom w:val="none" w:sz="0" w:space="0" w:color="auto"/>
            <w:right w:val="none" w:sz="0" w:space="0" w:color="auto"/>
          </w:divBdr>
          <w:divsChild>
            <w:div w:id="1323317517">
              <w:marLeft w:val="0"/>
              <w:marRight w:val="0"/>
              <w:marTop w:val="0"/>
              <w:marBottom w:val="0"/>
              <w:divBdr>
                <w:top w:val="none" w:sz="0" w:space="0" w:color="auto"/>
                <w:left w:val="none" w:sz="0" w:space="0" w:color="auto"/>
                <w:bottom w:val="none" w:sz="0" w:space="0" w:color="auto"/>
                <w:right w:val="none" w:sz="0" w:space="0" w:color="auto"/>
              </w:divBdr>
              <w:divsChild>
                <w:div w:id="44331282">
                  <w:marLeft w:val="0"/>
                  <w:marRight w:val="0"/>
                  <w:marTop w:val="0"/>
                  <w:marBottom w:val="0"/>
                  <w:divBdr>
                    <w:top w:val="none" w:sz="0" w:space="0" w:color="auto"/>
                    <w:left w:val="none" w:sz="0" w:space="0" w:color="auto"/>
                    <w:bottom w:val="none" w:sz="0" w:space="0" w:color="auto"/>
                    <w:right w:val="none" w:sz="0" w:space="0" w:color="auto"/>
                  </w:divBdr>
                </w:div>
                <w:div w:id="440224991">
                  <w:marLeft w:val="0"/>
                  <w:marRight w:val="0"/>
                  <w:marTop w:val="0"/>
                  <w:marBottom w:val="0"/>
                  <w:divBdr>
                    <w:top w:val="none" w:sz="0" w:space="0" w:color="auto"/>
                    <w:left w:val="none" w:sz="0" w:space="0" w:color="auto"/>
                    <w:bottom w:val="none" w:sz="0" w:space="0" w:color="auto"/>
                    <w:right w:val="none" w:sz="0" w:space="0" w:color="auto"/>
                  </w:divBdr>
                </w:div>
                <w:div w:id="827213542">
                  <w:marLeft w:val="0"/>
                  <w:marRight w:val="0"/>
                  <w:marTop w:val="0"/>
                  <w:marBottom w:val="0"/>
                  <w:divBdr>
                    <w:top w:val="none" w:sz="0" w:space="0" w:color="auto"/>
                    <w:left w:val="none" w:sz="0" w:space="0" w:color="auto"/>
                    <w:bottom w:val="none" w:sz="0" w:space="0" w:color="auto"/>
                    <w:right w:val="none" w:sz="0" w:space="0" w:color="auto"/>
                  </w:divBdr>
                </w:div>
                <w:div w:id="957370357">
                  <w:marLeft w:val="0"/>
                  <w:marRight w:val="0"/>
                  <w:marTop w:val="0"/>
                  <w:marBottom w:val="0"/>
                  <w:divBdr>
                    <w:top w:val="none" w:sz="0" w:space="0" w:color="auto"/>
                    <w:left w:val="none" w:sz="0" w:space="0" w:color="auto"/>
                    <w:bottom w:val="none" w:sz="0" w:space="0" w:color="auto"/>
                    <w:right w:val="none" w:sz="0" w:space="0" w:color="auto"/>
                  </w:divBdr>
                </w:div>
                <w:div w:id="1091969035">
                  <w:marLeft w:val="0"/>
                  <w:marRight w:val="0"/>
                  <w:marTop w:val="0"/>
                  <w:marBottom w:val="0"/>
                  <w:divBdr>
                    <w:top w:val="none" w:sz="0" w:space="0" w:color="auto"/>
                    <w:left w:val="none" w:sz="0" w:space="0" w:color="auto"/>
                    <w:bottom w:val="none" w:sz="0" w:space="0" w:color="auto"/>
                    <w:right w:val="none" w:sz="0" w:space="0" w:color="auto"/>
                  </w:divBdr>
                </w:div>
                <w:div w:id="1197160319">
                  <w:marLeft w:val="0"/>
                  <w:marRight w:val="0"/>
                  <w:marTop w:val="0"/>
                  <w:marBottom w:val="0"/>
                  <w:divBdr>
                    <w:top w:val="none" w:sz="0" w:space="0" w:color="auto"/>
                    <w:left w:val="none" w:sz="0" w:space="0" w:color="auto"/>
                    <w:bottom w:val="none" w:sz="0" w:space="0" w:color="auto"/>
                    <w:right w:val="none" w:sz="0" w:space="0" w:color="auto"/>
                  </w:divBdr>
                </w:div>
                <w:div w:id="1607276504">
                  <w:marLeft w:val="0"/>
                  <w:marRight w:val="0"/>
                  <w:marTop w:val="0"/>
                  <w:marBottom w:val="0"/>
                  <w:divBdr>
                    <w:top w:val="none" w:sz="0" w:space="0" w:color="auto"/>
                    <w:left w:val="none" w:sz="0" w:space="0" w:color="auto"/>
                    <w:bottom w:val="none" w:sz="0" w:space="0" w:color="auto"/>
                    <w:right w:val="none" w:sz="0" w:space="0" w:color="auto"/>
                  </w:divBdr>
                </w:div>
                <w:div w:id="1673948150">
                  <w:marLeft w:val="0"/>
                  <w:marRight w:val="0"/>
                  <w:marTop w:val="0"/>
                  <w:marBottom w:val="0"/>
                  <w:divBdr>
                    <w:top w:val="none" w:sz="0" w:space="0" w:color="auto"/>
                    <w:left w:val="none" w:sz="0" w:space="0" w:color="auto"/>
                    <w:bottom w:val="none" w:sz="0" w:space="0" w:color="auto"/>
                    <w:right w:val="none" w:sz="0" w:space="0" w:color="auto"/>
                  </w:divBdr>
                </w:div>
                <w:div w:id="1993605512">
                  <w:marLeft w:val="0"/>
                  <w:marRight w:val="0"/>
                  <w:marTop w:val="0"/>
                  <w:marBottom w:val="0"/>
                  <w:divBdr>
                    <w:top w:val="none" w:sz="0" w:space="0" w:color="auto"/>
                    <w:left w:val="none" w:sz="0" w:space="0" w:color="auto"/>
                    <w:bottom w:val="none" w:sz="0" w:space="0" w:color="auto"/>
                    <w:right w:val="none" w:sz="0" w:space="0" w:color="auto"/>
                  </w:divBdr>
                </w:div>
                <w:div w:id="2089620456">
                  <w:marLeft w:val="0"/>
                  <w:marRight w:val="0"/>
                  <w:marTop w:val="0"/>
                  <w:marBottom w:val="0"/>
                  <w:divBdr>
                    <w:top w:val="none" w:sz="0" w:space="0" w:color="auto"/>
                    <w:left w:val="none" w:sz="0" w:space="0" w:color="auto"/>
                    <w:bottom w:val="none" w:sz="0" w:space="0" w:color="auto"/>
                    <w:right w:val="none" w:sz="0" w:space="0" w:color="auto"/>
                  </w:divBdr>
                </w:div>
              </w:divsChild>
            </w:div>
            <w:div w:id="2052807443">
              <w:marLeft w:val="0"/>
              <w:marRight w:val="0"/>
              <w:marTop w:val="0"/>
              <w:marBottom w:val="0"/>
              <w:divBdr>
                <w:top w:val="none" w:sz="0" w:space="0" w:color="auto"/>
                <w:left w:val="none" w:sz="0" w:space="0" w:color="auto"/>
                <w:bottom w:val="none" w:sz="0" w:space="0" w:color="auto"/>
                <w:right w:val="none" w:sz="0" w:space="0" w:color="auto"/>
              </w:divBdr>
              <w:divsChild>
                <w:div w:id="82117134">
                  <w:marLeft w:val="0"/>
                  <w:marRight w:val="0"/>
                  <w:marTop w:val="0"/>
                  <w:marBottom w:val="0"/>
                  <w:divBdr>
                    <w:top w:val="none" w:sz="0" w:space="0" w:color="auto"/>
                    <w:left w:val="none" w:sz="0" w:space="0" w:color="auto"/>
                    <w:bottom w:val="none" w:sz="0" w:space="0" w:color="auto"/>
                    <w:right w:val="none" w:sz="0" w:space="0" w:color="auto"/>
                  </w:divBdr>
                </w:div>
                <w:div w:id="206265377">
                  <w:marLeft w:val="0"/>
                  <w:marRight w:val="0"/>
                  <w:marTop w:val="0"/>
                  <w:marBottom w:val="0"/>
                  <w:divBdr>
                    <w:top w:val="none" w:sz="0" w:space="0" w:color="auto"/>
                    <w:left w:val="none" w:sz="0" w:space="0" w:color="auto"/>
                    <w:bottom w:val="none" w:sz="0" w:space="0" w:color="auto"/>
                    <w:right w:val="none" w:sz="0" w:space="0" w:color="auto"/>
                  </w:divBdr>
                </w:div>
                <w:div w:id="367530669">
                  <w:marLeft w:val="0"/>
                  <w:marRight w:val="0"/>
                  <w:marTop w:val="0"/>
                  <w:marBottom w:val="0"/>
                  <w:divBdr>
                    <w:top w:val="none" w:sz="0" w:space="0" w:color="auto"/>
                    <w:left w:val="none" w:sz="0" w:space="0" w:color="auto"/>
                    <w:bottom w:val="none" w:sz="0" w:space="0" w:color="auto"/>
                    <w:right w:val="none" w:sz="0" w:space="0" w:color="auto"/>
                  </w:divBdr>
                </w:div>
                <w:div w:id="471026843">
                  <w:marLeft w:val="0"/>
                  <w:marRight w:val="0"/>
                  <w:marTop w:val="0"/>
                  <w:marBottom w:val="0"/>
                  <w:divBdr>
                    <w:top w:val="none" w:sz="0" w:space="0" w:color="auto"/>
                    <w:left w:val="none" w:sz="0" w:space="0" w:color="auto"/>
                    <w:bottom w:val="none" w:sz="0" w:space="0" w:color="auto"/>
                    <w:right w:val="none" w:sz="0" w:space="0" w:color="auto"/>
                  </w:divBdr>
                </w:div>
                <w:div w:id="556626120">
                  <w:marLeft w:val="0"/>
                  <w:marRight w:val="0"/>
                  <w:marTop w:val="0"/>
                  <w:marBottom w:val="0"/>
                  <w:divBdr>
                    <w:top w:val="none" w:sz="0" w:space="0" w:color="auto"/>
                    <w:left w:val="none" w:sz="0" w:space="0" w:color="auto"/>
                    <w:bottom w:val="none" w:sz="0" w:space="0" w:color="auto"/>
                    <w:right w:val="none" w:sz="0" w:space="0" w:color="auto"/>
                  </w:divBdr>
                </w:div>
                <w:div w:id="624848444">
                  <w:marLeft w:val="0"/>
                  <w:marRight w:val="0"/>
                  <w:marTop w:val="0"/>
                  <w:marBottom w:val="0"/>
                  <w:divBdr>
                    <w:top w:val="none" w:sz="0" w:space="0" w:color="auto"/>
                    <w:left w:val="none" w:sz="0" w:space="0" w:color="auto"/>
                    <w:bottom w:val="none" w:sz="0" w:space="0" w:color="auto"/>
                    <w:right w:val="none" w:sz="0" w:space="0" w:color="auto"/>
                  </w:divBdr>
                </w:div>
                <w:div w:id="1062214223">
                  <w:marLeft w:val="0"/>
                  <w:marRight w:val="0"/>
                  <w:marTop w:val="0"/>
                  <w:marBottom w:val="0"/>
                  <w:divBdr>
                    <w:top w:val="none" w:sz="0" w:space="0" w:color="auto"/>
                    <w:left w:val="none" w:sz="0" w:space="0" w:color="auto"/>
                    <w:bottom w:val="none" w:sz="0" w:space="0" w:color="auto"/>
                    <w:right w:val="none" w:sz="0" w:space="0" w:color="auto"/>
                  </w:divBdr>
                </w:div>
                <w:div w:id="1322387030">
                  <w:marLeft w:val="0"/>
                  <w:marRight w:val="0"/>
                  <w:marTop w:val="0"/>
                  <w:marBottom w:val="0"/>
                  <w:divBdr>
                    <w:top w:val="none" w:sz="0" w:space="0" w:color="auto"/>
                    <w:left w:val="none" w:sz="0" w:space="0" w:color="auto"/>
                    <w:bottom w:val="none" w:sz="0" w:space="0" w:color="auto"/>
                    <w:right w:val="none" w:sz="0" w:space="0" w:color="auto"/>
                  </w:divBdr>
                </w:div>
                <w:div w:id="1856766624">
                  <w:marLeft w:val="0"/>
                  <w:marRight w:val="0"/>
                  <w:marTop w:val="0"/>
                  <w:marBottom w:val="0"/>
                  <w:divBdr>
                    <w:top w:val="none" w:sz="0" w:space="0" w:color="auto"/>
                    <w:left w:val="none" w:sz="0" w:space="0" w:color="auto"/>
                    <w:bottom w:val="none" w:sz="0" w:space="0" w:color="auto"/>
                    <w:right w:val="none" w:sz="0" w:space="0" w:color="auto"/>
                  </w:divBdr>
                </w:div>
                <w:div w:id="19826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503">
      <w:bodyDiv w:val="1"/>
      <w:marLeft w:val="0"/>
      <w:marRight w:val="0"/>
      <w:marTop w:val="0"/>
      <w:marBottom w:val="0"/>
      <w:divBdr>
        <w:top w:val="none" w:sz="0" w:space="0" w:color="auto"/>
        <w:left w:val="none" w:sz="0" w:space="0" w:color="auto"/>
        <w:bottom w:val="none" w:sz="0" w:space="0" w:color="auto"/>
        <w:right w:val="none" w:sz="0" w:space="0" w:color="auto"/>
      </w:divBdr>
      <w:divsChild>
        <w:div w:id="1633443077">
          <w:marLeft w:val="0"/>
          <w:marRight w:val="0"/>
          <w:marTop w:val="0"/>
          <w:marBottom w:val="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01543510">
      <w:bodyDiv w:val="1"/>
      <w:marLeft w:val="0"/>
      <w:marRight w:val="0"/>
      <w:marTop w:val="0"/>
      <w:marBottom w:val="0"/>
      <w:divBdr>
        <w:top w:val="none" w:sz="0" w:space="0" w:color="auto"/>
        <w:left w:val="none" w:sz="0" w:space="0" w:color="auto"/>
        <w:bottom w:val="none" w:sz="0" w:space="0" w:color="auto"/>
        <w:right w:val="none" w:sz="0" w:space="0" w:color="auto"/>
      </w:divBdr>
      <w:divsChild>
        <w:div w:id="411005721">
          <w:marLeft w:val="0"/>
          <w:marRight w:val="0"/>
          <w:marTop w:val="0"/>
          <w:marBottom w:val="0"/>
          <w:divBdr>
            <w:top w:val="none" w:sz="0" w:space="0" w:color="auto"/>
            <w:left w:val="none" w:sz="0" w:space="0" w:color="auto"/>
            <w:bottom w:val="none" w:sz="0" w:space="0" w:color="auto"/>
            <w:right w:val="none" w:sz="0" w:space="0" w:color="auto"/>
          </w:divBdr>
          <w:divsChild>
            <w:div w:id="456605988">
              <w:marLeft w:val="0"/>
              <w:marRight w:val="0"/>
              <w:marTop w:val="0"/>
              <w:marBottom w:val="0"/>
              <w:divBdr>
                <w:top w:val="none" w:sz="0" w:space="0" w:color="auto"/>
                <w:left w:val="none" w:sz="0" w:space="0" w:color="auto"/>
                <w:bottom w:val="none" w:sz="0" w:space="0" w:color="auto"/>
                <w:right w:val="none" w:sz="0" w:space="0" w:color="auto"/>
              </w:divBdr>
            </w:div>
            <w:div w:id="800465272">
              <w:marLeft w:val="0"/>
              <w:marRight w:val="0"/>
              <w:marTop w:val="0"/>
              <w:marBottom w:val="0"/>
              <w:divBdr>
                <w:top w:val="none" w:sz="0" w:space="0" w:color="auto"/>
                <w:left w:val="none" w:sz="0" w:space="0" w:color="auto"/>
                <w:bottom w:val="none" w:sz="0" w:space="0" w:color="auto"/>
                <w:right w:val="none" w:sz="0" w:space="0" w:color="auto"/>
              </w:divBdr>
            </w:div>
            <w:div w:id="10335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6655">
      <w:bodyDiv w:val="1"/>
      <w:marLeft w:val="0"/>
      <w:marRight w:val="0"/>
      <w:marTop w:val="0"/>
      <w:marBottom w:val="0"/>
      <w:divBdr>
        <w:top w:val="none" w:sz="0" w:space="0" w:color="auto"/>
        <w:left w:val="none" w:sz="0" w:space="0" w:color="auto"/>
        <w:bottom w:val="none" w:sz="0" w:space="0" w:color="auto"/>
        <w:right w:val="none" w:sz="0" w:space="0" w:color="auto"/>
      </w:divBdr>
      <w:divsChild>
        <w:div w:id="1722169349">
          <w:marLeft w:val="0"/>
          <w:marRight w:val="0"/>
          <w:marTop w:val="0"/>
          <w:marBottom w:val="0"/>
          <w:divBdr>
            <w:top w:val="none" w:sz="0" w:space="0" w:color="auto"/>
            <w:left w:val="none" w:sz="0" w:space="0" w:color="auto"/>
            <w:bottom w:val="none" w:sz="0" w:space="0" w:color="auto"/>
            <w:right w:val="none" w:sz="0" w:space="0" w:color="auto"/>
          </w:divBdr>
          <w:divsChild>
            <w:div w:id="144663373">
              <w:marLeft w:val="0"/>
              <w:marRight w:val="0"/>
              <w:marTop w:val="0"/>
              <w:marBottom w:val="0"/>
              <w:divBdr>
                <w:top w:val="none" w:sz="0" w:space="0" w:color="auto"/>
                <w:left w:val="none" w:sz="0" w:space="0" w:color="auto"/>
                <w:bottom w:val="none" w:sz="0" w:space="0" w:color="auto"/>
                <w:right w:val="none" w:sz="0" w:space="0" w:color="auto"/>
              </w:divBdr>
            </w:div>
            <w:div w:id="215044072">
              <w:marLeft w:val="0"/>
              <w:marRight w:val="0"/>
              <w:marTop w:val="0"/>
              <w:marBottom w:val="0"/>
              <w:divBdr>
                <w:top w:val="none" w:sz="0" w:space="0" w:color="auto"/>
                <w:left w:val="none" w:sz="0" w:space="0" w:color="auto"/>
                <w:bottom w:val="none" w:sz="0" w:space="0" w:color="auto"/>
                <w:right w:val="none" w:sz="0" w:space="0" w:color="auto"/>
              </w:divBdr>
            </w:div>
            <w:div w:id="688531451">
              <w:marLeft w:val="0"/>
              <w:marRight w:val="0"/>
              <w:marTop w:val="0"/>
              <w:marBottom w:val="0"/>
              <w:divBdr>
                <w:top w:val="none" w:sz="0" w:space="0" w:color="auto"/>
                <w:left w:val="none" w:sz="0" w:space="0" w:color="auto"/>
                <w:bottom w:val="none" w:sz="0" w:space="0" w:color="auto"/>
                <w:right w:val="none" w:sz="0" w:space="0" w:color="auto"/>
              </w:divBdr>
            </w:div>
            <w:div w:id="703020754">
              <w:marLeft w:val="0"/>
              <w:marRight w:val="0"/>
              <w:marTop w:val="0"/>
              <w:marBottom w:val="0"/>
              <w:divBdr>
                <w:top w:val="none" w:sz="0" w:space="0" w:color="auto"/>
                <w:left w:val="none" w:sz="0" w:space="0" w:color="auto"/>
                <w:bottom w:val="none" w:sz="0" w:space="0" w:color="auto"/>
                <w:right w:val="none" w:sz="0" w:space="0" w:color="auto"/>
              </w:divBdr>
            </w:div>
            <w:div w:id="1623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5917">
      <w:bodyDiv w:val="1"/>
      <w:marLeft w:val="0"/>
      <w:marRight w:val="0"/>
      <w:marTop w:val="0"/>
      <w:marBottom w:val="0"/>
      <w:divBdr>
        <w:top w:val="none" w:sz="0" w:space="0" w:color="auto"/>
        <w:left w:val="none" w:sz="0" w:space="0" w:color="auto"/>
        <w:bottom w:val="none" w:sz="0" w:space="0" w:color="auto"/>
        <w:right w:val="none" w:sz="0" w:space="0" w:color="auto"/>
      </w:divBdr>
      <w:divsChild>
        <w:div w:id="2120176911">
          <w:marLeft w:val="0"/>
          <w:marRight w:val="0"/>
          <w:marTop w:val="0"/>
          <w:marBottom w:val="0"/>
          <w:divBdr>
            <w:top w:val="none" w:sz="0" w:space="0" w:color="auto"/>
            <w:left w:val="none" w:sz="0" w:space="0" w:color="auto"/>
            <w:bottom w:val="none" w:sz="0" w:space="0" w:color="auto"/>
            <w:right w:val="none" w:sz="0" w:space="0" w:color="auto"/>
          </w:divBdr>
        </w:div>
      </w:divsChild>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51226646">
      <w:bodyDiv w:val="1"/>
      <w:marLeft w:val="0"/>
      <w:marRight w:val="0"/>
      <w:marTop w:val="0"/>
      <w:marBottom w:val="0"/>
      <w:divBdr>
        <w:top w:val="none" w:sz="0" w:space="0" w:color="auto"/>
        <w:left w:val="none" w:sz="0" w:space="0" w:color="auto"/>
        <w:bottom w:val="none" w:sz="0" w:space="0" w:color="auto"/>
        <w:right w:val="none" w:sz="0" w:space="0" w:color="auto"/>
      </w:divBdr>
      <w:divsChild>
        <w:div w:id="1926763493">
          <w:marLeft w:val="0"/>
          <w:marRight w:val="0"/>
          <w:marTop w:val="0"/>
          <w:marBottom w:val="0"/>
          <w:divBdr>
            <w:top w:val="none" w:sz="0" w:space="0" w:color="auto"/>
            <w:left w:val="none" w:sz="0" w:space="0" w:color="auto"/>
            <w:bottom w:val="none" w:sz="0" w:space="0" w:color="auto"/>
            <w:right w:val="none" w:sz="0" w:space="0" w:color="auto"/>
          </w:divBdr>
          <w:divsChild>
            <w:div w:id="1053238341">
              <w:marLeft w:val="0"/>
              <w:marRight w:val="0"/>
              <w:marTop w:val="0"/>
              <w:marBottom w:val="0"/>
              <w:divBdr>
                <w:top w:val="none" w:sz="0" w:space="0" w:color="auto"/>
                <w:left w:val="none" w:sz="0" w:space="0" w:color="auto"/>
                <w:bottom w:val="none" w:sz="0" w:space="0" w:color="auto"/>
                <w:right w:val="none" w:sz="0" w:space="0" w:color="auto"/>
              </w:divBdr>
            </w:div>
            <w:div w:id="21457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26394507">
      <w:bodyDiv w:val="1"/>
      <w:marLeft w:val="0"/>
      <w:marRight w:val="0"/>
      <w:marTop w:val="0"/>
      <w:marBottom w:val="0"/>
      <w:divBdr>
        <w:top w:val="none" w:sz="0" w:space="0" w:color="auto"/>
        <w:left w:val="none" w:sz="0" w:space="0" w:color="auto"/>
        <w:bottom w:val="none" w:sz="0" w:space="0" w:color="auto"/>
        <w:right w:val="none" w:sz="0" w:space="0" w:color="auto"/>
      </w:divBdr>
      <w:divsChild>
        <w:div w:id="499931618">
          <w:marLeft w:val="0"/>
          <w:marRight w:val="0"/>
          <w:marTop w:val="0"/>
          <w:marBottom w:val="0"/>
          <w:divBdr>
            <w:top w:val="none" w:sz="0" w:space="0" w:color="auto"/>
            <w:left w:val="none" w:sz="0" w:space="0" w:color="auto"/>
            <w:bottom w:val="none" w:sz="0" w:space="0" w:color="auto"/>
            <w:right w:val="none" w:sz="0" w:space="0" w:color="auto"/>
          </w:divBdr>
          <w:divsChild>
            <w:div w:id="90400045">
              <w:marLeft w:val="0"/>
              <w:marRight w:val="0"/>
              <w:marTop w:val="0"/>
              <w:marBottom w:val="0"/>
              <w:divBdr>
                <w:top w:val="none" w:sz="0" w:space="0" w:color="auto"/>
                <w:left w:val="none" w:sz="0" w:space="0" w:color="auto"/>
                <w:bottom w:val="none" w:sz="0" w:space="0" w:color="auto"/>
                <w:right w:val="none" w:sz="0" w:space="0" w:color="auto"/>
              </w:divBdr>
            </w:div>
            <w:div w:id="452869733">
              <w:marLeft w:val="0"/>
              <w:marRight w:val="0"/>
              <w:marTop w:val="0"/>
              <w:marBottom w:val="0"/>
              <w:divBdr>
                <w:top w:val="none" w:sz="0" w:space="0" w:color="auto"/>
                <w:left w:val="none" w:sz="0" w:space="0" w:color="auto"/>
                <w:bottom w:val="none" w:sz="0" w:space="0" w:color="auto"/>
                <w:right w:val="none" w:sz="0" w:space="0" w:color="auto"/>
              </w:divBdr>
            </w:div>
            <w:div w:id="1092238680">
              <w:marLeft w:val="0"/>
              <w:marRight w:val="0"/>
              <w:marTop w:val="0"/>
              <w:marBottom w:val="0"/>
              <w:divBdr>
                <w:top w:val="none" w:sz="0" w:space="0" w:color="auto"/>
                <w:left w:val="none" w:sz="0" w:space="0" w:color="auto"/>
                <w:bottom w:val="none" w:sz="0" w:space="0" w:color="auto"/>
                <w:right w:val="none" w:sz="0" w:space="0" w:color="auto"/>
              </w:divBdr>
            </w:div>
            <w:div w:id="15199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194267184">
      <w:bodyDiv w:val="1"/>
      <w:marLeft w:val="0"/>
      <w:marRight w:val="0"/>
      <w:marTop w:val="0"/>
      <w:marBottom w:val="0"/>
      <w:divBdr>
        <w:top w:val="none" w:sz="0" w:space="0" w:color="auto"/>
        <w:left w:val="none" w:sz="0" w:space="0" w:color="auto"/>
        <w:bottom w:val="none" w:sz="0" w:space="0" w:color="auto"/>
        <w:right w:val="none" w:sz="0" w:space="0" w:color="auto"/>
      </w:divBdr>
      <w:divsChild>
        <w:div w:id="161244142">
          <w:marLeft w:val="0"/>
          <w:marRight w:val="0"/>
          <w:marTop w:val="0"/>
          <w:marBottom w:val="0"/>
          <w:divBdr>
            <w:top w:val="none" w:sz="0" w:space="0" w:color="auto"/>
            <w:left w:val="none" w:sz="0" w:space="0" w:color="auto"/>
            <w:bottom w:val="none" w:sz="0" w:space="0" w:color="auto"/>
            <w:right w:val="none" w:sz="0" w:space="0" w:color="auto"/>
          </w:divBdr>
        </w:div>
      </w:divsChild>
    </w:div>
    <w:div w:id="1214124876">
      <w:bodyDiv w:val="1"/>
      <w:marLeft w:val="0"/>
      <w:marRight w:val="0"/>
      <w:marTop w:val="0"/>
      <w:marBottom w:val="0"/>
      <w:divBdr>
        <w:top w:val="none" w:sz="0" w:space="0" w:color="auto"/>
        <w:left w:val="none" w:sz="0" w:space="0" w:color="auto"/>
        <w:bottom w:val="none" w:sz="0" w:space="0" w:color="auto"/>
        <w:right w:val="none" w:sz="0" w:space="0" w:color="auto"/>
      </w:divBdr>
      <w:divsChild>
        <w:div w:id="1468742845">
          <w:marLeft w:val="0"/>
          <w:marRight w:val="0"/>
          <w:marTop w:val="0"/>
          <w:marBottom w:val="0"/>
          <w:divBdr>
            <w:top w:val="none" w:sz="0" w:space="0" w:color="auto"/>
            <w:left w:val="none" w:sz="0" w:space="0" w:color="auto"/>
            <w:bottom w:val="none" w:sz="0" w:space="0" w:color="auto"/>
            <w:right w:val="none" w:sz="0" w:space="0" w:color="auto"/>
          </w:divBdr>
          <w:divsChild>
            <w:div w:id="147599525">
              <w:marLeft w:val="0"/>
              <w:marRight w:val="0"/>
              <w:marTop w:val="0"/>
              <w:marBottom w:val="0"/>
              <w:divBdr>
                <w:top w:val="none" w:sz="0" w:space="0" w:color="auto"/>
                <w:left w:val="none" w:sz="0" w:space="0" w:color="auto"/>
                <w:bottom w:val="none" w:sz="0" w:space="0" w:color="auto"/>
                <w:right w:val="none" w:sz="0" w:space="0" w:color="auto"/>
              </w:divBdr>
            </w:div>
            <w:div w:id="418714253">
              <w:marLeft w:val="0"/>
              <w:marRight w:val="0"/>
              <w:marTop w:val="0"/>
              <w:marBottom w:val="0"/>
              <w:divBdr>
                <w:top w:val="none" w:sz="0" w:space="0" w:color="auto"/>
                <w:left w:val="none" w:sz="0" w:space="0" w:color="auto"/>
                <w:bottom w:val="none" w:sz="0" w:space="0" w:color="auto"/>
                <w:right w:val="none" w:sz="0" w:space="0" w:color="auto"/>
              </w:divBdr>
            </w:div>
            <w:div w:id="644699865">
              <w:marLeft w:val="0"/>
              <w:marRight w:val="0"/>
              <w:marTop w:val="0"/>
              <w:marBottom w:val="0"/>
              <w:divBdr>
                <w:top w:val="none" w:sz="0" w:space="0" w:color="auto"/>
                <w:left w:val="none" w:sz="0" w:space="0" w:color="auto"/>
                <w:bottom w:val="none" w:sz="0" w:space="0" w:color="auto"/>
                <w:right w:val="none" w:sz="0" w:space="0" w:color="auto"/>
              </w:divBdr>
            </w:div>
            <w:div w:id="796993632">
              <w:marLeft w:val="0"/>
              <w:marRight w:val="0"/>
              <w:marTop w:val="0"/>
              <w:marBottom w:val="0"/>
              <w:divBdr>
                <w:top w:val="none" w:sz="0" w:space="0" w:color="auto"/>
                <w:left w:val="none" w:sz="0" w:space="0" w:color="auto"/>
                <w:bottom w:val="none" w:sz="0" w:space="0" w:color="auto"/>
                <w:right w:val="none" w:sz="0" w:space="0" w:color="auto"/>
              </w:divBdr>
            </w:div>
            <w:div w:id="1656258085">
              <w:marLeft w:val="0"/>
              <w:marRight w:val="0"/>
              <w:marTop w:val="0"/>
              <w:marBottom w:val="0"/>
              <w:divBdr>
                <w:top w:val="none" w:sz="0" w:space="0" w:color="auto"/>
                <w:left w:val="none" w:sz="0" w:space="0" w:color="auto"/>
                <w:bottom w:val="none" w:sz="0" w:space="0" w:color="auto"/>
                <w:right w:val="none" w:sz="0" w:space="0" w:color="auto"/>
              </w:divBdr>
            </w:div>
            <w:div w:id="1777090690">
              <w:marLeft w:val="0"/>
              <w:marRight w:val="0"/>
              <w:marTop w:val="0"/>
              <w:marBottom w:val="0"/>
              <w:divBdr>
                <w:top w:val="none" w:sz="0" w:space="0" w:color="auto"/>
                <w:left w:val="none" w:sz="0" w:space="0" w:color="auto"/>
                <w:bottom w:val="none" w:sz="0" w:space="0" w:color="auto"/>
                <w:right w:val="none" w:sz="0" w:space="0" w:color="auto"/>
              </w:divBdr>
            </w:div>
            <w:div w:id="1863666487">
              <w:marLeft w:val="0"/>
              <w:marRight w:val="0"/>
              <w:marTop w:val="0"/>
              <w:marBottom w:val="0"/>
              <w:divBdr>
                <w:top w:val="none" w:sz="0" w:space="0" w:color="auto"/>
                <w:left w:val="none" w:sz="0" w:space="0" w:color="auto"/>
                <w:bottom w:val="none" w:sz="0" w:space="0" w:color="auto"/>
                <w:right w:val="none" w:sz="0" w:space="0" w:color="auto"/>
              </w:divBdr>
            </w:div>
            <w:div w:id="20877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498422232">
      <w:bodyDiv w:val="1"/>
      <w:marLeft w:val="0"/>
      <w:marRight w:val="0"/>
      <w:marTop w:val="0"/>
      <w:marBottom w:val="0"/>
      <w:divBdr>
        <w:top w:val="none" w:sz="0" w:space="0" w:color="auto"/>
        <w:left w:val="none" w:sz="0" w:space="0" w:color="auto"/>
        <w:bottom w:val="none" w:sz="0" w:space="0" w:color="auto"/>
        <w:right w:val="none" w:sz="0" w:space="0" w:color="auto"/>
      </w:divBdr>
      <w:divsChild>
        <w:div w:id="79640175">
          <w:marLeft w:val="0"/>
          <w:marRight w:val="0"/>
          <w:marTop w:val="0"/>
          <w:marBottom w:val="0"/>
          <w:divBdr>
            <w:top w:val="none" w:sz="0" w:space="0" w:color="auto"/>
            <w:left w:val="none" w:sz="0" w:space="0" w:color="auto"/>
            <w:bottom w:val="none" w:sz="0" w:space="0" w:color="auto"/>
            <w:right w:val="none" w:sz="0" w:space="0" w:color="auto"/>
          </w:divBdr>
          <w:divsChild>
            <w:div w:id="366106647">
              <w:marLeft w:val="0"/>
              <w:marRight w:val="0"/>
              <w:marTop w:val="0"/>
              <w:marBottom w:val="0"/>
              <w:divBdr>
                <w:top w:val="none" w:sz="0" w:space="0" w:color="auto"/>
                <w:left w:val="none" w:sz="0" w:space="0" w:color="auto"/>
                <w:bottom w:val="none" w:sz="0" w:space="0" w:color="auto"/>
                <w:right w:val="none" w:sz="0" w:space="0" w:color="auto"/>
              </w:divBdr>
              <w:divsChild>
                <w:div w:id="60294932">
                  <w:marLeft w:val="0"/>
                  <w:marRight w:val="0"/>
                  <w:marTop w:val="0"/>
                  <w:marBottom w:val="0"/>
                  <w:divBdr>
                    <w:top w:val="none" w:sz="0" w:space="0" w:color="auto"/>
                    <w:left w:val="none" w:sz="0" w:space="0" w:color="auto"/>
                    <w:bottom w:val="none" w:sz="0" w:space="0" w:color="auto"/>
                    <w:right w:val="none" w:sz="0" w:space="0" w:color="auto"/>
                  </w:divBdr>
                </w:div>
                <w:div w:id="115608075">
                  <w:marLeft w:val="0"/>
                  <w:marRight w:val="0"/>
                  <w:marTop w:val="0"/>
                  <w:marBottom w:val="0"/>
                  <w:divBdr>
                    <w:top w:val="none" w:sz="0" w:space="0" w:color="auto"/>
                    <w:left w:val="none" w:sz="0" w:space="0" w:color="auto"/>
                    <w:bottom w:val="none" w:sz="0" w:space="0" w:color="auto"/>
                    <w:right w:val="none" w:sz="0" w:space="0" w:color="auto"/>
                  </w:divBdr>
                </w:div>
                <w:div w:id="260650008">
                  <w:marLeft w:val="0"/>
                  <w:marRight w:val="0"/>
                  <w:marTop w:val="0"/>
                  <w:marBottom w:val="0"/>
                  <w:divBdr>
                    <w:top w:val="none" w:sz="0" w:space="0" w:color="auto"/>
                    <w:left w:val="none" w:sz="0" w:space="0" w:color="auto"/>
                    <w:bottom w:val="none" w:sz="0" w:space="0" w:color="auto"/>
                    <w:right w:val="none" w:sz="0" w:space="0" w:color="auto"/>
                  </w:divBdr>
                </w:div>
                <w:div w:id="295452759">
                  <w:marLeft w:val="0"/>
                  <w:marRight w:val="0"/>
                  <w:marTop w:val="0"/>
                  <w:marBottom w:val="0"/>
                  <w:divBdr>
                    <w:top w:val="none" w:sz="0" w:space="0" w:color="auto"/>
                    <w:left w:val="none" w:sz="0" w:space="0" w:color="auto"/>
                    <w:bottom w:val="none" w:sz="0" w:space="0" w:color="auto"/>
                    <w:right w:val="none" w:sz="0" w:space="0" w:color="auto"/>
                  </w:divBdr>
                </w:div>
                <w:div w:id="3213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 w:id="1884445667">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900">
      <w:bodyDiv w:val="1"/>
      <w:marLeft w:val="0"/>
      <w:marRight w:val="0"/>
      <w:marTop w:val="0"/>
      <w:marBottom w:val="0"/>
      <w:divBdr>
        <w:top w:val="none" w:sz="0" w:space="0" w:color="auto"/>
        <w:left w:val="none" w:sz="0" w:space="0" w:color="auto"/>
        <w:bottom w:val="none" w:sz="0" w:space="0" w:color="auto"/>
        <w:right w:val="none" w:sz="0" w:space="0" w:color="auto"/>
      </w:divBdr>
      <w:divsChild>
        <w:div w:id="445349769">
          <w:marLeft w:val="0"/>
          <w:marRight w:val="0"/>
          <w:marTop w:val="0"/>
          <w:marBottom w:val="0"/>
          <w:divBdr>
            <w:top w:val="none" w:sz="0" w:space="0" w:color="auto"/>
            <w:left w:val="none" w:sz="0" w:space="0" w:color="auto"/>
            <w:bottom w:val="none" w:sz="0" w:space="0" w:color="auto"/>
            <w:right w:val="none" w:sz="0" w:space="0" w:color="auto"/>
          </w:divBdr>
          <w:divsChild>
            <w:div w:id="1372725428">
              <w:marLeft w:val="0"/>
              <w:marRight w:val="0"/>
              <w:marTop w:val="0"/>
              <w:marBottom w:val="0"/>
              <w:divBdr>
                <w:top w:val="none" w:sz="0" w:space="0" w:color="auto"/>
                <w:left w:val="none" w:sz="0" w:space="0" w:color="auto"/>
                <w:bottom w:val="none" w:sz="0" w:space="0" w:color="auto"/>
                <w:right w:val="none" w:sz="0" w:space="0" w:color="auto"/>
              </w:divBdr>
              <w:divsChild>
                <w:div w:id="404033307">
                  <w:marLeft w:val="0"/>
                  <w:marRight w:val="0"/>
                  <w:marTop w:val="0"/>
                  <w:marBottom w:val="0"/>
                  <w:divBdr>
                    <w:top w:val="none" w:sz="0" w:space="0" w:color="auto"/>
                    <w:left w:val="none" w:sz="0" w:space="0" w:color="auto"/>
                    <w:bottom w:val="none" w:sz="0" w:space="0" w:color="auto"/>
                    <w:right w:val="none" w:sz="0" w:space="0" w:color="auto"/>
                  </w:divBdr>
                </w:div>
                <w:div w:id="938370766">
                  <w:marLeft w:val="0"/>
                  <w:marRight w:val="0"/>
                  <w:marTop w:val="0"/>
                  <w:marBottom w:val="0"/>
                  <w:divBdr>
                    <w:top w:val="none" w:sz="0" w:space="0" w:color="auto"/>
                    <w:left w:val="none" w:sz="0" w:space="0" w:color="auto"/>
                    <w:bottom w:val="none" w:sz="0" w:space="0" w:color="auto"/>
                    <w:right w:val="none" w:sz="0" w:space="0" w:color="auto"/>
                  </w:divBdr>
                </w:div>
                <w:div w:id="1045370099">
                  <w:marLeft w:val="0"/>
                  <w:marRight w:val="0"/>
                  <w:marTop w:val="0"/>
                  <w:marBottom w:val="0"/>
                  <w:divBdr>
                    <w:top w:val="none" w:sz="0" w:space="0" w:color="auto"/>
                    <w:left w:val="none" w:sz="0" w:space="0" w:color="auto"/>
                    <w:bottom w:val="none" w:sz="0" w:space="0" w:color="auto"/>
                    <w:right w:val="none" w:sz="0" w:space="0" w:color="auto"/>
                  </w:divBdr>
                </w:div>
                <w:div w:id="1295794204">
                  <w:marLeft w:val="0"/>
                  <w:marRight w:val="0"/>
                  <w:marTop w:val="0"/>
                  <w:marBottom w:val="0"/>
                  <w:divBdr>
                    <w:top w:val="none" w:sz="0" w:space="0" w:color="auto"/>
                    <w:left w:val="none" w:sz="0" w:space="0" w:color="auto"/>
                    <w:bottom w:val="none" w:sz="0" w:space="0" w:color="auto"/>
                    <w:right w:val="none" w:sz="0" w:space="0" w:color="auto"/>
                  </w:divBdr>
                </w:div>
                <w:div w:id="1591739011">
                  <w:marLeft w:val="0"/>
                  <w:marRight w:val="0"/>
                  <w:marTop w:val="0"/>
                  <w:marBottom w:val="0"/>
                  <w:divBdr>
                    <w:top w:val="none" w:sz="0" w:space="0" w:color="auto"/>
                    <w:left w:val="none" w:sz="0" w:space="0" w:color="auto"/>
                    <w:bottom w:val="none" w:sz="0" w:space="0" w:color="auto"/>
                    <w:right w:val="none" w:sz="0" w:space="0" w:color="auto"/>
                  </w:divBdr>
                </w:div>
                <w:div w:id="1618633797">
                  <w:marLeft w:val="0"/>
                  <w:marRight w:val="0"/>
                  <w:marTop w:val="0"/>
                  <w:marBottom w:val="0"/>
                  <w:divBdr>
                    <w:top w:val="none" w:sz="0" w:space="0" w:color="auto"/>
                    <w:left w:val="none" w:sz="0" w:space="0" w:color="auto"/>
                    <w:bottom w:val="none" w:sz="0" w:space="0" w:color="auto"/>
                    <w:right w:val="none" w:sz="0" w:space="0" w:color="auto"/>
                  </w:divBdr>
                </w:div>
                <w:div w:id="1793015679">
                  <w:marLeft w:val="0"/>
                  <w:marRight w:val="0"/>
                  <w:marTop w:val="0"/>
                  <w:marBottom w:val="0"/>
                  <w:divBdr>
                    <w:top w:val="none" w:sz="0" w:space="0" w:color="auto"/>
                    <w:left w:val="none" w:sz="0" w:space="0" w:color="auto"/>
                    <w:bottom w:val="none" w:sz="0" w:space="0" w:color="auto"/>
                    <w:right w:val="none" w:sz="0" w:space="0" w:color="auto"/>
                  </w:divBdr>
                </w:div>
                <w:div w:id="20005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690328150">
      <w:bodyDiv w:val="1"/>
      <w:marLeft w:val="0"/>
      <w:marRight w:val="0"/>
      <w:marTop w:val="0"/>
      <w:marBottom w:val="0"/>
      <w:divBdr>
        <w:top w:val="none" w:sz="0" w:space="0" w:color="auto"/>
        <w:left w:val="none" w:sz="0" w:space="0" w:color="auto"/>
        <w:bottom w:val="none" w:sz="0" w:space="0" w:color="auto"/>
        <w:right w:val="none" w:sz="0" w:space="0" w:color="auto"/>
      </w:divBdr>
      <w:divsChild>
        <w:div w:id="704597133">
          <w:marLeft w:val="0"/>
          <w:marRight w:val="0"/>
          <w:marTop w:val="0"/>
          <w:marBottom w:val="0"/>
          <w:divBdr>
            <w:top w:val="none" w:sz="0" w:space="0" w:color="auto"/>
            <w:left w:val="none" w:sz="0" w:space="0" w:color="auto"/>
            <w:bottom w:val="none" w:sz="0" w:space="0" w:color="auto"/>
            <w:right w:val="none" w:sz="0" w:space="0" w:color="auto"/>
          </w:divBdr>
        </w:div>
      </w:divsChild>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80877">
      <w:bodyDiv w:val="1"/>
      <w:marLeft w:val="0"/>
      <w:marRight w:val="0"/>
      <w:marTop w:val="0"/>
      <w:marBottom w:val="0"/>
      <w:divBdr>
        <w:top w:val="none" w:sz="0" w:space="0" w:color="auto"/>
        <w:left w:val="none" w:sz="0" w:space="0" w:color="auto"/>
        <w:bottom w:val="none" w:sz="0" w:space="0" w:color="auto"/>
        <w:right w:val="none" w:sz="0" w:space="0" w:color="auto"/>
      </w:divBdr>
      <w:divsChild>
        <w:div w:id="197664312">
          <w:marLeft w:val="0"/>
          <w:marRight w:val="0"/>
          <w:marTop w:val="0"/>
          <w:marBottom w:val="0"/>
          <w:divBdr>
            <w:top w:val="none" w:sz="0" w:space="0" w:color="auto"/>
            <w:left w:val="none" w:sz="0" w:space="0" w:color="auto"/>
            <w:bottom w:val="none" w:sz="0" w:space="0" w:color="auto"/>
            <w:right w:val="none" w:sz="0" w:space="0" w:color="auto"/>
          </w:divBdr>
          <w:divsChild>
            <w:div w:id="645158875">
              <w:marLeft w:val="0"/>
              <w:marRight w:val="0"/>
              <w:marTop w:val="0"/>
              <w:marBottom w:val="0"/>
              <w:divBdr>
                <w:top w:val="none" w:sz="0" w:space="0" w:color="auto"/>
                <w:left w:val="none" w:sz="0" w:space="0" w:color="auto"/>
                <w:bottom w:val="none" w:sz="0" w:space="0" w:color="auto"/>
                <w:right w:val="none" w:sz="0" w:space="0" w:color="auto"/>
              </w:divBdr>
              <w:divsChild>
                <w:div w:id="182063185">
                  <w:marLeft w:val="0"/>
                  <w:marRight w:val="0"/>
                  <w:marTop w:val="0"/>
                  <w:marBottom w:val="0"/>
                  <w:divBdr>
                    <w:top w:val="none" w:sz="0" w:space="0" w:color="auto"/>
                    <w:left w:val="none" w:sz="0" w:space="0" w:color="auto"/>
                    <w:bottom w:val="none" w:sz="0" w:space="0" w:color="auto"/>
                    <w:right w:val="none" w:sz="0" w:space="0" w:color="auto"/>
                  </w:divBdr>
                </w:div>
                <w:div w:id="186407256">
                  <w:marLeft w:val="0"/>
                  <w:marRight w:val="0"/>
                  <w:marTop w:val="0"/>
                  <w:marBottom w:val="0"/>
                  <w:divBdr>
                    <w:top w:val="none" w:sz="0" w:space="0" w:color="auto"/>
                    <w:left w:val="none" w:sz="0" w:space="0" w:color="auto"/>
                    <w:bottom w:val="none" w:sz="0" w:space="0" w:color="auto"/>
                    <w:right w:val="none" w:sz="0" w:space="0" w:color="auto"/>
                  </w:divBdr>
                </w:div>
                <w:div w:id="431823740">
                  <w:marLeft w:val="0"/>
                  <w:marRight w:val="0"/>
                  <w:marTop w:val="0"/>
                  <w:marBottom w:val="0"/>
                  <w:divBdr>
                    <w:top w:val="none" w:sz="0" w:space="0" w:color="auto"/>
                    <w:left w:val="none" w:sz="0" w:space="0" w:color="auto"/>
                    <w:bottom w:val="none" w:sz="0" w:space="0" w:color="auto"/>
                    <w:right w:val="none" w:sz="0" w:space="0" w:color="auto"/>
                  </w:divBdr>
                </w:div>
                <w:div w:id="1235623388">
                  <w:marLeft w:val="0"/>
                  <w:marRight w:val="0"/>
                  <w:marTop w:val="0"/>
                  <w:marBottom w:val="0"/>
                  <w:divBdr>
                    <w:top w:val="none" w:sz="0" w:space="0" w:color="auto"/>
                    <w:left w:val="none" w:sz="0" w:space="0" w:color="auto"/>
                    <w:bottom w:val="none" w:sz="0" w:space="0" w:color="auto"/>
                    <w:right w:val="none" w:sz="0" w:space="0" w:color="auto"/>
                  </w:divBdr>
                </w:div>
                <w:div w:id="2005011265">
                  <w:marLeft w:val="0"/>
                  <w:marRight w:val="0"/>
                  <w:marTop w:val="0"/>
                  <w:marBottom w:val="0"/>
                  <w:divBdr>
                    <w:top w:val="none" w:sz="0" w:space="0" w:color="auto"/>
                    <w:left w:val="none" w:sz="0" w:space="0" w:color="auto"/>
                    <w:bottom w:val="none" w:sz="0" w:space="0" w:color="auto"/>
                    <w:right w:val="none" w:sz="0" w:space="0" w:color="auto"/>
                  </w:divBdr>
                </w:div>
                <w:div w:id="2082673163">
                  <w:marLeft w:val="0"/>
                  <w:marRight w:val="0"/>
                  <w:marTop w:val="0"/>
                  <w:marBottom w:val="0"/>
                  <w:divBdr>
                    <w:top w:val="none" w:sz="0" w:space="0" w:color="auto"/>
                    <w:left w:val="none" w:sz="0" w:space="0" w:color="auto"/>
                    <w:bottom w:val="none" w:sz="0" w:space="0" w:color="auto"/>
                    <w:right w:val="none" w:sz="0" w:space="0" w:color="auto"/>
                  </w:divBdr>
                </w:div>
                <w:div w:id="2143187255">
                  <w:marLeft w:val="0"/>
                  <w:marRight w:val="0"/>
                  <w:marTop w:val="0"/>
                  <w:marBottom w:val="0"/>
                  <w:divBdr>
                    <w:top w:val="none" w:sz="0" w:space="0" w:color="auto"/>
                    <w:left w:val="none" w:sz="0" w:space="0" w:color="auto"/>
                    <w:bottom w:val="none" w:sz="0" w:space="0" w:color="auto"/>
                    <w:right w:val="none" w:sz="0" w:space="0" w:color="auto"/>
                  </w:divBdr>
                </w:div>
              </w:divsChild>
            </w:div>
            <w:div w:id="2095392991">
              <w:marLeft w:val="0"/>
              <w:marRight w:val="0"/>
              <w:marTop w:val="0"/>
              <w:marBottom w:val="0"/>
              <w:divBdr>
                <w:top w:val="none" w:sz="0" w:space="0" w:color="auto"/>
                <w:left w:val="none" w:sz="0" w:space="0" w:color="auto"/>
                <w:bottom w:val="none" w:sz="0" w:space="0" w:color="auto"/>
                <w:right w:val="none" w:sz="0" w:space="0" w:color="auto"/>
              </w:divBdr>
              <w:divsChild>
                <w:div w:id="761031012">
                  <w:marLeft w:val="0"/>
                  <w:marRight w:val="0"/>
                  <w:marTop w:val="0"/>
                  <w:marBottom w:val="0"/>
                  <w:divBdr>
                    <w:top w:val="none" w:sz="0" w:space="0" w:color="auto"/>
                    <w:left w:val="none" w:sz="0" w:space="0" w:color="auto"/>
                    <w:bottom w:val="none" w:sz="0" w:space="0" w:color="auto"/>
                    <w:right w:val="none" w:sz="0" w:space="0" w:color="auto"/>
                  </w:divBdr>
                </w:div>
                <w:div w:id="1197768506">
                  <w:marLeft w:val="0"/>
                  <w:marRight w:val="0"/>
                  <w:marTop w:val="0"/>
                  <w:marBottom w:val="0"/>
                  <w:divBdr>
                    <w:top w:val="none" w:sz="0" w:space="0" w:color="auto"/>
                    <w:left w:val="none" w:sz="0" w:space="0" w:color="auto"/>
                    <w:bottom w:val="none" w:sz="0" w:space="0" w:color="auto"/>
                    <w:right w:val="none" w:sz="0" w:space="0" w:color="auto"/>
                  </w:divBdr>
                </w:div>
                <w:div w:id="17464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55252">
      <w:bodyDiv w:val="1"/>
      <w:marLeft w:val="0"/>
      <w:marRight w:val="0"/>
      <w:marTop w:val="0"/>
      <w:marBottom w:val="0"/>
      <w:divBdr>
        <w:top w:val="none" w:sz="0" w:space="0" w:color="auto"/>
        <w:left w:val="none" w:sz="0" w:space="0" w:color="auto"/>
        <w:bottom w:val="none" w:sz="0" w:space="0" w:color="auto"/>
        <w:right w:val="none" w:sz="0" w:space="0" w:color="auto"/>
      </w:divBdr>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785686113">
      <w:bodyDiv w:val="1"/>
      <w:marLeft w:val="0"/>
      <w:marRight w:val="0"/>
      <w:marTop w:val="0"/>
      <w:marBottom w:val="0"/>
      <w:divBdr>
        <w:top w:val="none" w:sz="0" w:space="0" w:color="auto"/>
        <w:left w:val="none" w:sz="0" w:space="0" w:color="auto"/>
        <w:bottom w:val="none" w:sz="0" w:space="0" w:color="auto"/>
        <w:right w:val="none" w:sz="0" w:space="0" w:color="auto"/>
      </w:divBdr>
      <w:divsChild>
        <w:div w:id="1665939873">
          <w:marLeft w:val="0"/>
          <w:marRight w:val="0"/>
          <w:marTop w:val="0"/>
          <w:marBottom w:val="0"/>
          <w:divBdr>
            <w:top w:val="none" w:sz="0" w:space="0" w:color="auto"/>
            <w:left w:val="none" w:sz="0" w:space="0" w:color="auto"/>
            <w:bottom w:val="none" w:sz="0" w:space="0" w:color="auto"/>
            <w:right w:val="none" w:sz="0" w:space="0" w:color="auto"/>
          </w:divBdr>
          <w:divsChild>
            <w:div w:id="25982343">
              <w:marLeft w:val="0"/>
              <w:marRight w:val="0"/>
              <w:marTop w:val="0"/>
              <w:marBottom w:val="0"/>
              <w:divBdr>
                <w:top w:val="none" w:sz="0" w:space="0" w:color="auto"/>
                <w:left w:val="none" w:sz="0" w:space="0" w:color="auto"/>
                <w:bottom w:val="none" w:sz="0" w:space="0" w:color="auto"/>
                <w:right w:val="none" w:sz="0" w:space="0" w:color="auto"/>
              </w:divBdr>
              <w:divsChild>
                <w:div w:id="1039361274">
                  <w:marLeft w:val="0"/>
                  <w:marRight w:val="0"/>
                  <w:marTop w:val="0"/>
                  <w:marBottom w:val="0"/>
                  <w:divBdr>
                    <w:top w:val="none" w:sz="0" w:space="0" w:color="auto"/>
                    <w:left w:val="none" w:sz="0" w:space="0" w:color="auto"/>
                    <w:bottom w:val="none" w:sz="0" w:space="0" w:color="auto"/>
                    <w:right w:val="none" w:sz="0" w:space="0" w:color="auto"/>
                  </w:divBdr>
                </w:div>
                <w:div w:id="1176771122">
                  <w:marLeft w:val="0"/>
                  <w:marRight w:val="0"/>
                  <w:marTop w:val="0"/>
                  <w:marBottom w:val="0"/>
                  <w:divBdr>
                    <w:top w:val="none" w:sz="0" w:space="0" w:color="auto"/>
                    <w:left w:val="none" w:sz="0" w:space="0" w:color="auto"/>
                    <w:bottom w:val="none" w:sz="0" w:space="0" w:color="auto"/>
                    <w:right w:val="none" w:sz="0" w:space="0" w:color="auto"/>
                  </w:divBdr>
                </w:div>
                <w:div w:id="1610967224">
                  <w:marLeft w:val="0"/>
                  <w:marRight w:val="0"/>
                  <w:marTop w:val="0"/>
                  <w:marBottom w:val="0"/>
                  <w:divBdr>
                    <w:top w:val="none" w:sz="0" w:space="0" w:color="auto"/>
                    <w:left w:val="none" w:sz="0" w:space="0" w:color="auto"/>
                    <w:bottom w:val="none" w:sz="0" w:space="0" w:color="auto"/>
                    <w:right w:val="none" w:sz="0" w:space="0" w:color="auto"/>
                  </w:divBdr>
                </w:div>
              </w:divsChild>
            </w:div>
            <w:div w:id="862742207">
              <w:marLeft w:val="0"/>
              <w:marRight w:val="0"/>
              <w:marTop w:val="0"/>
              <w:marBottom w:val="0"/>
              <w:divBdr>
                <w:top w:val="none" w:sz="0" w:space="0" w:color="auto"/>
                <w:left w:val="none" w:sz="0" w:space="0" w:color="auto"/>
                <w:bottom w:val="none" w:sz="0" w:space="0" w:color="auto"/>
                <w:right w:val="none" w:sz="0" w:space="0" w:color="auto"/>
              </w:divBdr>
            </w:div>
            <w:div w:id="1461222096">
              <w:marLeft w:val="0"/>
              <w:marRight w:val="0"/>
              <w:marTop w:val="0"/>
              <w:marBottom w:val="0"/>
              <w:divBdr>
                <w:top w:val="none" w:sz="0" w:space="0" w:color="auto"/>
                <w:left w:val="none" w:sz="0" w:space="0" w:color="auto"/>
                <w:bottom w:val="none" w:sz="0" w:space="0" w:color="auto"/>
                <w:right w:val="none" w:sz="0" w:space="0" w:color="auto"/>
              </w:divBdr>
            </w:div>
            <w:div w:id="15475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4236">
      <w:bodyDiv w:val="1"/>
      <w:marLeft w:val="0"/>
      <w:marRight w:val="0"/>
      <w:marTop w:val="0"/>
      <w:marBottom w:val="0"/>
      <w:divBdr>
        <w:top w:val="none" w:sz="0" w:space="0" w:color="auto"/>
        <w:left w:val="none" w:sz="0" w:space="0" w:color="auto"/>
        <w:bottom w:val="none" w:sz="0" w:space="0" w:color="auto"/>
        <w:right w:val="none" w:sz="0" w:space="0" w:color="auto"/>
      </w:divBdr>
      <w:divsChild>
        <w:div w:id="885022579">
          <w:marLeft w:val="0"/>
          <w:marRight w:val="0"/>
          <w:marTop w:val="0"/>
          <w:marBottom w:val="0"/>
          <w:divBdr>
            <w:top w:val="none" w:sz="0" w:space="0" w:color="auto"/>
            <w:left w:val="none" w:sz="0" w:space="0" w:color="auto"/>
            <w:bottom w:val="none" w:sz="0" w:space="0" w:color="auto"/>
            <w:right w:val="none" w:sz="0" w:space="0" w:color="auto"/>
          </w:divBdr>
          <w:divsChild>
            <w:div w:id="581723565">
              <w:marLeft w:val="0"/>
              <w:marRight w:val="0"/>
              <w:marTop w:val="0"/>
              <w:marBottom w:val="0"/>
              <w:divBdr>
                <w:top w:val="none" w:sz="0" w:space="0" w:color="auto"/>
                <w:left w:val="none" w:sz="0" w:space="0" w:color="auto"/>
                <w:bottom w:val="none" w:sz="0" w:space="0" w:color="auto"/>
                <w:right w:val="none" w:sz="0" w:space="0" w:color="auto"/>
              </w:divBdr>
            </w:div>
            <w:div w:id="14445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5734">
      <w:bodyDiv w:val="1"/>
      <w:marLeft w:val="0"/>
      <w:marRight w:val="0"/>
      <w:marTop w:val="0"/>
      <w:marBottom w:val="0"/>
      <w:divBdr>
        <w:top w:val="none" w:sz="0" w:space="0" w:color="auto"/>
        <w:left w:val="none" w:sz="0" w:space="0" w:color="auto"/>
        <w:bottom w:val="none" w:sz="0" w:space="0" w:color="auto"/>
        <w:right w:val="none" w:sz="0" w:space="0" w:color="auto"/>
      </w:divBdr>
      <w:divsChild>
        <w:div w:id="290791075">
          <w:marLeft w:val="0"/>
          <w:marRight w:val="0"/>
          <w:marTop w:val="0"/>
          <w:marBottom w:val="0"/>
          <w:divBdr>
            <w:top w:val="none" w:sz="0" w:space="0" w:color="auto"/>
            <w:left w:val="none" w:sz="0" w:space="0" w:color="auto"/>
            <w:bottom w:val="none" w:sz="0" w:space="0" w:color="auto"/>
            <w:right w:val="none" w:sz="0" w:space="0" w:color="auto"/>
          </w:divBdr>
        </w:div>
        <w:div w:id="1335034336">
          <w:marLeft w:val="0"/>
          <w:marRight w:val="0"/>
          <w:marTop w:val="0"/>
          <w:marBottom w:val="0"/>
          <w:divBdr>
            <w:top w:val="none" w:sz="0" w:space="0" w:color="auto"/>
            <w:left w:val="none" w:sz="0" w:space="0" w:color="auto"/>
            <w:bottom w:val="none" w:sz="0" w:space="0" w:color="auto"/>
            <w:right w:val="none" w:sz="0" w:space="0" w:color="auto"/>
          </w:divBdr>
        </w:div>
        <w:div w:id="1456169272">
          <w:marLeft w:val="0"/>
          <w:marRight w:val="0"/>
          <w:marTop w:val="0"/>
          <w:marBottom w:val="0"/>
          <w:divBdr>
            <w:top w:val="none" w:sz="0" w:space="0" w:color="auto"/>
            <w:left w:val="none" w:sz="0" w:space="0" w:color="auto"/>
            <w:bottom w:val="none" w:sz="0" w:space="0" w:color="auto"/>
            <w:right w:val="none" w:sz="0" w:space="0" w:color="auto"/>
          </w:divBdr>
        </w:div>
        <w:div w:id="1888757583">
          <w:marLeft w:val="0"/>
          <w:marRight w:val="0"/>
          <w:marTop w:val="0"/>
          <w:marBottom w:val="0"/>
          <w:divBdr>
            <w:top w:val="none" w:sz="0" w:space="0" w:color="auto"/>
            <w:left w:val="none" w:sz="0" w:space="0" w:color="auto"/>
            <w:bottom w:val="none" w:sz="0" w:space="0" w:color="auto"/>
            <w:right w:val="none" w:sz="0" w:space="0" w:color="auto"/>
          </w:divBdr>
        </w:div>
      </w:divsChild>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11035005">
      <w:bodyDiv w:val="1"/>
      <w:marLeft w:val="0"/>
      <w:marRight w:val="0"/>
      <w:marTop w:val="0"/>
      <w:marBottom w:val="0"/>
      <w:divBdr>
        <w:top w:val="none" w:sz="0" w:space="0" w:color="auto"/>
        <w:left w:val="none" w:sz="0" w:space="0" w:color="auto"/>
        <w:bottom w:val="none" w:sz="0" w:space="0" w:color="auto"/>
        <w:right w:val="none" w:sz="0" w:space="0" w:color="auto"/>
      </w:divBdr>
      <w:divsChild>
        <w:div w:id="54554391">
          <w:marLeft w:val="0"/>
          <w:marRight w:val="0"/>
          <w:marTop w:val="0"/>
          <w:marBottom w:val="0"/>
          <w:divBdr>
            <w:top w:val="none" w:sz="0" w:space="0" w:color="auto"/>
            <w:left w:val="none" w:sz="0" w:space="0" w:color="auto"/>
            <w:bottom w:val="none" w:sz="0" w:space="0" w:color="auto"/>
            <w:right w:val="none" w:sz="0" w:space="0" w:color="auto"/>
          </w:divBdr>
          <w:divsChild>
            <w:div w:id="434985338">
              <w:marLeft w:val="0"/>
              <w:marRight w:val="0"/>
              <w:marTop w:val="0"/>
              <w:marBottom w:val="0"/>
              <w:divBdr>
                <w:top w:val="none" w:sz="0" w:space="0" w:color="auto"/>
                <w:left w:val="none" w:sz="0" w:space="0" w:color="auto"/>
                <w:bottom w:val="none" w:sz="0" w:space="0" w:color="auto"/>
                <w:right w:val="none" w:sz="0" w:space="0" w:color="auto"/>
              </w:divBdr>
            </w:div>
            <w:div w:id="775905913">
              <w:marLeft w:val="0"/>
              <w:marRight w:val="0"/>
              <w:marTop w:val="0"/>
              <w:marBottom w:val="0"/>
              <w:divBdr>
                <w:top w:val="none" w:sz="0" w:space="0" w:color="auto"/>
                <w:left w:val="none" w:sz="0" w:space="0" w:color="auto"/>
                <w:bottom w:val="none" w:sz="0" w:space="0" w:color="auto"/>
                <w:right w:val="none" w:sz="0" w:space="0" w:color="auto"/>
              </w:divBdr>
            </w:div>
            <w:div w:id="1234975063">
              <w:marLeft w:val="0"/>
              <w:marRight w:val="0"/>
              <w:marTop w:val="0"/>
              <w:marBottom w:val="0"/>
              <w:divBdr>
                <w:top w:val="none" w:sz="0" w:space="0" w:color="auto"/>
                <w:left w:val="none" w:sz="0" w:space="0" w:color="auto"/>
                <w:bottom w:val="none" w:sz="0" w:space="0" w:color="auto"/>
                <w:right w:val="none" w:sz="0" w:space="0" w:color="auto"/>
              </w:divBdr>
            </w:div>
            <w:div w:id="1305742457">
              <w:marLeft w:val="0"/>
              <w:marRight w:val="0"/>
              <w:marTop w:val="0"/>
              <w:marBottom w:val="0"/>
              <w:divBdr>
                <w:top w:val="none" w:sz="0" w:space="0" w:color="auto"/>
                <w:left w:val="none" w:sz="0" w:space="0" w:color="auto"/>
                <w:bottom w:val="none" w:sz="0" w:space="0" w:color="auto"/>
                <w:right w:val="none" w:sz="0" w:space="0" w:color="auto"/>
              </w:divBdr>
            </w:div>
            <w:div w:id="1412659765">
              <w:marLeft w:val="0"/>
              <w:marRight w:val="0"/>
              <w:marTop w:val="0"/>
              <w:marBottom w:val="0"/>
              <w:divBdr>
                <w:top w:val="none" w:sz="0" w:space="0" w:color="auto"/>
                <w:left w:val="none" w:sz="0" w:space="0" w:color="auto"/>
                <w:bottom w:val="none" w:sz="0" w:space="0" w:color="auto"/>
                <w:right w:val="none" w:sz="0" w:space="0" w:color="auto"/>
              </w:divBdr>
            </w:div>
            <w:div w:id="1583484996">
              <w:marLeft w:val="0"/>
              <w:marRight w:val="0"/>
              <w:marTop w:val="0"/>
              <w:marBottom w:val="0"/>
              <w:divBdr>
                <w:top w:val="none" w:sz="0" w:space="0" w:color="auto"/>
                <w:left w:val="none" w:sz="0" w:space="0" w:color="auto"/>
                <w:bottom w:val="none" w:sz="0" w:space="0" w:color="auto"/>
                <w:right w:val="none" w:sz="0" w:space="0" w:color="auto"/>
              </w:divBdr>
            </w:div>
            <w:div w:id="1628316750">
              <w:marLeft w:val="0"/>
              <w:marRight w:val="0"/>
              <w:marTop w:val="0"/>
              <w:marBottom w:val="0"/>
              <w:divBdr>
                <w:top w:val="none" w:sz="0" w:space="0" w:color="auto"/>
                <w:left w:val="none" w:sz="0" w:space="0" w:color="auto"/>
                <w:bottom w:val="none" w:sz="0" w:space="0" w:color="auto"/>
                <w:right w:val="none" w:sz="0" w:space="0" w:color="auto"/>
              </w:divBdr>
            </w:div>
            <w:div w:id="17563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2242">
      <w:bodyDiv w:val="1"/>
      <w:marLeft w:val="0"/>
      <w:marRight w:val="0"/>
      <w:marTop w:val="0"/>
      <w:marBottom w:val="0"/>
      <w:divBdr>
        <w:top w:val="none" w:sz="0" w:space="0" w:color="auto"/>
        <w:left w:val="none" w:sz="0" w:space="0" w:color="auto"/>
        <w:bottom w:val="none" w:sz="0" w:space="0" w:color="auto"/>
        <w:right w:val="none" w:sz="0" w:space="0" w:color="auto"/>
      </w:divBdr>
    </w:div>
    <w:div w:id="1985621809">
      <w:bodyDiv w:val="1"/>
      <w:marLeft w:val="0"/>
      <w:marRight w:val="0"/>
      <w:marTop w:val="0"/>
      <w:marBottom w:val="0"/>
      <w:divBdr>
        <w:top w:val="none" w:sz="0" w:space="0" w:color="auto"/>
        <w:left w:val="none" w:sz="0" w:space="0" w:color="auto"/>
        <w:bottom w:val="none" w:sz="0" w:space="0" w:color="auto"/>
        <w:right w:val="none" w:sz="0" w:space="0" w:color="auto"/>
      </w:divBdr>
      <w:divsChild>
        <w:div w:id="1355037650">
          <w:marLeft w:val="0"/>
          <w:marRight w:val="0"/>
          <w:marTop w:val="0"/>
          <w:marBottom w:val="0"/>
          <w:divBdr>
            <w:top w:val="none" w:sz="0" w:space="0" w:color="auto"/>
            <w:left w:val="none" w:sz="0" w:space="0" w:color="auto"/>
            <w:bottom w:val="none" w:sz="0" w:space="0" w:color="auto"/>
            <w:right w:val="none" w:sz="0" w:space="0" w:color="auto"/>
          </w:divBdr>
          <w:divsChild>
            <w:div w:id="507210865">
              <w:marLeft w:val="0"/>
              <w:marRight w:val="0"/>
              <w:marTop w:val="0"/>
              <w:marBottom w:val="0"/>
              <w:divBdr>
                <w:top w:val="none" w:sz="0" w:space="0" w:color="auto"/>
                <w:left w:val="none" w:sz="0" w:space="0" w:color="auto"/>
                <w:bottom w:val="none" w:sz="0" w:space="0" w:color="auto"/>
                <w:right w:val="none" w:sz="0" w:space="0" w:color="auto"/>
              </w:divBdr>
            </w:div>
            <w:div w:id="12239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9490">
      <w:bodyDiv w:val="1"/>
      <w:marLeft w:val="0"/>
      <w:marRight w:val="0"/>
      <w:marTop w:val="0"/>
      <w:marBottom w:val="0"/>
      <w:divBdr>
        <w:top w:val="none" w:sz="0" w:space="0" w:color="auto"/>
        <w:left w:val="none" w:sz="0" w:space="0" w:color="auto"/>
        <w:bottom w:val="none" w:sz="0" w:space="0" w:color="auto"/>
        <w:right w:val="none" w:sz="0" w:space="0" w:color="auto"/>
      </w:divBdr>
      <w:divsChild>
        <w:div w:id="1689215957">
          <w:marLeft w:val="0"/>
          <w:marRight w:val="0"/>
          <w:marTop w:val="0"/>
          <w:marBottom w:val="0"/>
          <w:divBdr>
            <w:top w:val="none" w:sz="0" w:space="0" w:color="auto"/>
            <w:left w:val="none" w:sz="0" w:space="0" w:color="auto"/>
            <w:bottom w:val="none" w:sz="0" w:space="0" w:color="auto"/>
            <w:right w:val="none" w:sz="0" w:space="0" w:color="auto"/>
          </w:divBdr>
          <w:divsChild>
            <w:div w:id="64382653">
              <w:marLeft w:val="0"/>
              <w:marRight w:val="0"/>
              <w:marTop w:val="0"/>
              <w:marBottom w:val="0"/>
              <w:divBdr>
                <w:top w:val="none" w:sz="0" w:space="0" w:color="auto"/>
                <w:left w:val="none" w:sz="0" w:space="0" w:color="auto"/>
                <w:bottom w:val="none" w:sz="0" w:space="0" w:color="auto"/>
                <w:right w:val="none" w:sz="0" w:space="0" w:color="auto"/>
              </w:divBdr>
            </w:div>
            <w:div w:id="128476484">
              <w:marLeft w:val="0"/>
              <w:marRight w:val="0"/>
              <w:marTop w:val="0"/>
              <w:marBottom w:val="0"/>
              <w:divBdr>
                <w:top w:val="none" w:sz="0" w:space="0" w:color="auto"/>
                <w:left w:val="none" w:sz="0" w:space="0" w:color="auto"/>
                <w:bottom w:val="none" w:sz="0" w:space="0" w:color="auto"/>
                <w:right w:val="none" w:sz="0" w:space="0" w:color="auto"/>
              </w:divBdr>
            </w:div>
            <w:div w:id="523904223">
              <w:marLeft w:val="0"/>
              <w:marRight w:val="0"/>
              <w:marTop w:val="0"/>
              <w:marBottom w:val="0"/>
              <w:divBdr>
                <w:top w:val="none" w:sz="0" w:space="0" w:color="auto"/>
                <w:left w:val="none" w:sz="0" w:space="0" w:color="auto"/>
                <w:bottom w:val="none" w:sz="0" w:space="0" w:color="auto"/>
                <w:right w:val="none" w:sz="0" w:space="0" w:color="auto"/>
              </w:divBdr>
            </w:div>
            <w:div w:id="791556073">
              <w:marLeft w:val="0"/>
              <w:marRight w:val="0"/>
              <w:marTop w:val="0"/>
              <w:marBottom w:val="0"/>
              <w:divBdr>
                <w:top w:val="none" w:sz="0" w:space="0" w:color="auto"/>
                <w:left w:val="none" w:sz="0" w:space="0" w:color="auto"/>
                <w:bottom w:val="none" w:sz="0" w:space="0" w:color="auto"/>
                <w:right w:val="none" w:sz="0" w:space="0" w:color="auto"/>
              </w:divBdr>
            </w:div>
            <w:div w:id="1046219512">
              <w:marLeft w:val="0"/>
              <w:marRight w:val="0"/>
              <w:marTop w:val="0"/>
              <w:marBottom w:val="0"/>
              <w:divBdr>
                <w:top w:val="none" w:sz="0" w:space="0" w:color="auto"/>
                <w:left w:val="none" w:sz="0" w:space="0" w:color="auto"/>
                <w:bottom w:val="none" w:sz="0" w:space="0" w:color="auto"/>
                <w:right w:val="none" w:sz="0" w:space="0" w:color="auto"/>
              </w:divBdr>
            </w:div>
            <w:div w:id="1137720613">
              <w:marLeft w:val="0"/>
              <w:marRight w:val="0"/>
              <w:marTop w:val="0"/>
              <w:marBottom w:val="0"/>
              <w:divBdr>
                <w:top w:val="none" w:sz="0" w:space="0" w:color="auto"/>
                <w:left w:val="none" w:sz="0" w:space="0" w:color="auto"/>
                <w:bottom w:val="none" w:sz="0" w:space="0" w:color="auto"/>
                <w:right w:val="none" w:sz="0" w:space="0" w:color="auto"/>
              </w:divBdr>
            </w:div>
            <w:div w:id="1184052610">
              <w:marLeft w:val="0"/>
              <w:marRight w:val="0"/>
              <w:marTop w:val="0"/>
              <w:marBottom w:val="0"/>
              <w:divBdr>
                <w:top w:val="none" w:sz="0" w:space="0" w:color="auto"/>
                <w:left w:val="none" w:sz="0" w:space="0" w:color="auto"/>
                <w:bottom w:val="none" w:sz="0" w:space="0" w:color="auto"/>
                <w:right w:val="none" w:sz="0" w:space="0" w:color="auto"/>
              </w:divBdr>
            </w:div>
            <w:div w:id="1384404960">
              <w:marLeft w:val="0"/>
              <w:marRight w:val="0"/>
              <w:marTop w:val="0"/>
              <w:marBottom w:val="0"/>
              <w:divBdr>
                <w:top w:val="none" w:sz="0" w:space="0" w:color="auto"/>
                <w:left w:val="none" w:sz="0" w:space="0" w:color="auto"/>
                <w:bottom w:val="none" w:sz="0" w:space="0" w:color="auto"/>
                <w:right w:val="none" w:sz="0" w:space="0" w:color="auto"/>
              </w:divBdr>
            </w:div>
            <w:div w:id="21147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31838067">
      <w:bodyDiv w:val="1"/>
      <w:marLeft w:val="0"/>
      <w:marRight w:val="0"/>
      <w:marTop w:val="0"/>
      <w:marBottom w:val="0"/>
      <w:divBdr>
        <w:top w:val="none" w:sz="0" w:space="0" w:color="auto"/>
        <w:left w:val="none" w:sz="0" w:space="0" w:color="auto"/>
        <w:bottom w:val="none" w:sz="0" w:space="0" w:color="auto"/>
        <w:right w:val="none" w:sz="0" w:space="0" w:color="auto"/>
      </w:divBdr>
      <w:divsChild>
        <w:div w:id="2135173610">
          <w:marLeft w:val="0"/>
          <w:marRight w:val="0"/>
          <w:marTop w:val="0"/>
          <w:marBottom w:val="0"/>
          <w:divBdr>
            <w:top w:val="none" w:sz="0" w:space="0" w:color="auto"/>
            <w:left w:val="none" w:sz="0" w:space="0" w:color="auto"/>
            <w:bottom w:val="none" w:sz="0" w:space="0" w:color="auto"/>
            <w:right w:val="none" w:sz="0" w:space="0" w:color="auto"/>
          </w:divBdr>
        </w:div>
      </w:divsChild>
    </w:div>
    <w:div w:id="2045329505">
      <w:bodyDiv w:val="1"/>
      <w:marLeft w:val="0"/>
      <w:marRight w:val="0"/>
      <w:marTop w:val="0"/>
      <w:marBottom w:val="0"/>
      <w:divBdr>
        <w:top w:val="none" w:sz="0" w:space="0" w:color="auto"/>
        <w:left w:val="none" w:sz="0" w:space="0" w:color="auto"/>
        <w:bottom w:val="none" w:sz="0" w:space="0" w:color="auto"/>
        <w:right w:val="none" w:sz="0" w:space="0" w:color="auto"/>
      </w:divBdr>
      <w:divsChild>
        <w:div w:id="49158789">
          <w:marLeft w:val="0"/>
          <w:marRight w:val="0"/>
          <w:marTop w:val="0"/>
          <w:marBottom w:val="0"/>
          <w:divBdr>
            <w:top w:val="none" w:sz="0" w:space="0" w:color="auto"/>
            <w:left w:val="none" w:sz="0" w:space="0" w:color="auto"/>
            <w:bottom w:val="none" w:sz="0" w:space="0" w:color="auto"/>
            <w:right w:val="none" w:sz="0" w:space="0" w:color="auto"/>
          </w:divBdr>
        </w:div>
      </w:divsChild>
    </w:div>
    <w:div w:id="2048479785">
      <w:bodyDiv w:val="1"/>
      <w:marLeft w:val="0"/>
      <w:marRight w:val="0"/>
      <w:marTop w:val="0"/>
      <w:marBottom w:val="0"/>
      <w:divBdr>
        <w:top w:val="none" w:sz="0" w:space="0" w:color="auto"/>
        <w:left w:val="none" w:sz="0" w:space="0" w:color="auto"/>
        <w:bottom w:val="none" w:sz="0" w:space="0" w:color="auto"/>
        <w:right w:val="none" w:sz="0" w:space="0" w:color="auto"/>
      </w:divBdr>
      <w:divsChild>
        <w:div w:id="1128400893">
          <w:marLeft w:val="0"/>
          <w:marRight w:val="0"/>
          <w:marTop w:val="0"/>
          <w:marBottom w:val="0"/>
          <w:divBdr>
            <w:top w:val="none" w:sz="0" w:space="0" w:color="auto"/>
            <w:left w:val="none" w:sz="0" w:space="0" w:color="auto"/>
            <w:bottom w:val="none" w:sz="0" w:space="0" w:color="auto"/>
            <w:right w:val="none" w:sz="0" w:space="0" w:color="auto"/>
          </w:divBdr>
          <w:divsChild>
            <w:div w:id="104157149">
              <w:marLeft w:val="0"/>
              <w:marRight w:val="0"/>
              <w:marTop w:val="0"/>
              <w:marBottom w:val="0"/>
              <w:divBdr>
                <w:top w:val="none" w:sz="0" w:space="0" w:color="auto"/>
                <w:left w:val="none" w:sz="0" w:space="0" w:color="auto"/>
                <w:bottom w:val="none" w:sz="0" w:space="0" w:color="auto"/>
                <w:right w:val="none" w:sz="0" w:space="0" w:color="auto"/>
              </w:divBdr>
            </w:div>
            <w:div w:id="172036096">
              <w:marLeft w:val="0"/>
              <w:marRight w:val="0"/>
              <w:marTop w:val="0"/>
              <w:marBottom w:val="0"/>
              <w:divBdr>
                <w:top w:val="none" w:sz="0" w:space="0" w:color="auto"/>
                <w:left w:val="none" w:sz="0" w:space="0" w:color="auto"/>
                <w:bottom w:val="none" w:sz="0" w:space="0" w:color="auto"/>
                <w:right w:val="none" w:sz="0" w:space="0" w:color="auto"/>
              </w:divBdr>
            </w:div>
            <w:div w:id="296378270">
              <w:marLeft w:val="0"/>
              <w:marRight w:val="0"/>
              <w:marTop w:val="0"/>
              <w:marBottom w:val="0"/>
              <w:divBdr>
                <w:top w:val="none" w:sz="0" w:space="0" w:color="auto"/>
                <w:left w:val="none" w:sz="0" w:space="0" w:color="auto"/>
                <w:bottom w:val="none" w:sz="0" w:space="0" w:color="auto"/>
                <w:right w:val="none" w:sz="0" w:space="0" w:color="auto"/>
              </w:divBdr>
            </w:div>
            <w:div w:id="638460873">
              <w:marLeft w:val="0"/>
              <w:marRight w:val="0"/>
              <w:marTop w:val="0"/>
              <w:marBottom w:val="0"/>
              <w:divBdr>
                <w:top w:val="none" w:sz="0" w:space="0" w:color="auto"/>
                <w:left w:val="none" w:sz="0" w:space="0" w:color="auto"/>
                <w:bottom w:val="none" w:sz="0" w:space="0" w:color="auto"/>
                <w:right w:val="none" w:sz="0" w:space="0" w:color="auto"/>
              </w:divBdr>
            </w:div>
            <w:div w:id="1115832194">
              <w:marLeft w:val="0"/>
              <w:marRight w:val="0"/>
              <w:marTop w:val="0"/>
              <w:marBottom w:val="0"/>
              <w:divBdr>
                <w:top w:val="none" w:sz="0" w:space="0" w:color="auto"/>
                <w:left w:val="none" w:sz="0" w:space="0" w:color="auto"/>
                <w:bottom w:val="none" w:sz="0" w:space="0" w:color="auto"/>
                <w:right w:val="none" w:sz="0" w:space="0" w:color="auto"/>
              </w:divBdr>
            </w:div>
            <w:div w:id="1252935481">
              <w:marLeft w:val="0"/>
              <w:marRight w:val="0"/>
              <w:marTop w:val="0"/>
              <w:marBottom w:val="0"/>
              <w:divBdr>
                <w:top w:val="none" w:sz="0" w:space="0" w:color="auto"/>
                <w:left w:val="none" w:sz="0" w:space="0" w:color="auto"/>
                <w:bottom w:val="none" w:sz="0" w:space="0" w:color="auto"/>
                <w:right w:val="none" w:sz="0" w:space="0" w:color="auto"/>
              </w:divBdr>
            </w:div>
            <w:div w:id="1492481973">
              <w:marLeft w:val="0"/>
              <w:marRight w:val="0"/>
              <w:marTop w:val="0"/>
              <w:marBottom w:val="0"/>
              <w:divBdr>
                <w:top w:val="none" w:sz="0" w:space="0" w:color="auto"/>
                <w:left w:val="none" w:sz="0" w:space="0" w:color="auto"/>
                <w:bottom w:val="none" w:sz="0" w:space="0" w:color="auto"/>
                <w:right w:val="none" w:sz="0" w:space="0" w:color="auto"/>
              </w:divBdr>
            </w:div>
            <w:div w:id="1614629127">
              <w:marLeft w:val="0"/>
              <w:marRight w:val="0"/>
              <w:marTop w:val="0"/>
              <w:marBottom w:val="0"/>
              <w:divBdr>
                <w:top w:val="none" w:sz="0" w:space="0" w:color="auto"/>
                <w:left w:val="none" w:sz="0" w:space="0" w:color="auto"/>
                <w:bottom w:val="none" w:sz="0" w:space="0" w:color="auto"/>
                <w:right w:val="none" w:sz="0" w:space="0" w:color="auto"/>
              </w:divBdr>
            </w:div>
            <w:div w:id="1625774972">
              <w:marLeft w:val="0"/>
              <w:marRight w:val="0"/>
              <w:marTop w:val="0"/>
              <w:marBottom w:val="0"/>
              <w:divBdr>
                <w:top w:val="none" w:sz="0" w:space="0" w:color="auto"/>
                <w:left w:val="none" w:sz="0" w:space="0" w:color="auto"/>
                <w:bottom w:val="none" w:sz="0" w:space="0" w:color="auto"/>
                <w:right w:val="none" w:sz="0" w:space="0" w:color="auto"/>
              </w:divBdr>
            </w:div>
            <w:div w:id="1731341382">
              <w:marLeft w:val="0"/>
              <w:marRight w:val="0"/>
              <w:marTop w:val="0"/>
              <w:marBottom w:val="0"/>
              <w:divBdr>
                <w:top w:val="none" w:sz="0" w:space="0" w:color="auto"/>
                <w:left w:val="none" w:sz="0" w:space="0" w:color="auto"/>
                <w:bottom w:val="none" w:sz="0" w:space="0" w:color="auto"/>
                <w:right w:val="none" w:sz="0" w:space="0" w:color="auto"/>
              </w:divBdr>
            </w:div>
            <w:div w:id="1761877169">
              <w:marLeft w:val="0"/>
              <w:marRight w:val="0"/>
              <w:marTop w:val="0"/>
              <w:marBottom w:val="0"/>
              <w:divBdr>
                <w:top w:val="none" w:sz="0" w:space="0" w:color="auto"/>
                <w:left w:val="none" w:sz="0" w:space="0" w:color="auto"/>
                <w:bottom w:val="none" w:sz="0" w:space="0" w:color="auto"/>
                <w:right w:val="none" w:sz="0" w:space="0" w:color="auto"/>
              </w:divBdr>
            </w:div>
            <w:div w:id="1787657498">
              <w:marLeft w:val="0"/>
              <w:marRight w:val="0"/>
              <w:marTop w:val="0"/>
              <w:marBottom w:val="0"/>
              <w:divBdr>
                <w:top w:val="none" w:sz="0" w:space="0" w:color="auto"/>
                <w:left w:val="none" w:sz="0" w:space="0" w:color="auto"/>
                <w:bottom w:val="none" w:sz="0" w:space="0" w:color="auto"/>
                <w:right w:val="none" w:sz="0" w:space="0" w:color="auto"/>
              </w:divBdr>
            </w:div>
            <w:div w:id="1858302767">
              <w:marLeft w:val="0"/>
              <w:marRight w:val="0"/>
              <w:marTop w:val="0"/>
              <w:marBottom w:val="0"/>
              <w:divBdr>
                <w:top w:val="none" w:sz="0" w:space="0" w:color="auto"/>
                <w:left w:val="none" w:sz="0" w:space="0" w:color="auto"/>
                <w:bottom w:val="none" w:sz="0" w:space="0" w:color="auto"/>
                <w:right w:val="none" w:sz="0" w:space="0" w:color="auto"/>
              </w:divBdr>
            </w:div>
            <w:div w:id="2103060849">
              <w:marLeft w:val="0"/>
              <w:marRight w:val="0"/>
              <w:marTop w:val="0"/>
              <w:marBottom w:val="0"/>
              <w:divBdr>
                <w:top w:val="none" w:sz="0" w:space="0" w:color="auto"/>
                <w:left w:val="none" w:sz="0" w:space="0" w:color="auto"/>
                <w:bottom w:val="none" w:sz="0" w:space="0" w:color="auto"/>
                <w:right w:val="none" w:sz="0" w:space="0" w:color="auto"/>
              </w:divBdr>
            </w:div>
            <w:div w:id="21312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093383146">
      <w:bodyDiv w:val="1"/>
      <w:marLeft w:val="0"/>
      <w:marRight w:val="0"/>
      <w:marTop w:val="0"/>
      <w:marBottom w:val="0"/>
      <w:divBdr>
        <w:top w:val="none" w:sz="0" w:space="0" w:color="auto"/>
        <w:left w:val="none" w:sz="0" w:space="0" w:color="auto"/>
        <w:bottom w:val="none" w:sz="0" w:space="0" w:color="auto"/>
        <w:right w:val="none" w:sz="0" w:space="0" w:color="auto"/>
      </w:divBdr>
      <w:divsChild>
        <w:div w:id="1749646181">
          <w:marLeft w:val="0"/>
          <w:marRight w:val="0"/>
          <w:marTop w:val="0"/>
          <w:marBottom w:val="0"/>
          <w:divBdr>
            <w:top w:val="none" w:sz="0" w:space="0" w:color="auto"/>
            <w:left w:val="none" w:sz="0" w:space="0" w:color="auto"/>
            <w:bottom w:val="none" w:sz="0" w:space="0" w:color="auto"/>
            <w:right w:val="none" w:sz="0" w:space="0" w:color="auto"/>
          </w:divBdr>
          <w:divsChild>
            <w:div w:id="89278842">
              <w:marLeft w:val="0"/>
              <w:marRight w:val="0"/>
              <w:marTop w:val="0"/>
              <w:marBottom w:val="0"/>
              <w:divBdr>
                <w:top w:val="none" w:sz="0" w:space="0" w:color="auto"/>
                <w:left w:val="none" w:sz="0" w:space="0" w:color="auto"/>
                <w:bottom w:val="none" w:sz="0" w:space="0" w:color="auto"/>
                <w:right w:val="none" w:sz="0" w:space="0" w:color="auto"/>
              </w:divBdr>
            </w:div>
            <w:div w:id="164169775">
              <w:marLeft w:val="0"/>
              <w:marRight w:val="0"/>
              <w:marTop w:val="0"/>
              <w:marBottom w:val="0"/>
              <w:divBdr>
                <w:top w:val="none" w:sz="0" w:space="0" w:color="auto"/>
                <w:left w:val="none" w:sz="0" w:space="0" w:color="auto"/>
                <w:bottom w:val="none" w:sz="0" w:space="0" w:color="auto"/>
                <w:right w:val="none" w:sz="0" w:space="0" w:color="auto"/>
              </w:divBdr>
            </w:div>
            <w:div w:id="401946292">
              <w:marLeft w:val="0"/>
              <w:marRight w:val="0"/>
              <w:marTop w:val="0"/>
              <w:marBottom w:val="0"/>
              <w:divBdr>
                <w:top w:val="none" w:sz="0" w:space="0" w:color="auto"/>
                <w:left w:val="none" w:sz="0" w:space="0" w:color="auto"/>
                <w:bottom w:val="none" w:sz="0" w:space="0" w:color="auto"/>
                <w:right w:val="none" w:sz="0" w:space="0" w:color="auto"/>
              </w:divBdr>
            </w:div>
            <w:div w:id="517240097">
              <w:marLeft w:val="0"/>
              <w:marRight w:val="0"/>
              <w:marTop w:val="0"/>
              <w:marBottom w:val="0"/>
              <w:divBdr>
                <w:top w:val="none" w:sz="0" w:space="0" w:color="auto"/>
                <w:left w:val="none" w:sz="0" w:space="0" w:color="auto"/>
                <w:bottom w:val="none" w:sz="0" w:space="0" w:color="auto"/>
                <w:right w:val="none" w:sz="0" w:space="0" w:color="auto"/>
              </w:divBdr>
            </w:div>
            <w:div w:id="617906027">
              <w:marLeft w:val="0"/>
              <w:marRight w:val="0"/>
              <w:marTop w:val="0"/>
              <w:marBottom w:val="0"/>
              <w:divBdr>
                <w:top w:val="none" w:sz="0" w:space="0" w:color="auto"/>
                <w:left w:val="none" w:sz="0" w:space="0" w:color="auto"/>
                <w:bottom w:val="none" w:sz="0" w:space="0" w:color="auto"/>
                <w:right w:val="none" w:sz="0" w:space="0" w:color="auto"/>
              </w:divBdr>
            </w:div>
            <w:div w:id="686061430">
              <w:marLeft w:val="0"/>
              <w:marRight w:val="0"/>
              <w:marTop w:val="0"/>
              <w:marBottom w:val="0"/>
              <w:divBdr>
                <w:top w:val="none" w:sz="0" w:space="0" w:color="auto"/>
                <w:left w:val="none" w:sz="0" w:space="0" w:color="auto"/>
                <w:bottom w:val="none" w:sz="0" w:space="0" w:color="auto"/>
                <w:right w:val="none" w:sz="0" w:space="0" w:color="auto"/>
              </w:divBdr>
            </w:div>
            <w:div w:id="16859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4.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www.lseg.com/en/data-analytics"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3.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ealogic.com/" TargetMode="External"/><Relationship Id="rId28" Type="http://schemas.microsoft.com/office/2016/09/relationships/commentsIds" Target="commentsIds.xml"/><Relationship Id="rId10" Type="http://schemas.openxmlformats.org/officeDocument/2006/relationships/endnotes" Target="endnotes.xml"/><Relationship Id="rId19" Type="http://schemas.openxmlformats.org/officeDocument/2006/relationships/hyperlink" Target="https://www.investeurope.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 Id="rId27" Type="http://schemas.microsoft.com/office/2019/05/relationships/documenttasks" Target="documenttasks/documenttasks1.xml"/></Relationships>
</file>

<file path=word/_rels/footnotes.xml.rels><?xml version="1.0" encoding="UTF-8" standalone="yes"?>
<Relationships xmlns="http://schemas.openxmlformats.org/package/2006/relationships"><Relationship Id="rId8" Type="http://schemas.openxmlformats.org/officeDocument/2006/relationships/hyperlink" Target="https://commission.europa.eu/strategy-and-policy/eu-budget/performance-and-reporting/horizontal-priorities/green-budgeting_en" TargetMode="External"/><Relationship Id="rId3" Type="http://schemas.openxmlformats.org/officeDocument/2006/relationships/hyperlink" Target="https://www.businesseurope.eu/sites/buseur/files/media/position_papers/iaco/2024-07-10_businesseurope_2024-2029_priorities_for_eu_sustainable_finance.pdf" TargetMode="External"/><Relationship Id="rId7" Type="http://schemas.openxmlformats.org/officeDocument/2006/relationships/hyperlink" Target="https://www.epa.gov/climateleadership/simplified-ghg-emissions-calculator" TargetMode="External"/><Relationship Id="rId2" Type="http://schemas.openxmlformats.org/officeDocument/2006/relationships/hyperlink" Target="https://www.businesseurope.eu/sites/buseur/files/media/position_papers/iaco/2024-07-10_businesseurope_2024-2029_priorities_for_eu_sustainable_finance.pdf" TargetMode="External"/><Relationship Id="rId1" Type="http://schemas.openxmlformats.org/officeDocument/2006/relationships/hyperlink" Target="https://itpn.global/itpn-launches-at-cop29-to-drive-global-collaboration-on-transition-plans/" TargetMode="External"/><Relationship Id="rId6" Type="http://schemas.openxmlformats.org/officeDocument/2006/relationships/hyperlink" Target="https://co2emissiefactoren.nl/" TargetMode="External"/><Relationship Id="rId5" Type="http://schemas.openxmlformats.org/officeDocument/2006/relationships/hyperlink" Target="https://base-empreinte.ademe.fr/" TargetMode="External"/><Relationship Id="rId4" Type="http://schemas.openxmlformats.org/officeDocument/2006/relationships/hyperlink" Target="https://www.businesseurope.eu/sites/buseur/files/media/position_papers/iaco/2024-07-10_businesseurope_2024-2029_priorities_for_eu_sustainable_finance.pdf" TargetMode="External"/><Relationship Id="rId9" Type="http://schemas.openxmlformats.org/officeDocument/2006/relationships/hyperlink" Target="https://ec.europa.eu/info/law/better-regulation/have-your-say/initiatives/14240-Social-Climate-Fund-guidance-on-applying-the-do-no-significant-harm-principle_en" TargetMode="External"/></Relationships>
</file>

<file path=word/documenttasks/documenttasks1.xml><?xml version="1.0" encoding="utf-8"?>
<t:Tasks xmlns:t="http://schemas.microsoft.com/office/tasks/2019/documenttasks" xmlns:oel="http://schemas.microsoft.com/office/2019/extlst">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954A0A67-92C8-4936-8DDD-5EDFBC5BB23E}">
    <t:Anchor>
      <t:Comment id="1729174423"/>
    </t:Anchor>
    <t:History>
      <t:Event id="{FE8C30C1-8DFD-4FD0-974C-BF7F8D03A84D}" time="2024-11-04T14:28:59.402Z">
        <t:Attribution userId="S::stefano.cisternino@ext.ec.europa.eu::40eeadf1-41b1-4aeb-b929-bc5e3c6a6913" userProvider="AD" userName="CISTERNINO Stefano (JRC-ISPRA-EXT)"/>
        <t:Anchor>
          <t:Comment id="1729174423"/>
        </t:Anchor>
        <t:Create/>
      </t:Event>
      <t:Event id="{2149A75B-B883-4167-932C-AF1FEFE56191}" time="2024-11-04T14:28:59.402Z">
        <t:Attribution userId="S::stefano.cisternino@ext.ec.europa.eu::40eeadf1-41b1-4aeb-b929-bc5e3c6a6913" userProvider="AD" userName="CISTERNINO Stefano (JRC-ISPRA-EXT)"/>
        <t:Anchor>
          <t:Comment id="1729174423"/>
        </t:Anchor>
        <t:Assign userId="S::Laia.DELGADO-CALLICO@ec.europa.eu::840be715-dc1a-449e-9e6e-a6679b46f859" userProvider="AD" userName="DELGADO CALLICO Laia (JRC-PETTEN)"/>
      </t:Event>
      <t:Event id="{C940F5F3-012C-4667-BAC2-3622F1F9036F}" time="2024-11-04T14:28:59.402Z">
        <t:Attribution userId="S::stefano.cisternino@ext.ec.europa.eu::40eeadf1-41b1-4aeb-b929-bc5e3c6a6913" userProvider="AD" userName="CISTERNINO Stefano (JRC-ISPRA-EXT)"/>
        <t:Anchor>
          <t:Comment id="1729174423"/>
        </t:Anchor>
        <t:SetTitle title="@DELGADO CALLICO Laia (JRC-PETTEN) I had to revise the entire text in order to make it shorter. check if the parts you included work for you or you want to rephrase, expand, cut them"/>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BAB61641-D404-421C-B1EB-CEA603A77A08}">
    <t:Anchor>
      <t:Comment id="1928855458"/>
    </t:Anchor>
    <t:History>
      <t:Event id="{1FEF1B8E-DC3C-432D-BE31-20E98CDCAD9D}" time="2024-07-10T07:27:47.342Z">
        <t:Attribution userId="S::stefano.cisternino@ext.ec.europa.eu::40eeadf1-41b1-4aeb-b929-bc5e3c6a6913" userProvider="AD" userName="CISTERNINO Stefano (JRC-ISPRA-EXT)"/>
        <t:Anchor>
          <t:Comment id="1928855458"/>
        </t:Anchor>
        <t:Create/>
      </t:Event>
      <t:Event id="{905965A4-A84A-46EE-90CE-BFFD1CAEA60C}" time="2024-07-10T07:27:47.342Z">
        <t:Attribution userId="S::stefano.cisternino@ext.ec.europa.eu::40eeadf1-41b1-4aeb-b929-bc5e3c6a6913" userProvider="AD" userName="CISTERNINO Stefano (JRC-ISPRA-EXT)"/>
        <t:Anchor>
          <t:Comment id="1928855458"/>
        </t:Anchor>
        <t:Assign userId="S::Chiara.GASTALDI@ec.europa.eu::c8b7d82c-d0c9-47f2-bd65-0a59874a04b9" userProvider="AD" userName="GASTALDI Chiara (JRC-ISPRA)"/>
      </t:Event>
      <t:Event id="{4A055DCB-2BB8-4EDE-B004-4CD1391E24A2}" time="2024-07-10T07:27:47.342Z">
        <t:Attribution userId="S::stefano.cisternino@ext.ec.europa.eu::40eeadf1-41b1-4aeb-b929-bc5e3c6a6913" userProvider="AD" userName="CISTERNINO Stefano (JRC-ISPRA-EXT)"/>
        <t:Anchor>
          <t:Comment id="1928855458"/>
        </t:Anchor>
        <t:SetTitle title="@GASTALDI Chiara (JRC-ISPRA) This is the draft. it took a while but there is everything. ofc it's a first draft."/>
      </t:Event>
    </t:History>
  </t:Task>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24C9EEA0-8C33-442A-9B1B-A859CB7F71D2}">
    <t:Anchor>
      <t:Comment id="1692039635"/>
    </t:Anchor>
    <t:History>
      <t:Event id="{78F41347-F2FE-46EF-BB00-BAA567FBB0CD}" time="2024-12-13T08:20:22.08Z">
        <t:Attribution userId="S::luisa.marelli@ec.europa.eu::78bda841-bac5-4a31-bc15-22549a1dd308" userProvider="AD" userName="MARELLI Luisa (JRC-ISPRA)"/>
        <t:Anchor>
          <t:Comment id="1692039635"/>
        </t:Anchor>
        <t:Create/>
      </t:Event>
      <t:Event id="{F527C7AB-BDAC-4B54-8ED1-6B26E8739C91}" time="2024-12-13T08:20:22.08Z">
        <t:Attribution userId="S::luisa.marelli@ec.europa.eu::78bda841-bac5-4a31-bc15-22549a1dd308" userProvider="AD" userName="MARELLI Luisa (JRC-ISPRA)"/>
        <t:Anchor>
          <t:Comment id="1692039635"/>
        </t:Anchor>
        <t:Assign userId="S::Giulia.BARBERO-VIGNOLA@ec.europa.eu::1479d97b-2e3a-4278-8e36-66f773dbda5c" userProvider="AD" userName="BARBERO VIGNOLA Giulia (JRC-ISPRA)"/>
      </t:Event>
      <t:Event id="{AC3A5172-58E7-4026-8385-E8D48C129432}" time="2024-12-13T08:20:22.08Z">
        <t:Attribution userId="S::luisa.marelli@ec.europa.eu::78bda841-bac5-4a31-bc15-22549a1dd308" userProvider="AD" userName="MARELLI Luisa (JRC-ISPRA)"/>
        <t:Anchor>
          <t:Comment id="1692039635"/>
        </t:Anchor>
        <t:SetTitle title="Not clear if you refer here to specific initiatives (in which case please explain in one line what they are and from who), or if it is generic. @BARBERO VIGNOLA Giulia (JRC-ISPRA)"/>
      </t:Event>
    </t:History>
  </t:Task>
  <t:Task id="{5D9B55D9-B3D6-4560-80BE-A53E328ACF4F}">
    <t:Anchor>
      <t:Comment id="609258425"/>
    </t:Anchor>
    <t:History>
      <t:Event id="{C62F2B75-393E-4952-82A3-1618A060F6FB}" time="2024-12-13T08:57:34.734Z">
        <t:Attribution userId="S::luisa.marelli@ec.europa.eu::78bda841-bac5-4a31-bc15-22549a1dd308" userProvider="AD" userName="MARELLI Luisa (JRC-ISPRA)"/>
        <t:Anchor>
          <t:Comment id="609258425"/>
        </t:Anchor>
        <t:Create/>
      </t:Event>
      <t:Event id="{7096246B-1B41-4979-8073-88B8F7375B26}" time="2024-12-13T08:57:34.734Z">
        <t:Attribution userId="S::luisa.marelli@ec.europa.eu::78bda841-bac5-4a31-bc15-22549a1dd308" userProvider="AD" userName="MARELLI Luisa (JRC-ISPRA)"/>
        <t:Anchor>
          <t:Comment id="609258425"/>
        </t:Anchor>
        <t:Assign userId="S::Robert.M'BAREK@ec.europa.eu::e7ef06c1-b725-4ed3-8354-b1c093f4ebe3" userProvider="AD" userName="M'BAREK Robert (JRC-SEVILLA)"/>
      </t:Event>
      <t:Event id="{979AE9BD-461B-4F72-AFE1-D2EA07642234}" time="2024-12-13T08:57:34.734Z">
        <t:Attribution userId="S::luisa.marelli@ec.europa.eu::78bda841-bac5-4a31-bc15-22549a1dd308" userProvider="AD" userName="MARELLI Luisa (JRC-ISPRA)"/>
        <t:Anchor>
          <t:Comment id="609258425"/>
        </t:Anchor>
        <t:SetTitle title="This title is not very appealing for a Cab's report ... why not using something like &quot;Global Ecological Product metric to complement GDP measures? @M'BAREK Robert (JRC-SEVILLA)"/>
      </t:Event>
      <t:Event id="{6EE3EEC5-00BB-40E4-A2A2-9A1B7B5B5F13}" time="2024-12-13T09:01:45.96Z">
        <t:Attribution userId="S::robert.m'barek@ec.europa.eu::e7ef06c1-b725-4ed3-8354-b1c093f4ebe3" userProvider="AD" userName="M'BAREK Robert (JRC-SEVILLA)"/>
        <t:Anchor>
          <t:Comment id="1330840710"/>
        </t:Anchor>
        <t:UnassignAll/>
      </t:Event>
      <t:Event id="{3CE45D45-35CF-4E19-A7B9-4860FEA114EE}" time="2024-12-13T09:01:45.96Z">
        <t:Attribution userId="S::robert.m'barek@ec.europa.eu::e7ef06c1-b725-4ed3-8354-b1c093f4ebe3" userProvider="AD" userName="M'BAREK Robert (JRC-SEVILLA)"/>
        <t:Anchor>
          <t:Comment id="1330840710"/>
        </t:Anchor>
        <t:Assign userId="S::Luisa.MARELLI@ec.europa.eu::78bda841-bac5-4a31-bc15-22549a1dd308" userProvider="AD" userName="MARELLI Luisa (JRC-ISPR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9DCA4-F9EE-4EBD-891F-0EB57CF690DA}">
  <ds:schemaRefs>
    <ds:schemaRef ds:uri="http://schemas.microsoft.com/sharepoint/v3/contenttype/forms"/>
  </ds:schemaRefs>
</ds:datastoreItem>
</file>

<file path=customXml/itemProps2.xml><?xml version="1.0" encoding="utf-8"?>
<ds:datastoreItem xmlns:ds="http://schemas.openxmlformats.org/officeDocument/2006/customXml" ds:itemID="{182FED00-2CF8-4278-A832-B3982205A109}">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f10e3298-64ea-4e10-9051-34cf7ba13039"/>
    <ds:schemaRef ds:uri="http://schemas.microsoft.com/office/infopath/2007/PartnerControls"/>
    <ds:schemaRef ds:uri="189f68d6-b300-487d-ba76-b41225ee5e69"/>
    <ds:schemaRef ds:uri="http://www.w3.org/XML/1998/namespace"/>
    <ds:schemaRef ds:uri="http://purl.org/dc/dcmitype/"/>
  </ds:schemaRefs>
</ds:datastoreItem>
</file>

<file path=customXml/itemProps3.xml><?xml version="1.0" encoding="utf-8"?>
<ds:datastoreItem xmlns:ds="http://schemas.openxmlformats.org/officeDocument/2006/customXml" ds:itemID="{6BA119E2-0ABA-4469-8E36-2673E045A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788BC8-4E17-4E16-8D3D-E678AE0D6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22</Pages>
  <Words>22184</Words>
  <Characters>126455</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148343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BARBERO VIGNOLA Giulia (JRC-ISPRA)</dc:creator>
  <cp:keywords/>
  <dc:description/>
  <cp:lastModifiedBy>BARBERO VIGNOLA Giulia (JRC-ISPRA)</cp:lastModifiedBy>
  <cp:revision>152</cp:revision>
  <cp:lastPrinted>2024-12-06T01:45:00Z</cp:lastPrinted>
  <dcterms:created xsi:type="dcterms:W3CDTF">2025-02-28T13:43:00Z</dcterms:created>
  <dcterms:modified xsi:type="dcterms:W3CDTF">2025-04-17T07:50:00Z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value="true"/&gt;&lt;/prefs&gt;&lt;/data&gt;</vt:lpwstr>
  </property>
  <property fmtid="{D5CDD505-2E9C-101B-9397-08002B2CF9AE}" pid="5" name="ZOTERO_PREF_1">
    <vt:lpwstr>&lt;data data-version="3" zotero-version="6.0.36"&gt;&lt;session id="H86w6Ooz"/&gt;&lt;style id="http://www.zotero.org/styles/ieee" locale="en-GB" hasBibliography="1" bibliographyStyleHasBeenSet="1"/&gt;&lt;prefs&gt;&lt;pref name="fieldType" value="Field"/&gt;&lt;pref name="dontAskDelayC</vt:lpwstr>
  </property>
  <property fmtid="{D5CDD505-2E9C-101B-9397-08002B2CF9AE}" pid="6" name="MSIP_Label_6bd9ddd1-4d20-43f6-abfa-fc3c07406f94_Enabled">
    <vt:lpwstr>true</vt:lpwstr>
  </property>
  <property fmtid="{D5CDD505-2E9C-101B-9397-08002B2CF9AE}" pid="7" name="MSIP_Label_6bd9ddd1-4d20-43f6-abfa-fc3c07406f94_SetDate">
    <vt:lpwstr>2024-09-03T14:33:26Z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118e45ac-8af6-48d9-ba11-8dd7e5718d72</vt:lpwstr>
  </property>
  <property fmtid="{D5CDD505-2E9C-101B-9397-08002B2CF9AE}" pid="12" name="MSIP_Label_6bd9ddd1-4d20-43f6-abfa-fc3c07406f94_ContentBits">
    <vt:lpwstr>0</vt:lpwstr>
  </property>
</Properties>
</file>