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C99C" w14:textId="77777777" w:rsidR="00B46D9E" w:rsidRPr="00A57AAE" w:rsidRDefault="00B46D9E">
      <w:pPr>
        <w:spacing w:line="240" w:lineRule="auto"/>
      </w:pPr>
    </w:p>
    <w:p w14:paraId="414B127B" w14:textId="77777777" w:rsidR="00B46D9E" w:rsidRPr="00A57AAE" w:rsidRDefault="00B46D9E">
      <w:pPr>
        <w:spacing w:line="240" w:lineRule="auto"/>
      </w:pPr>
    </w:p>
    <w:p w14:paraId="7810C3FC" w14:textId="77777777" w:rsidR="00B46D9E" w:rsidRPr="00A57AAE" w:rsidRDefault="00B46D9E">
      <w:pPr>
        <w:spacing w:line="240" w:lineRule="auto"/>
      </w:pPr>
    </w:p>
    <w:p w14:paraId="363B8971" w14:textId="77777777" w:rsidR="00B46D9E" w:rsidRPr="00A57AAE" w:rsidRDefault="00B46D9E">
      <w:pPr>
        <w:spacing w:line="240" w:lineRule="auto"/>
      </w:pPr>
    </w:p>
    <w:tbl>
      <w:tblPr>
        <w:tblStyle w:val="a"/>
        <w:tblpPr w:leftFromText="180" w:rightFromText="180" w:vertAnchor="text" w:tblpY="129"/>
        <w:tblW w:w="94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5"/>
        <w:gridCol w:w="6660"/>
      </w:tblGrid>
      <w:tr w:rsidR="00B46D9E" w:rsidRPr="00A57AAE" w14:paraId="1F9740E2" w14:textId="77777777">
        <w:trPr>
          <w:trHeight w:val="91"/>
        </w:trPr>
        <w:tc>
          <w:tcPr>
            <w:tcW w:w="9465" w:type="dxa"/>
            <w:gridSpan w:val="2"/>
          </w:tcPr>
          <w:p w14:paraId="2514874C" w14:textId="77777777" w:rsidR="00B46D9E" w:rsidRPr="00A57AAE" w:rsidRDefault="00000000">
            <w:pPr>
              <w:tabs>
                <w:tab w:val="left" w:pos="2504"/>
              </w:tabs>
              <w:jc w:val="right"/>
              <w:rPr>
                <w:rFonts w:ascii="Arial" w:eastAsia="Arial" w:hAnsi="Arial" w:cs="Arial"/>
                <w:b/>
                <w:bCs/>
              </w:rPr>
            </w:pPr>
            <w:r w:rsidRPr="00A57AAE">
              <w:rPr>
                <w:rFonts w:ascii="Arial" w:eastAsia="Arial" w:hAnsi="Arial" w:cs="Arial"/>
                <w:b/>
                <w:bCs/>
              </w:rPr>
              <w:t>MEMORÁNDUM</w:t>
            </w:r>
          </w:p>
        </w:tc>
      </w:tr>
      <w:tr w:rsidR="00B46D9E" w:rsidRPr="00A57AAE" w14:paraId="7268D95D" w14:textId="77777777">
        <w:trPr>
          <w:trHeight w:val="10"/>
        </w:trPr>
        <w:tc>
          <w:tcPr>
            <w:tcW w:w="2805" w:type="dxa"/>
          </w:tcPr>
          <w:p w14:paraId="08A0E284" w14:textId="77777777" w:rsidR="00B46D9E" w:rsidRPr="00A57AAE" w:rsidRDefault="00000000">
            <w:pPr>
              <w:ind w:left="284"/>
              <w:jc w:val="both"/>
              <w:rPr>
                <w:rFonts w:ascii="Arial" w:eastAsia="Arial" w:hAnsi="Arial" w:cs="Arial"/>
              </w:rPr>
            </w:pPr>
            <w:proofErr w:type="spellStart"/>
            <w:r w:rsidRPr="00A57AAE">
              <w:rPr>
                <w:rFonts w:ascii="Arial" w:eastAsia="Arial" w:hAnsi="Arial" w:cs="Arial"/>
              </w:rPr>
              <w:t>To</w:t>
            </w:r>
            <w:proofErr w:type="spellEnd"/>
            <w:r w:rsidRPr="00A57AAE">
              <w:rPr>
                <w:rFonts w:ascii="Arial" w:eastAsia="Arial" w:hAnsi="Arial" w:cs="Arial"/>
              </w:rPr>
              <w:t>/Para:</w:t>
            </w:r>
          </w:p>
        </w:tc>
        <w:tc>
          <w:tcPr>
            <w:tcW w:w="6660" w:type="dxa"/>
          </w:tcPr>
          <w:p w14:paraId="1F1E8F36" w14:textId="74A0E660" w:rsidR="00B46D9E" w:rsidRPr="00A57AAE" w:rsidRDefault="007C03CB">
            <w:pPr>
              <w:jc w:val="both"/>
              <w:rPr>
                <w:rFonts w:ascii="Arial" w:eastAsia="Arial" w:hAnsi="Arial" w:cs="Arial"/>
                <w:color w:val="222222"/>
                <w:highlight w:val="white"/>
              </w:rPr>
            </w:pPr>
            <w:r w:rsidRPr="00A57AAE">
              <w:rPr>
                <w:rFonts w:ascii="Arial" w:eastAsia="Arial" w:hAnsi="Arial" w:cs="Arial"/>
                <w:color w:val="222222"/>
                <w:highlight w:val="white"/>
              </w:rPr>
              <w:t>XXXXX</w:t>
            </w:r>
          </w:p>
        </w:tc>
      </w:tr>
      <w:tr w:rsidR="00B46D9E" w:rsidRPr="00A57AAE" w14:paraId="650B7B9E" w14:textId="77777777">
        <w:trPr>
          <w:trHeight w:val="11"/>
        </w:trPr>
        <w:tc>
          <w:tcPr>
            <w:tcW w:w="2805" w:type="dxa"/>
          </w:tcPr>
          <w:p w14:paraId="3B67C151" w14:textId="77777777" w:rsidR="00B46D9E" w:rsidRPr="00A57AAE" w:rsidRDefault="00000000">
            <w:pPr>
              <w:ind w:left="284"/>
              <w:jc w:val="both"/>
              <w:rPr>
                <w:rFonts w:ascii="Arial" w:eastAsia="Arial" w:hAnsi="Arial" w:cs="Arial"/>
              </w:rPr>
            </w:pPr>
            <w:r w:rsidRPr="00A57AAE">
              <w:rPr>
                <w:rFonts w:ascii="Arial" w:eastAsia="Arial" w:hAnsi="Arial" w:cs="Arial"/>
              </w:rPr>
              <w:t>From/De:</w:t>
            </w:r>
          </w:p>
        </w:tc>
        <w:tc>
          <w:tcPr>
            <w:tcW w:w="6660" w:type="dxa"/>
          </w:tcPr>
          <w:p w14:paraId="16701612" w14:textId="77777777" w:rsidR="00B46D9E" w:rsidRPr="00A57AAE" w:rsidRDefault="00000000">
            <w:pPr>
              <w:jc w:val="both"/>
              <w:rPr>
                <w:rFonts w:ascii="Arial" w:eastAsia="Arial" w:hAnsi="Arial" w:cs="Arial"/>
              </w:rPr>
            </w:pPr>
            <w:r w:rsidRPr="00A57AAE">
              <w:rPr>
                <w:rFonts w:ascii="Arial" w:eastAsia="Arial" w:hAnsi="Arial" w:cs="Arial"/>
              </w:rPr>
              <w:t>Daniel Salas Arana y Luis Estévez García (EMA)</w:t>
            </w:r>
          </w:p>
        </w:tc>
      </w:tr>
      <w:tr w:rsidR="00B46D9E" w:rsidRPr="00A57AAE" w14:paraId="63BBFF8C" w14:textId="77777777">
        <w:trPr>
          <w:trHeight w:val="11"/>
        </w:trPr>
        <w:tc>
          <w:tcPr>
            <w:tcW w:w="2805" w:type="dxa"/>
          </w:tcPr>
          <w:p w14:paraId="04923664" w14:textId="77777777" w:rsidR="00B46D9E" w:rsidRPr="00A57AAE" w:rsidRDefault="00000000">
            <w:pPr>
              <w:ind w:left="284"/>
              <w:jc w:val="both"/>
              <w:rPr>
                <w:rFonts w:ascii="Arial" w:eastAsia="Arial" w:hAnsi="Arial" w:cs="Arial"/>
              </w:rPr>
            </w:pPr>
            <w:r w:rsidRPr="00A57AAE">
              <w:rPr>
                <w:rFonts w:ascii="Arial" w:eastAsia="Arial" w:hAnsi="Arial" w:cs="Arial"/>
              </w:rPr>
              <w:t>CC:</w:t>
            </w:r>
          </w:p>
        </w:tc>
        <w:tc>
          <w:tcPr>
            <w:tcW w:w="6660" w:type="dxa"/>
          </w:tcPr>
          <w:p w14:paraId="783D5392" w14:textId="77777777" w:rsidR="00B46D9E" w:rsidRPr="00A57AAE" w:rsidRDefault="00B46D9E">
            <w:pPr>
              <w:jc w:val="both"/>
              <w:rPr>
                <w:rFonts w:ascii="Arial" w:eastAsia="Arial" w:hAnsi="Arial" w:cs="Arial"/>
              </w:rPr>
            </w:pPr>
          </w:p>
        </w:tc>
      </w:tr>
      <w:tr w:rsidR="00B46D9E" w:rsidRPr="00A57AAE" w14:paraId="5215E72E" w14:textId="77777777">
        <w:trPr>
          <w:trHeight w:val="11"/>
        </w:trPr>
        <w:tc>
          <w:tcPr>
            <w:tcW w:w="2805" w:type="dxa"/>
          </w:tcPr>
          <w:p w14:paraId="3E479346" w14:textId="77777777" w:rsidR="00B46D9E" w:rsidRPr="00A57AAE" w:rsidRDefault="00000000">
            <w:pPr>
              <w:ind w:left="284"/>
              <w:jc w:val="both"/>
              <w:rPr>
                <w:rFonts w:ascii="Arial" w:eastAsia="Arial" w:hAnsi="Arial" w:cs="Arial"/>
              </w:rPr>
            </w:pPr>
            <w:r w:rsidRPr="00A57AAE">
              <w:rPr>
                <w:rFonts w:ascii="Arial" w:eastAsia="Arial" w:hAnsi="Arial" w:cs="Arial"/>
              </w:rPr>
              <w:t>Date/Fecha:</w:t>
            </w:r>
          </w:p>
        </w:tc>
        <w:tc>
          <w:tcPr>
            <w:tcW w:w="6660" w:type="dxa"/>
          </w:tcPr>
          <w:p w14:paraId="5AE9B01B" w14:textId="4DC216E9" w:rsidR="00B46D9E" w:rsidRPr="00A57AAE" w:rsidRDefault="00000000">
            <w:pPr>
              <w:jc w:val="both"/>
              <w:rPr>
                <w:rFonts w:ascii="Arial" w:eastAsia="Arial" w:hAnsi="Arial" w:cs="Arial"/>
              </w:rPr>
            </w:pPr>
            <w:r w:rsidRPr="00A57AAE">
              <w:rPr>
                <w:rFonts w:ascii="Arial" w:eastAsia="Arial" w:hAnsi="Arial" w:cs="Arial"/>
              </w:rPr>
              <w:t>2026-</w:t>
            </w:r>
            <w:r w:rsidR="007C03CB" w:rsidRPr="00A57AAE">
              <w:rPr>
                <w:rFonts w:ascii="Arial" w:eastAsia="Arial" w:hAnsi="Arial" w:cs="Arial"/>
              </w:rPr>
              <w:t>XX-XX</w:t>
            </w:r>
          </w:p>
        </w:tc>
      </w:tr>
      <w:tr w:rsidR="00B46D9E" w:rsidRPr="00A57AAE" w14:paraId="6317674A" w14:textId="77777777">
        <w:trPr>
          <w:trHeight w:val="818"/>
        </w:trPr>
        <w:tc>
          <w:tcPr>
            <w:tcW w:w="2805" w:type="dxa"/>
            <w:tcMar>
              <w:bottom w:w="576" w:type="dxa"/>
            </w:tcMar>
          </w:tcPr>
          <w:p w14:paraId="2D52B4B7" w14:textId="77777777" w:rsidR="00B46D9E" w:rsidRPr="00A57AAE" w:rsidRDefault="00000000">
            <w:pPr>
              <w:jc w:val="both"/>
              <w:rPr>
                <w:rFonts w:ascii="Arial" w:eastAsia="Arial" w:hAnsi="Arial" w:cs="Arial"/>
              </w:rPr>
            </w:pPr>
            <w:r w:rsidRPr="00A57AAE">
              <w:rPr>
                <w:rFonts w:ascii="Arial" w:eastAsia="Arial" w:hAnsi="Arial" w:cs="Arial"/>
              </w:rPr>
              <w:t xml:space="preserve">     Subject/Re:</w:t>
            </w:r>
          </w:p>
        </w:tc>
        <w:tc>
          <w:tcPr>
            <w:tcW w:w="6660" w:type="dxa"/>
            <w:tcMar>
              <w:bottom w:w="576" w:type="dxa"/>
            </w:tcMar>
          </w:tcPr>
          <w:p w14:paraId="58EBA4A0" w14:textId="1745057D" w:rsidR="00B46D9E" w:rsidRPr="00A57AAE" w:rsidRDefault="00B46D9E">
            <w:pPr>
              <w:ind w:right="-150"/>
              <w:rPr>
                <w:rFonts w:ascii="Arial" w:eastAsia="Arial" w:hAnsi="Arial" w:cs="Arial"/>
                <w:b/>
                <w:bCs/>
              </w:rPr>
            </w:pPr>
          </w:p>
        </w:tc>
      </w:tr>
    </w:tbl>
    <w:p w14:paraId="13E26192" w14:textId="77777777" w:rsidR="00B46D9E" w:rsidRPr="00A57AAE" w:rsidRDefault="00B46D9E">
      <w:pPr>
        <w:spacing w:line="240" w:lineRule="auto"/>
        <w:jc w:val="both"/>
      </w:pPr>
    </w:p>
    <w:p w14:paraId="6EC5CFCA" w14:textId="77777777" w:rsidR="00B46D9E" w:rsidRPr="00A57AAE" w:rsidRDefault="00000000">
      <w:pPr>
        <w:spacing w:line="240" w:lineRule="auto"/>
        <w:jc w:val="both"/>
      </w:pPr>
      <w:r w:rsidRPr="00A57AAE">
        <w:t xml:space="preserve">Estimado Juan Pablo, </w:t>
      </w:r>
    </w:p>
    <w:p w14:paraId="35C1699A" w14:textId="77777777" w:rsidR="00B46D9E" w:rsidRPr="00A57AAE" w:rsidRDefault="00B46D9E">
      <w:pPr>
        <w:spacing w:line="240" w:lineRule="auto"/>
        <w:jc w:val="both"/>
      </w:pPr>
    </w:p>
    <w:p w14:paraId="57FCFE1A" w14:textId="4A36DF69" w:rsidR="00B46D9E" w:rsidRPr="00A57AAE" w:rsidRDefault="00000000">
      <w:pPr>
        <w:widowControl w:val="0"/>
        <w:spacing w:line="240" w:lineRule="auto"/>
        <w:jc w:val="both"/>
      </w:pPr>
      <w:r w:rsidRPr="00A57AAE">
        <w:t xml:space="preserve">El presente Reporte tiene como objetivo proporcionar un análisis consolidado y exhaustivo de las dinámicas sociopolíticas institucionales y del desempeño macroeconómico que han caracterizado el entorno de Venezuela hasta el </w:t>
      </w:r>
      <w:r w:rsidR="007C03CB" w:rsidRPr="00A57AAE">
        <w:t>30-07-2026</w:t>
      </w:r>
      <w:r w:rsidRPr="00A57AAE">
        <w:t>. Mediante el seguimiento riguroso de indicadores clave y de eventos coyunturales, nuestros expertos evalúan el impacto de dichos factores en el clima de inversión y en la seguridad jurídica, y proyectan escenarios a corto y mediano plazo para facilitar la toma de decisiones estratégicas de su organización.</w:t>
      </w:r>
    </w:p>
    <w:p w14:paraId="7FD31C49" w14:textId="77777777" w:rsidR="007C03CB" w:rsidRPr="00A57AAE" w:rsidRDefault="007C03CB">
      <w:pPr>
        <w:widowControl w:val="0"/>
        <w:spacing w:line="240" w:lineRule="auto"/>
        <w:jc w:val="both"/>
      </w:pPr>
    </w:p>
    <w:p w14:paraId="1D0475AA" w14:textId="4F22B1E8" w:rsidR="007C03CB" w:rsidRPr="00A57AAE" w:rsidRDefault="007C03CB">
      <w:r w:rsidRPr="00A57AAE">
        <w:br w:type="page"/>
      </w:r>
    </w:p>
    <w:p w14:paraId="010FDF23" w14:textId="77777777" w:rsidR="007C03CB" w:rsidRPr="00A57AAE" w:rsidRDefault="007C03CB">
      <w:pPr>
        <w:widowControl w:val="0"/>
        <w:spacing w:line="240" w:lineRule="auto"/>
        <w:jc w:val="both"/>
        <w:rPr>
          <w:b/>
          <w:bCs/>
        </w:rPr>
      </w:pPr>
    </w:p>
    <w:p w14:paraId="1FAD1E63" w14:textId="77777777" w:rsidR="00B46D9E" w:rsidRPr="00A57AAE" w:rsidRDefault="00000000">
      <w:pPr>
        <w:pBdr>
          <w:top w:val="nil"/>
          <w:left w:val="nil"/>
          <w:bottom w:val="nil"/>
          <w:right w:val="nil"/>
          <w:between w:val="nil"/>
        </w:pBdr>
        <w:spacing w:line="240" w:lineRule="auto"/>
        <w:jc w:val="both"/>
        <w:rPr>
          <w:highlight w:val="white"/>
        </w:rPr>
      </w:pPr>
      <w:bookmarkStart w:id="0" w:name="_jjq87rd94xt2" w:colFirst="0" w:colLast="0"/>
      <w:bookmarkEnd w:id="0"/>
      <w:r w:rsidRPr="00A57AAE">
        <w:rPr>
          <w:highlight w:val="white"/>
        </w:rPr>
        <w:t xml:space="preserve"> </w:t>
      </w:r>
    </w:p>
    <w:p w14:paraId="4F7387DE" w14:textId="77777777" w:rsidR="00B46D9E" w:rsidRPr="00A57AAE" w:rsidRDefault="00000000">
      <w:pPr>
        <w:numPr>
          <w:ilvl w:val="0"/>
          <w:numId w:val="1"/>
        </w:numPr>
        <w:pBdr>
          <w:top w:val="nil"/>
          <w:left w:val="nil"/>
          <w:bottom w:val="nil"/>
          <w:right w:val="nil"/>
          <w:between w:val="nil"/>
        </w:pBdr>
        <w:spacing w:line="240" w:lineRule="auto"/>
        <w:ind w:left="630" w:hanging="630"/>
        <w:jc w:val="both"/>
        <w:rPr>
          <w:b/>
          <w:bCs/>
          <w:color w:val="000000"/>
        </w:rPr>
      </w:pPr>
      <w:r w:rsidRPr="00A57AAE">
        <w:rPr>
          <w:b/>
          <w:bCs/>
          <w:color w:val="000000"/>
        </w:rPr>
        <w:t>ENTORNO ECONÓMICO: DINÁMICAS MACROECONÓMICAS E INDICADORES CLAVE.</w:t>
      </w:r>
    </w:p>
    <w:p w14:paraId="1E302991" w14:textId="77777777" w:rsidR="00B46D9E" w:rsidRPr="00A57AAE" w:rsidRDefault="00000000">
      <w:pPr>
        <w:spacing w:before="240" w:after="240" w:line="261" w:lineRule="auto"/>
        <w:jc w:val="both"/>
        <w:rPr>
          <w:highlight w:val="white"/>
        </w:rPr>
      </w:pPr>
      <w:r w:rsidRPr="00A57AAE">
        <w:rPr>
          <w:highlight w:val="white"/>
        </w:rPr>
        <w:tab/>
      </w:r>
      <w:r w:rsidRPr="00A57AAE">
        <w:rPr>
          <w:b/>
          <w:bCs/>
        </w:rPr>
        <w:t>Responsable:</w:t>
      </w:r>
      <w:r w:rsidRPr="00A57AAE">
        <w:t xml:space="preserve"> Eco. Giorgio Cunto Morales</w:t>
      </w:r>
      <w:r w:rsidRPr="00A57AAE">
        <w:rPr>
          <w:vertAlign w:val="superscript"/>
        </w:rPr>
        <w:footnoteReference w:id="1"/>
      </w:r>
    </w:p>
    <w:p w14:paraId="64741B7E" w14:textId="1DC81F22" w:rsidR="007C03CB" w:rsidRPr="00A57AAE" w:rsidRDefault="007C03CB">
      <w:pPr>
        <w:spacing w:line="240" w:lineRule="auto"/>
        <w:jc w:val="both"/>
        <w:rPr>
          <w:b/>
          <w:bCs/>
        </w:rPr>
      </w:pPr>
      <w:bookmarkStart w:id="1" w:name="_mz6fmccrut0g" w:colFirst="0" w:colLast="0"/>
      <w:bookmarkEnd w:id="1"/>
      <w:r w:rsidRPr="00A57AAE">
        <w:rPr>
          <w:b/>
          <w:bCs/>
        </w:rPr>
        <w:t>Resumen ejecutivo</w:t>
      </w:r>
    </w:p>
    <w:p w14:paraId="6A17BD17" w14:textId="77777777" w:rsidR="007C03CB" w:rsidRPr="00A57AAE" w:rsidRDefault="007C03CB">
      <w:pPr>
        <w:spacing w:line="240" w:lineRule="auto"/>
        <w:jc w:val="both"/>
      </w:pPr>
    </w:p>
    <w:p w14:paraId="54AD1B0C" w14:textId="63DB2C2D" w:rsidR="006E11C7" w:rsidRPr="00A57AAE" w:rsidRDefault="00D556A8">
      <w:pPr>
        <w:spacing w:line="240" w:lineRule="auto"/>
        <w:jc w:val="both"/>
      </w:pPr>
      <w:r w:rsidRPr="00A57AAE">
        <w:t xml:space="preserve">Ritmo económico ajustado alrededor de los efectos más duraderos del doble evento sísmico del 23 de junio de 2026. Estimaciones preliminares de costos de reposición de edificaciones en La Guaira entre </w:t>
      </w:r>
      <w:r w:rsidRPr="00A57AAE">
        <w:rPr>
          <w:b/>
          <w:bCs/>
        </w:rPr>
        <w:t>USD 2.500 millones</w:t>
      </w:r>
      <w:r w:rsidRPr="00A57AAE">
        <w:t xml:space="preserve"> y </w:t>
      </w:r>
      <w:r w:rsidRPr="00A57AAE">
        <w:rPr>
          <w:b/>
          <w:bCs/>
        </w:rPr>
        <w:t>17.000 millones</w:t>
      </w:r>
      <w:r w:rsidR="001D59E7" w:rsidRPr="00A57AAE">
        <w:rPr>
          <w:rStyle w:val="FootnoteReference"/>
        </w:rPr>
        <w:footnoteReference w:id="2"/>
      </w:r>
      <w:r w:rsidR="003413AE" w:rsidRPr="00A57AAE">
        <w:t xml:space="preserve">, limitaciones en capacidad estatal y transparencia institucional podrían obstaculizar levantamiento de recursos a gran escala. Expectativas de crecimiento permanecen positivas pero reducidas a rango de </w:t>
      </w:r>
      <w:r w:rsidR="003413AE" w:rsidRPr="00A57AAE">
        <w:rPr>
          <w:b/>
          <w:bCs/>
        </w:rPr>
        <w:t>4%-8%</w:t>
      </w:r>
      <w:r w:rsidR="003413AE" w:rsidRPr="00A57AAE">
        <w:t xml:space="preserve"> parea cierre de año.</w:t>
      </w:r>
      <w:r w:rsidR="008E249E" w:rsidRPr="00A57AAE">
        <w:t xml:space="preserve"> </w:t>
      </w:r>
      <w:r w:rsidR="006E11C7" w:rsidRPr="00A57AAE">
        <w:t>Momentánea estabilización del tipo de cambio (TC) no oficial y pronunciada depreciación del TC oficial han reducido la brecha cambiaria (</w:t>
      </w:r>
      <w:r w:rsidR="006E11C7" w:rsidRPr="00A57AAE">
        <w:rPr>
          <w:b/>
          <w:bCs/>
        </w:rPr>
        <w:t>12,8%</w:t>
      </w:r>
      <w:r w:rsidR="006E11C7" w:rsidRPr="00A57AAE">
        <w:t xml:space="preserve">) a su promedio más bajo desde agosto 2024. Ritmo inflacionario general se elevó a </w:t>
      </w:r>
      <w:r w:rsidR="006E11C7" w:rsidRPr="00A57AAE">
        <w:rPr>
          <w:b/>
          <w:bCs/>
        </w:rPr>
        <w:t>545%</w:t>
      </w:r>
      <w:r w:rsidR="006E11C7" w:rsidRPr="00A57AAE">
        <w:t xml:space="preserve"> interanual (</w:t>
      </w:r>
      <w:r w:rsidR="006E11C7" w:rsidRPr="00A57AAE">
        <w:rPr>
          <w:b/>
          <w:bCs/>
        </w:rPr>
        <w:t>494% en alimentos</w:t>
      </w:r>
      <w:r w:rsidR="006E11C7" w:rsidRPr="00A57AAE">
        <w:t xml:space="preserve">), permaneciendo en rango hiperinflacionario con pronóstico a quedarse en tres cifras medias </w:t>
      </w:r>
      <w:r w:rsidR="006E11C7" w:rsidRPr="00A57AAE">
        <w:rPr>
          <w:b/>
          <w:bCs/>
        </w:rPr>
        <w:t xml:space="preserve">350%-600% </w:t>
      </w:r>
      <w:r w:rsidR="006E11C7" w:rsidRPr="00A57AAE">
        <w:t>para cierre de año</w:t>
      </w:r>
      <w:r w:rsidR="006E11C7" w:rsidRPr="00A57AAE">
        <w:rPr>
          <w:b/>
          <w:bCs/>
        </w:rPr>
        <w:t>.</w:t>
      </w:r>
    </w:p>
    <w:p w14:paraId="6748202C" w14:textId="77777777" w:rsidR="003413AE" w:rsidRPr="00A57AAE" w:rsidRDefault="003413AE">
      <w:pPr>
        <w:spacing w:line="240" w:lineRule="auto"/>
        <w:jc w:val="both"/>
      </w:pPr>
    </w:p>
    <w:p w14:paraId="0A67DFD9" w14:textId="6085EAD6" w:rsidR="006E11C7" w:rsidRPr="00A57AAE" w:rsidRDefault="003413AE">
      <w:pPr>
        <w:spacing w:line="240" w:lineRule="auto"/>
        <w:jc w:val="both"/>
      </w:pPr>
      <w:r w:rsidRPr="00A57AAE">
        <w:t>Producción petrolera a junio estabilizada</w:t>
      </w:r>
      <w:r w:rsidR="001D59E7" w:rsidRPr="00A57AAE">
        <w:t xml:space="preserve"> en </w:t>
      </w:r>
      <w:r w:rsidR="001D59E7" w:rsidRPr="00A57AAE">
        <w:rPr>
          <w:b/>
          <w:bCs/>
        </w:rPr>
        <w:t>1.187 barriles diarios (kb/d)</w:t>
      </w:r>
      <w:r w:rsidR="001D59E7" w:rsidRPr="00A57AAE">
        <w:t xml:space="preserve">, lentitud en consolidación de nuevos contratos tempera ritmo en que se alcance techo productivo de corto plazo. Precio del crudo venezolano por barril en </w:t>
      </w:r>
      <w:r w:rsidR="001D59E7" w:rsidRPr="00A57AAE">
        <w:rPr>
          <w:b/>
          <w:bCs/>
        </w:rPr>
        <w:t xml:space="preserve">USD 71,1 </w:t>
      </w:r>
      <w:r w:rsidR="001D59E7" w:rsidRPr="00A57AAE">
        <w:t xml:space="preserve">para un promedio semestral de </w:t>
      </w:r>
      <w:r w:rsidR="001D59E7" w:rsidRPr="00A57AAE">
        <w:rPr>
          <w:b/>
          <w:bCs/>
        </w:rPr>
        <w:t>USD 70,46.</w:t>
      </w:r>
      <w:r w:rsidR="00A95A80" w:rsidRPr="00A57AAE">
        <w:rPr>
          <w:b/>
          <w:bCs/>
        </w:rPr>
        <w:t xml:space="preserve"> </w:t>
      </w:r>
      <w:r w:rsidR="00A95A80" w:rsidRPr="00A57AAE">
        <w:t xml:space="preserve">Exportaciones de petróleo de primer semestre alcanzaron </w:t>
      </w:r>
      <w:r w:rsidR="00A95A80" w:rsidRPr="00A57AAE">
        <w:rPr>
          <w:b/>
          <w:bCs/>
        </w:rPr>
        <w:t>USD 15.166 millones</w:t>
      </w:r>
      <w:r w:rsidR="00A95A80" w:rsidRPr="00A57AAE">
        <w:t>, las cuales han a</w:t>
      </w:r>
      <w:r w:rsidR="008777F6" w:rsidRPr="00A57AAE">
        <w:t xml:space="preserve">limentado intervenciones cambiarias que para mayo y junio promedian en </w:t>
      </w:r>
      <w:r w:rsidR="008777F6" w:rsidRPr="00A57AAE">
        <w:rPr>
          <w:b/>
          <w:bCs/>
        </w:rPr>
        <w:t>USD 2.099 millones</w:t>
      </w:r>
      <w:r w:rsidR="008777F6" w:rsidRPr="00A57AAE">
        <w:t xml:space="preserve"> mensuales.</w:t>
      </w:r>
      <w:r w:rsidR="008E249E" w:rsidRPr="00A57AAE">
        <w:t xml:space="preserve"> </w:t>
      </w:r>
      <w:r w:rsidR="006E11C7" w:rsidRPr="00A57AAE">
        <w:t xml:space="preserve">Ámbito fiscal a la espera de publicación de marco de sostenibilidad anunciado por autoridades para </w:t>
      </w:r>
      <w:r w:rsidR="00A611F6" w:rsidRPr="00A57AAE">
        <w:t xml:space="preserve">negociaciones de restructuración de deuda, pero información del SENIAT indica una recaudación tributaria equivalente a </w:t>
      </w:r>
      <w:r w:rsidR="00A611F6" w:rsidRPr="00A57AAE">
        <w:rPr>
          <w:b/>
          <w:bCs/>
        </w:rPr>
        <w:t>USD 4.715</w:t>
      </w:r>
      <w:r w:rsidR="00A611F6" w:rsidRPr="00A57AAE">
        <w:rPr>
          <w:b/>
          <w:bCs/>
        </w:rPr>
        <w:t xml:space="preserve"> millones</w:t>
      </w:r>
      <w:r w:rsidR="00A611F6" w:rsidRPr="00A57AAE">
        <w:t xml:space="preserve"> en primer semestre de 2026.</w:t>
      </w:r>
    </w:p>
    <w:p w14:paraId="26B095F8" w14:textId="77777777" w:rsidR="00B02953" w:rsidRPr="00A57AAE" w:rsidRDefault="00B02953">
      <w:pPr>
        <w:spacing w:line="240" w:lineRule="auto"/>
        <w:jc w:val="both"/>
      </w:pPr>
    </w:p>
    <w:p w14:paraId="1AEF5174" w14:textId="21AE525F" w:rsidR="00A611F6" w:rsidRPr="00A57AAE" w:rsidRDefault="008E249E">
      <w:pPr>
        <w:spacing w:line="240" w:lineRule="auto"/>
        <w:jc w:val="both"/>
      </w:pPr>
      <w:r w:rsidRPr="00A57AAE">
        <w:t>Consideramos importante destacas</w:t>
      </w:r>
      <w:r w:rsidR="00A611F6" w:rsidRPr="00A57AAE">
        <w:t>:</w:t>
      </w:r>
    </w:p>
    <w:p w14:paraId="4646D95A" w14:textId="77777777" w:rsidR="00A611F6" w:rsidRPr="00A57AAE" w:rsidRDefault="00A611F6">
      <w:pPr>
        <w:spacing w:line="240" w:lineRule="auto"/>
        <w:jc w:val="both"/>
      </w:pPr>
    </w:p>
    <w:p w14:paraId="2687ACF1" w14:textId="2E9FAE96" w:rsidR="007C03CB" w:rsidRPr="00A57AAE" w:rsidRDefault="007C03CB" w:rsidP="008E249E">
      <w:pPr>
        <w:pStyle w:val="ListParagraph"/>
        <w:numPr>
          <w:ilvl w:val="0"/>
          <w:numId w:val="4"/>
        </w:numPr>
        <w:spacing w:line="240" w:lineRule="auto"/>
        <w:jc w:val="both"/>
      </w:pPr>
      <w:r w:rsidRPr="00A57AAE">
        <w:t>Impacto macroeconómico de los sismos no altera</w:t>
      </w:r>
      <w:r w:rsidR="008E249E" w:rsidRPr="00A57AAE">
        <w:t xml:space="preserve"> dinámica subyacente de la economía venezolana, que venía sujeto a moderación en expectativas de desempeño por fricciones institucionales y productivas para propiciar un despegue más acelerado.</w:t>
      </w:r>
    </w:p>
    <w:p w14:paraId="0203E12E" w14:textId="75756C63" w:rsidR="008E249E" w:rsidRPr="00A57AAE" w:rsidRDefault="008E249E" w:rsidP="008E249E">
      <w:pPr>
        <w:pStyle w:val="ListParagraph"/>
        <w:numPr>
          <w:ilvl w:val="0"/>
          <w:numId w:val="4"/>
        </w:numPr>
        <w:spacing w:line="240" w:lineRule="auto"/>
        <w:jc w:val="both"/>
      </w:pPr>
      <w:r w:rsidRPr="00A57AAE">
        <w:t xml:space="preserve">Pesimismo inmediato </w:t>
      </w:r>
      <w:proofErr w:type="spellStart"/>
      <w:r w:rsidRPr="00A57AAE">
        <w:t>post-tragedia</w:t>
      </w:r>
      <w:proofErr w:type="spellEnd"/>
      <w:r w:rsidRPr="00A57AAE">
        <w:t xml:space="preserve"> motiva firmas y hogares a reorientar prioridades de gastos a atención inmediata de secuelas, y adoptar visiones más conservadoras. </w:t>
      </w:r>
      <w:r w:rsidR="00D729FB" w:rsidRPr="00A57AAE">
        <w:t>Internalización de realidad económica debería tomar unos meses.</w:t>
      </w:r>
    </w:p>
    <w:p w14:paraId="7A940752" w14:textId="38104873" w:rsidR="00D729FB" w:rsidRPr="00A57AAE" w:rsidRDefault="00D729FB" w:rsidP="00B02953">
      <w:pPr>
        <w:pStyle w:val="ListParagraph"/>
        <w:numPr>
          <w:ilvl w:val="0"/>
          <w:numId w:val="4"/>
        </w:numPr>
        <w:spacing w:line="240" w:lineRule="auto"/>
        <w:jc w:val="both"/>
      </w:pPr>
      <w:r w:rsidRPr="00A57AAE">
        <w:t>Requisitos de reconstrucción podrían propiciar estimulo de actividad en el mediano plazo, pero barreras en cuanto a la confiabilidad de las autoridades limitar el alcance del levantamiento de recursos financieros más allá de paquetes de asistencia internacional inmediata e incondicional.</w:t>
      </w:r>
    </w:p>
    <w:p w14:paraId="428D24C9" w14:textId="303BA0C9" w:rsidR="00B46D9E" w:rsidRPr="00A57AAE" w:rsidRDefault="007C03CB" w:rsidP="00B02953">
      <w:pPr>
        <w:pStyle w:val="ListParagraph"/>
        <w:numPr>
          <w:ilvl w:val="0"/>
          <w:numId w:val="4"/>
        </w:numPr>
        <w:spacing w:line="240" w:lineRule="auto"/>
        <w:jc w:val="both"/>
      </w:pPr>
      <w:r w:rsidRPr="00A57AAE">
        <w:br w:type="page"/>
      </w:r>
      <w:r w:rsidRPr="00A57AAE">
        <w:rPr>
          <w:b/>
          <w:bCs/>
          <w:highlight w:val="white"/>
        </w:rPr>
        <w:lastRenderedPageBreak/>
        <w:t>Crecimiento y Producto Interno Bruto.</w:t>
      </w:r>
    </w:p>
    <w:p w14:paraId="3BC91134" w14:textId="77777777" w:rsidR="00B46D9E" w:rsidRPr="00A57AAE" w:rsidRDefault="00B46D9E">
      <w:pPr>
        <w:spacing w:line="240" w:lineRule="auto"/>
        <w:jc w:val="both"/>
        <w:rPr>
          <w:b/>
          <w:bCs/>
          <w:highlight w:val="white"/>
        </w:rPr>
      </w:pPr>
    </w:p>
    <w:p w14:paraId="4BDD8B0F" w14:textId="01640E1A" w:rsidR="00B46D9E" w:rsidRPr="00A57AAE" w:rsidRDefault="00F72236">
      <w:pPr>
        <w:spacing w:line="240" w:lineRule="auto"/>
        <w:jc w:val="both"/>
      </w:pPr>
      <w:r w:rsidRPr="00A57AAE">
        <w:t xml:space="preserve">Doblete sísmico no impactó infraestructura petrolera ni principal motor de actividad económica nacional. Pérdidas concentradas en el área de La Guira con repercusiones en campo de conexiones portuarias y turísticas. </w:t>
      </w:r>
      <w:r w:rsidR="008B1D76" w:rsidRPr="00A57AAE">
        <w:t>Perspectivas de crecimiento económico se mantienen en positivo, pero moderadas a rango de 4%-8% interanual. Erosión de impulso productivo precede a evento sísmico y es más asociado a la lentitud en que se consolidan inversiones, con el consumo dependiente de la productividad per cápita reprimido por alto costo de vida.</w:t>
      </w:r>
    </w:p>
    <w:p w14:paraId="7DEE4D49" w14:textId="77777777" w:rsidR="00B02953" w:rsidRPr="00A57AAE" w:rsidRDefault="00B02953">
      <w:pPr>
        <w:spacing w:line="240" w:lineRule="auto"/>
        <w:jc w:val="both"/>
        <w:rPr>
          <w:highlight w:val="white"/>
        </w:rPr>
      </w:pPr>
    </w:p>
    <w:p w14:paraId="0D2C8FC0" w14:textId="08191884" w:rsidR="00B46D9E" w:rsidRPr="00A57AAE" w:rsidRDefault="00F72236">
      <w:pPr>
        <w:spacing w:line="240" w:lineRule="auto"/>
        <w:jc w:val="center"/>
        <w:rPr>
          <w:b/>
          <w:bCs/>
          <w:highlight w:val="white"/>
        </w:rPr>
      </w:pPr>
      <w:r w:rsidRPr="00A57AAE">
        <w:rPr>
          <w:b/>
          <w:bCs/>
          <w:noProof/>
          <w:highlight w:val="white"/>
        </w:rPr>
        <w:drawing>
          <wp:inline distT="0" distB="0" distL="0" distR="0" wp14:anchorId="5B1F0F9E" wp14:editId="38BD2304">
            <wp:extent cx="3695240" cy="2772000"/>
            <wp:effectExtent l="0" t="0" r="635" b="9525"/>
            <wp:docPr id="1945804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5240" cy="2772000"/>
                    </a:xfrm>
                    <a:prstGeom prst="rect">
                      <a:avLst/>
                    </a:prstGeom>
                    <a:noFill/>
                  </pic:spPr>
                </pic:pic>
              </a:graphicData>
            </a:graphic>
          </wp:inline>
        </w:drawing>
      </w:r>
    </w:p>
    <w:p w14:paraId="01936F4D" w14:textId="77777777" w:rsidR="00B46D9E" w:rsidRPr="00A57AAE" w:rsidRDefault="00000000">
      <w:pPr>
        <w:spacing w:line="240" w:lineRule="auto"/>
        <w:jc w:val="center"/>
        <w:rPr>
          <w:sz w:val="12"/>
          <w:szCs w:val="12"/>
          <w:highlight w:val="white"/>
        </w:rPr>
      </w:pPr>
      <w:r w:rsidRPr="00A57AAE">
        <w:rPr>
          <w:sz w:val="12"/>
          <w:szCs w:val="12"/>
          <w:highlight w:val="white"/>
        </w:rPr>
        <w:t xml:space="preserve">Fuente: Baptista (2008), BCV, Focus </w:t>
      </w:r>
      <w:proofErr w:type="spellStart"/>
      <w:r w:rsidRPr="00A57AAE">
        <w:rPr>
          <w:sz w:val="12"/>
          <w:szCs w:val="12"/>
          <w:highlight w:val="white"/>
        </w:rPr>
        <w:t>Economics</w:t>
      </w:r>
      <w:proofErr w:type="spellEnd"/>
      <w:r w:rsidRPr="00A57AAE">
        <w:rPr>
          <w:sz w:val="12"/>
          <w:szCs w:val="12"/>
          <w:highlight w:val="white"/>
        </w:rPr>
        <w:t>, estimaciones propias.</w:t>
      </w:r>
    </w:p>
    <w:p w14:paraId="53016693" w14:textId="6614CFE1" w:rsidR="00F72236" w:rsidRPr="00A57AAE" w:rsidRDefault="00F72236">
      <w:pPr>
        <w:spacing w:line="240" w:lineRule="auto"/>
        <w:jc w:val="center"/>
        <w:rPr>
          <w:b/>
          <w:bCs/>
          <w:highlight w:val="white"/>
        </w:rPr>
      </w:pPr>
      <w:r w:rsidRPr="00A57AAE">
        <w:rPr>
          <w:b/>
          <w:bCs/>
          <w:noProof/>
          <w:highlight w:val="white"/>
        </w:rPr>
        <w:drawing>
          <wp:inline distT="0" distB="0" distL="0" distR="0" wp14:anchorId="0F6054D4" wp14:editId="0D52139B">
            <wp:extent cx="3695240" cy="2772000"/>
            <wp:effectExtent l="0" t="0" r="635" b="9525"/>
            <wp:docPr id="824254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240" cy="2772000"/>
                    </a:xfrm>
                    <a:prstGeom prst="rect">
                      <a:avLst/>
                    </a:prstGeom>
                    <a:noFill/>
                  </pic:spPr>
                </pic:pic>
              </a:graphicData>
            </a:graphic>
          </wp:inline>
        </w:drawing>
      </w:r>
    </w:p>
    <w:p w14:paraId="2EC08D9B" w14:textId="3ECD6561" w:rsidR="00F72236" w:rsidRPr="00A57AAE" w:rsidRDefault="00F72236" w:rsidP="00B02953">
      <w:pPr>
        <w:spacing w:line="240" w:lineRule="auto"/>
        <w:jc w:val="center"/>
        <w:rPr>
          <w:sz w:val="12"/>
          <w:szCs w:val="12"/>
          <w:highlight w:val="white"/>
        </w:rPr>
      </w:pPr>
      <w:r w:rsidRPr="00A57AAE">
        <w:rPr>
          <w:sz w:val="12"/>
          <w:szCs w:val="12"/>
          <w:highlight w:val="white"/>
        </w:rPr>
        <w:t>Nota: Líneas muestran escenarios de tasas de crecimiento interanual compuesto.</w:t>
      </w:r>
    </w:p>
    <w:p w14:paraId="5CDEF19C" w14:textId="6277F360" w:rsidR="007C03CB" w:rsidRPr="00A57AAE" w:rsidRDefault="00000000" w:rsidP="00B02953">
      <w:pPr>
        <w:spacing w:line="240" w:lineRule="auto"/>
        <w:jc w:val="center"/>
        <w:rPr>
          <w:sz w:val="12"/>
          <w:szCs w:val="12"/>
          <w:highlight w:val="white"/>
        </w:rPr>
      </w:pPr>
      <w:r w:rsidRPr="00A57AAE">
        <w:rPr>
          <w:sz w:val="12"/>
          <w:szCs w:val="12"/>
          <w:highlight w:val="white"/>
        </w:rPr>
        <w:t xml:space="preserve">Fuente: Baptista (2008), BCV, Focus </w:t>
      </w:r>
      <w:proofErr w:type="spellStart"/>
      <w:r w:rsidRPr="00A57AAE">
        <w:rPr>
          <w:sz w:val="12"/>
          <w:szCs w:val="12"/>
          <w:highlight w:val="white"/>
        </w:rPr>
        <w:t>Economics</w:t>
      </w:r>
      <w:proofErr w:type="spellEnd"/>
      <w:r w:rsidRPr="00A57AAE">
        <w:rPr>
          <w:sz w:val="12"/>
          <w:szCs w:val="12"/>
          <w:highlight w:val="white"/>
        </w:rPr>
        <w:t>, estimaciones propias.</w:t>
      </w:r>
      <w:r w:rsidR="007C03CB" w:rsidRPr="00A57AAE">
        <w:rPr>
          <w:highlight w:val="white"/>
        </w:rPr>
        <w:br w:type="page"/>
      </w:r>
    </w:p>
    <w:p w14:paraId="7824CB0D" w14:textId="77777777" w:rsidR="00B02953" w:rsidRPr="00A57AAE" w:rsidRDefault="00B02953" w:rsidP="00B02953">
      <w:pPr>
        <w:spacing w:line="240" w:lineRule="auto"/>
        <w:jc w:val="both"/>
        <w:rPr>
          <w:b/>
          <w:bCs/>
          <w:highlight w:val="white"/>
        </w:rPr>
      </w:pPr>
      <w:r w:rsidRPr="00A57AAE">
        <w:rPr>
          <w:b/>
          <w:bCs/>
          <w:highlight w:val="white"/>
        </w:rPr>
        <w:lastRenderedPageBreak/>
        <w:t>Inflación y Tipo de Cambio.</w:t>
      </w:r>
    </w:p>
    <w:p w14:paraId="1C1BF8CF" w14:textId="77777777" w:rsidR="00B02953" w:rsidRPr="00A57AAE" w:rsidRDefault="00B02953" w:rsidP="00B02953">
      <w:pPr>
        <w:spacing w:line="240" w:lineRule="auto"/>
        <w:jc w:val="both"/>
      </w:pPr>
    </w:p>
    <w:p w14:paraId="403593ED" w14:textId="05E96C15" w:rsidR="00B02953" w:rsidRPr="00A57AAE" w:rsidRDefault="003C7003" w:rsidP="00B02953">
      <w:pPr>
        <w:spacing w:line="240" w:lineRule="auto"/>
        <w:jc w:val="both"/>
      </w:pPr>
      <w:r w:rsidRPr="00A57AAE">
        <w:t xml:space="preserve">El tipo de cambio oficial cerró el mes de julio en VES 746,6/USD mientras que el tipo de cambio no oficial en VES 837,9/USD; reduciendo la brecha cambiaria a 12,8% en comparación con el </w:t>
      </w:r>
      <w:r w:rsidR="0035542D" w:rsidRPr="00A57AAE">
        <w:t>30</w:t>
      </w:r>
      <w:r w:rsidRPr="00A57AAE">
        <w:t>,</w:t>
      </w:r>
      <w:r w:rsidR="0035542D" w:rsidRPr="00A57AAE">
        <w:t>01</w:t>
      </w:r>
      <w:r w:rsidRPr="00A57AAE">
        <w:t xml:space="preserve">% al </w:t>
      </w:r>
      <w:r w:rsidR="0035542D" w:rsidRPr="00A57AAE">
        <w:t>momento de los sismos</w:t>
      </w:r>
      <w:r w:rsidRPr="00A57AAE">
        <w:t>.</w:t>
      </w:r>
      <w:r w:rsidR="0035542D" w:rsidRPr="00A57AAE">
        <w:t xml:space="preserve"> Inflación intermensual </w:t>
      </w:r>
      <w:r w:rsidR="00FC20B7" w:rsidRPr="00A57AAE">
        <w:t>se eleva a</w:t>
      </w:r>
      <w:r w:rsidR="0035542D" w:rsidRPr="00A57AAE">
        <w:t xml:space="preserve"> </w:t>
      </w:r>
      <w:r w:rsidR="00FC20B7" w:rsidRPr="00A57AAE">
        <w:t>13,8</w:t>
      </w:r>
      <w:r w:rsidR="0035542D" w:rsidRPr="00A57AAE">
        <w:t xml:space="preserve">% en junio para un alza de precios interanual de </w:t>
      </w:r>
      <w:r w:rsidR="00FC20B7" w:rsidRPr="00A57AAE">
        <w:t>545</w:t>
      </w:r>
      <w:r w:rsidR="0035542D" w:rsidRPr="00A57AAE">
        <w:t xml:space="preserve">%. Inflación venezolana sigue alta bajo estándares regionales, con riesgo de rebote en función de si el Ejecutivo cubre </w:t>
      </w:r>
      <w:r w:rsidR="00725BC4" w:rsidRPr="00A57AAE">
        <w:t xml:space="preserve">gastos </w:t>
      </w:r>
      <w:r w:rsidR="0035542D" w:rsidRPr="00A57AAE">
        <w:t>por terremotos con emisión monetaria.</w:t>
      </w:r>
    </w:p>
    <w:p w14:paraId="5B1BDC04" w14:textId="77777777" w:rsidR="0035542D" w:rsidRPr="00A57AAE" w:rsidRDefault="0035542D" w:rsidP="00B02953">
      <w:pPr>
        <w:spacing w:line="240" w:lineRule="auto"/>
        <w:jc w:val="both"/>
      </w:pPr>
    </w:p>
    <w:p w14:paraId="5FF6BA70" w14:textId="23FCF49F" w:rsidR="00B46D9E" w:rsidRPr="00A57AAE" w:rsidRDefault="00EE4F34">
      <w:pPr>
        <w:spacing w:line="240" w:lineRule="auto"/>
        <w:jc w:val="center"/>
        <w:rPr>
          <w:b/>
          <w:bCs/>
          <w:highlight w:val="white"/>
        </w:rPr>
      </w:pPr>
      <w:r w:rsidRPr="00A57AAE">
        <w:rPr>
          <w:b/>
          <w:bCs/>
          <w:noProof/>
          <w:highlight w:val="white"/>
        </w:rPr>
        <w:drawing>
          <wp:inline distT="0" distB="0" distL="0" distR="0" wp14:anchorId="380700CE" wp14:editId="0C4DDD82">
            <wp:extent cx="3724577" cy="2772000"/>
            <wp:effectExtent l="0" t="0" r="9525" b="9525"/>
            <wp:docPr id="204469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4577" cy="2772000"/>
                    </a:xfrm>
                    <a:prstGeom prst="rect">
                      <a:avLst/>
                    </a:prstGeom>
                    <a:noFill/>
                  </pic:spPr>
                </pic:pic>
              </a:graphicData>
            </a:graphic>
          </wp:inline>
        </w:drawing>
      </w:r>
    </w:p>
    <w:p w14:paraId="175B43F7" w14:textId="52EF57F4" w:rsidR="00B46D9E" w:rsidRPr="00A57AAE" w:rsidRDefault="00EE4F34">
      <w:pPr>
        <w:spacing w:line="240" w:lineRule="auto"/>
        <w:jc w:val="center"/>
        <w:rPr>
          <w:sz w:val="12"/>
          <w:szCs w:val="12"/>
          <w:highlight w:val="white"/>
        </w:rPr>
      </w:pPr>
      <w:r w:rsidRPr="00A57AAE">
        <w:rPr>
          <w:sz w:val="12"/>
          <w:szCs w:val="12"/>
          <w:highlight w:val="white"/>
        </w:rPr>
        <w:t>Fuente: BCV, Yadio, estimaciones propias</w:t>
      </w:r>
      <w:r w:rsidR="00000000" w:rsidRPr="00A57AAE">
        <w:rPr>
          <w:sz w:val="12"/>
          <w:szCs w:val="12"/>
          <w:highlight w:val="white"/>
        </w:rPr>
        <w:t>.</w:t>
      </w:r>
    </w:p>
    <w:p w14:paraId="66D173A1" w14:textId="77777777" w:rsidR="00EE4F34" w:rsidRPr="00A57AAE" w:rsidRDefault="00EE4F34">
      <w:pPr>
        <w:spacing w:line="240" w:lineRule="auto"/>
        <w:jc w:val="center"/>
        <w:rPr>
          <w:b/>
          <w:bCs/>
          <w:highlight w:val="white"/>
        </w:rPr>
      </w:pPr>
    </w:p>
    <w:p w14:paraId="4DC86C45" w14:textId="7038D371" w:rsidR="00B46D9E" w:rsidRPr="00A57AAE" w:rsidRDefault="00232FD0" w:rsidP="00EE4F34">
      <w:pPr>
        <w:spacing w:line="240" w:lineRule="auto"/>
        <w:jc w:val="center"/>
        <w:rPr>
          <w:b/>
          <w:bCs/>
          <w:highlight w:val="white"/>
        </w:rPr>
      </w:pPr>
      <w:r w:rsidRPr="00A57AAE">
        <w:rPr>
          <w:b/>
          <w:bCs/>
          <w:noProof/>
          <w:highlight w:val="white"/>
        </w:rPr>
        <w:drawing>
          <wp:inline distT="0" distB="0" distL="0" distR="0" wp14:anchorId="6558B742" wp14:editId="2CE077BF">
            <wp:extent cx="3577884" cy="2772000"/>
            <wp:effectExtent l="0" t="0" r="3810" b="0"/>
            <wp:docPr id="519333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77884" cy="2772000"/>
                    </a:xfrm>
                    <a:prstGeom prst="rect">
                      <a:avLst/>
                    </a:prstGeom>
                    <a:noFill/>
                  </pic:spPr>
                </pic:pic>
              </a:graphicData>
            </a:graphic>
          </wp:inline>
        </w:drawing>
      </w:r>
    </w:p>
    <w:p w14:paraId="4580D737" w14:textId="27917254" w:rsidR="00B02953" w:rsidRPr="00A57AAE" w:rsidRDefault="00000000" w:rsidP="00EE4F34">
      <w:pPr>
        <w:spacing w:line="240" w:lineRule="auto"/>
        <w:jc w:val="center"/>
        <w:rPr>
          <w:sz w:val="12"/>
          <w:szCs w:val="12"/>
          <w:highlight w:val="white"/>
        </w:rPr>
      </w:pPr>
      <w:r w:rsidRPr="00A57AAE">
        <w:rPr>
          <w:sz w:val="12"/>
          <w:szCs w:val="12"/>
          <w:highlight w:val="white"/>
        </w:rPr>
        <w:t>Fuente: BCV, Yadio, estimaciones propias.</w:t>
      </w:r>
      <w:r w:rsidR="00B02953" w:rsidRPr="00A57AAE">
        <w:rPr>
          <w:sz w:val="12"/>
          <w:szCs w:val="12"/>
          <w:highlight w:val="white"/>
        </w:rPr>
        <w:br w:type="page"/>
      </w:r>
    </w:p>
    <w:p w14:paraId="35CE74BF" w14:textId="77777777" w:rsidR="00B46D9E" w:rsidRPr="00A57AAE" w:rsidRDefault="00000000">
      <w:pPr>
        <w:spacing w:line="240" w:lineRule="auto"/>
        <w:jc w:val="both"/>
        <w:rPr>
          <w:b/>
          <w:bCs/>
          <w:highlight w:val="white"/>
        </w:rPr>
      </w:pPr>
      <w:r w:rsidRPr="00A57AAE">
        <w:rPr>
          <w:b/>
          <w:bCs/>
          <w:highlight w:val="white"/>
        </w:rPr>
        <w:lastRenderedPageBreak/>
        <w:t>Precio y Producción Petrolera.</w:t>
      </w:r>
    </w:p>
    <w:p w14:paraId="4C6181CD" w14:textId="77777777" w:rsidR="00B46D9E" w:rsidRPr="00A57AAE" w:rsidRDefault="00B46D9E">
      <w:pPr>
        <w:spacing w:line="240" w:lineRule="auto"/>
        <w:jc w:val="both"/>
        <w:rPr>
          <w:b/>
          <w:bCs/>
          <w:highlight w:val="white"/>
        </w:rPr>
      </w:pPr>
    </w:p>
    <w:p w14:paraId="41E233FF" w14:textId="36C16764" w:rsidR="00B46D9E" w:rsidRPr="00A57AAE" w:rsidRDefault="00C30136">
      <w:pPr>
        <w:spacing w:line="240" w:lineRule="auto"/>
        <w:jc w:val="both"/>
      </w:pPr>
      <w:r w:rsidRPr="00A57AAE">
        <w:t xml:space="preserve">Producción petrolera de junio se mantuvo alrededor de </w:t>
      </w:r>
      <w:r w:rsidR="00553EA2" w:rsidRPr="00A57AAE">
        <w:t xml:space="preserve">1.187 kb/d, instalaciones petroleras principales no se vieron afectados por doblete sísmico, aunque complejos refinador de El Palito bajará actividad por mantenimiento. Producción se acerca a su límite natural de corto plazo1.250-1.300 kb/d. Petroleras internacionales siguen renuentes a comprometer inversiones de </w:t>
      </w:r>
      <w:r w:rsidR="008777F6" w:rsidRPr="00A57AAE">
        <w:t>por</w:t>
      </w:r>
      <w:r w:rsidR="00553EA2" w:rsidRPr="00A57AAE">
        <w:t xml:space="preserve"> insuficientes garantías jurídicas. Precio</w:t>
      </w:r>
      <w:r w:rsidR="008777F6" w:rsidRPr="00A57AAE">
        <w:t xml:space="preserve"> con alta volatilidad debido a conflicto en Medio Oriente, con marcador Merey promediando USD 70,46/b en primer semestre. Persistencia de disrupciones productivas en productores árabes dificulta caídas súbitas por debajo de USD 60/b. </w:t>
      </w:r>
    </w:p>
    <w:p w14:paraId="01E162F0" w14:textId="77777777" w:rsidR="00B02953" w:rsidRPr="00A57AAE" w:rsidRDefault="00B02953">
      <w:pPr>
        <w:spacing w:line="240" w:lineRule="auto"/>
        <w:jc w:val="both"/>
      </w:pPr>
    </w:p>
    <w:p w14:paraId="1DF19561" w14:textId="34A6DE3B" w:rsidR="00B46D9E" w:rsidRPr="00A57AAE" w:rsidRDefault="001D59E7">
      <w:pPr>
        <w:spacing w:line="240" w:lineRule="auto"/>
        <w:jc w:val="center"/>
        <w:rPr>
          <w:b/>
          <w:bCs/>
          <w:highlight w:val="white"/>
        </w:rPr>
      </w:pPr>
      <w:r w:rsidRPr="00A57AAE">
        <w:rPr>
          <w:b/>
          <w:bCs/>
          <w:noProof/>
          <w:highlight w:val="white"/>
        </w:rPr>
        <w:drawing>
          <wp:inline distT="0" distB="0" distL="0" distR="0" wp14:anchorId="5D472C36" wp14:editId="5B788480">
            <wp:extent cx="3577884" cy="2772000"/>
            <wp:effectExtent l="0" t="0" r="3810" b="0"/>
            <wp:docPr id="2039876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7884" cy="2772000"/>
                    </a:xfrm>
                    <a:prstGeom prst="rect">
                      <a:avLst/>
                    </a:prstGeom>
                    <a:noFill/>
                  </pic:spPr>
                </pic:pic>
              </a:graphicData>
            </a:graphic>
          </wp:inline>
        </w:drawing>
      </w:r>
    </w:p>
    <w:p w14:paraId="0BABF8BA" w14:textId="3B051053" w:rsidR="00B46D9E" w:rsidRPr="00A57AAE" w:rsidRDefault="00000000" w:rsidP="00B02953">
      <w:pPr>
        <w:spacing w:line="240" w:lineRule="auto"/>
        <w:jc w:val="center"/>
        <w:rPr>
          <w:b/>
          <w:bCs/>
          <w:highlight w:val="white"/>
        </w:rPr>
      </w:pPr>
      <w:r w:rsidRPr="00A57AAE">
        <w:rPr>
          <w:sz w:val="12"/>
          <w:szCs w:val="12"/>
          <w:highlight w:val="white"/>
        </w:rPr>
        <w:t>Fuente: OPEP.</w:t>
      </w:r>
    </w:p>
    <w:p w14:paraId="32AABC12" w14:textId="4B68B64A" w:rsidR="00B02953" w:rsidRPr="00A57AAE" w:rsidRDefault="00553EA2" w:rsidP="00B02953">
      <w:pPr>
        <w:spacing w:line="240" w:lineRule="auto"/>
        <w:jc w:val="center"/>
        <w:rPr>
          <w:b/>
          <w:bCs/>
          <w:highlight w:val="white"/>
        </w:rPr>
      </w:pPr>
      <w:r w:rsidRPr="00A57AAE">
        <w:rPr>
          <w:b/>
          <w:bCs/>
          <w:noProof/>
          <w:highlight w:val="white"/>
        </w:rPr>
        <w:drawing>
          <wp:inline distT="0" distB="0" distL="0" distR="0" wp14:anchorId="78CEBD54" wp14:editId="5EDC03CA">
            <wp:extent cx="3577884" cy="2772000"/>
            <wp:effectExtent l="0" t="0" r="3810" b="0"/>
            <wp:docPr id="1939759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7884" cy="2772000"/>
                    </a:xfrm>
                    <a:prstGeom prst="rect">
                      <a:avLst/>
                    </a:prstGeom>
                    <a:noFill/>
                  </pic:spPr>
                </pic:pic>
              </a:graphicData>
            </a:graphic>
          </wp:inline>
        </w:drawing>
      </w:r>
    </w:p>
    <w:p w14:paraId="4A609F84" w14:textId="779BE410" w:rsidR="00B02953" w:rsidRPr="00A57AAE" w:rsidRDefault="00000000" w:rsidP="00A611F6">
      <w:pPr>
        <w:spacing w:line="240" w:lineRule="auto"/>
        <w:jc w:val="center"/>
        <w:rPr>
          <w:sz w:val="12"/>
          <w:szCs w:val="12"/>
          <w:highlight w:val="white"/>
        </w:rPr>
      </w:pPr>
      <w:r w:rsidRPr="00A57AAE">
        <w:rPr>
          <w:sz w:val="12"/>
          <w:szCs w:val="12"/>
          <w:highlight w:val="white"/>
        </w:rPr>
        <w:t>Fuente: OPEP.</w:t>
      </w:r>
      <w:r w:rsidR="00B02953" w:rsidRPr="00A57AAE">
        <w:rPr>
          <w:sz w:val="12"/>
          <w:szCs w:val="12"/>
          <w:highlight w:val="white"/>
        </w:rPr>
        <w:br w:type="page"/>
      </w:r>
    </w:p>
    <w:p w14:paraId="579AEED5" w14:textId="77777777" w:rsidR="00B46D9E" w:rsidRPr="00A57AAE" w:rsidRDefault="00000000">
      <w:pPr>
        <w:spacing w:line="240" w:lineRule="auto"/>
        <w:jc w:val="both"/>
        <w:rPr>
          <w:b/>
          <w:bCs/>
          <w:highlight w:val="white"/>
        </w:rPr>
      </w:pPr>
      <w:r w:rsidRPr="00A57AAE">
        <w:rPr>
          <w:b/>
          <w:bCs/>
          <w:highlight w:val="white"/>
        </w:rPr>
        <w:lastRenderedPageBreak/>
        <w:t>Sector Externo y Disponibilidad de Divisas.</w:t>
      </w:r>
    </w:p>
    <w:p w14:paraId="6DC95690" w14:textId="77777777" w:rsidR="00B46D9E" w:rsidRPr="00A57AAE" w:rsidRDefault="00B46D9E">
      <w:pPr>
        <w:spacing w:line="240" w:lineRule="auto"/>
        <w:jc w:val="both"/>
        <w:rPr>
          <w:b/>
          <w:bCs/>
          <w:highlight w:val="white"/>
        </w:rPr>
      </w:pPr>
    </w:p>
    <w:p w14:paraId="5CFF26A7" w14:textId="18C68C23" w:rsidR="00A611F6" w:rsidRPr="00A57AAE" w:rsidRDefault="00A611F6">
      <w:pPr>
        <w:spacing w:line="240" w:lineRule="auto"/>
        <w:jc w:val="both"/>
      </w:pPr>
      <w:r w:rsidRPr="00A57AAE">
        <w:t xml:space="preserve">Exportaciones petroleras de primer semestre rondaron en </w:t>
      </w:r>
      <w:r w:rsidRPr="00A57AAE">
        <w:t>USD 15.166 millones</w:t>
      </w:r>
      <w:r w:rsidR="008E249E" w:rsidRPr="00A57AAE">
        <w:t xml:space="preserve"> con un volumen promedio de</w:t>
      </w:r>
      <w:r w:rsidRPr="00A57AAE">
        <w:t xml:space="preserve"> 1.180 kb/d para los meses de junio y julio</w:t>
      </w:r>
      <w:r w:rsidR="008E249E" w:rsidRPr="00A57AAE">
        <w:t>. Pese a posibilidad de ralentización de exportaciones por moderación en precio del petróleo mantenemos, pronóstico de valor de exportaciones petroleras alrededor de USD 28.000 millones para cierre de año. Autoridades intensificaron liquidación de divisas vía intervenciones, superando por primera vez USD 2.000 mensuales en mayo y junio, señales iniciales indican intenciones de mantener tal ritmo en el futuro inmediato.</w:t>
      </w:r>
    </w:p>
    <w:p w14:paraId="4C90E9B9" w14:textId="77777777" w:rsidR="008E249E" w:rsidRPr="00A57AAE" w:rsidRDefault="008E249E">
      <w:pPr>
        <w:spacing w:line="240" w:lineRule="auto"/>
        <w:jc w:val="both"/>
      </w:pPr>
    </w:p>
    <w:p w14:paraId="54585D93" w14:textId="5904E439" w:rsidR="00B46D9E" w:rsidRPr="00A57AAE" w:rsidRDefault="00A95A80">
      <w:pPr>
        <w:spacing w:line="240" w:lineRule="auto"/>
        <w:jc w:val="center"/>
        <w:rPr>
          <w:b/>
          <w:bCs/>
          <w:highlight w:val="white"/>
        </w:rPr>
      </w:pPr>
      <w:r w:rsidRPr="00A57AAE">
        <w:rPr>
          <w:b/>
          <w:bCs/>
          <w:noProof/>
          <w:highlight w:val="white"/>
        </w:rPr>
        <w:drawing>
          <wp:inline distT="0" distB="0" distL="0" distR="0" wp14:anchorId="444C8D80" wp14:editId="747CB99C">
            <wp:extent cx="3574222" cy="2772000"/>
            <wp:effectExtent l="0" t="0" r="7620" b="0"/>
            <wp:docPr id="1961869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4222" cy="2772000"/>
                    </a:xfrm>
                    <a:prstGeom prst="rect">
                      <a:avLst/>
                    </a:prstGeom>
                    <a:noFill/>
                  </pic:spPr>
                </pic:pic>
              </a:graphicData>
            </a:graphic>
          </wp:inline>
        </w:drawing>
      </w:r>
    </w:p>
    <w:p w14:paraId="4BE62076" w14:textId="54DC7ED7" w:rsidR="00B46D9E" w:rsidRPr="00A57AAE" w:rsidRDefault="00000000" w:rsidP="00B02953">
      <w:pPr>
        <w:spacing w:line="240" w:lineRule="auto"/>
        <w:jc w:val="center"/>
        <w:rPr>
          <w:b/>
          <w:bCs/>
          <w:highlight w:val="white"/>
        </w:rPr>
      </w:pPr>
      <w:r w:rsidRPr="00A57AAE">
        <w:rPr>
          <w:sz w:val="12"/>
          <w:szCs w:val="12"/>
          <w:highlight w:val="white"/>
        </w:rPr>
        <w:t>Fuente: BCV.</w:t>
      </w:r>
    </w:p>
    <w:p w14:paraId="567820EA" w14:textId="5EC31BF4" w:rsidR="00B46D9E" w:rsidRPr="00A57AAE" w:rsidRDefault="00A95A80">
      <w:pPr>
        <w:spacing w:line="240" w:lineRule="auto"/>
        <w:jc w:val="center"/>
        <w:rPr>
          <w:b/>
          <w:bCs/>
          <w:highlight w:val="white"/>
        </w:rPr>
      </w:pPr>
      <w:r w:rsidRPr="00A57AAE">
        <w:rPr>
          <w:b/>
          <w:bCs/>
          <w:noProof/>
          <w:highlight w:val="white"/>
        </w:rPr>
        <w:drawing>
          <wp:inline distT="0" distB="0" distL="0" distR="0" wp14:anchorId="0EFB9B4B" wp14:editId="3C8EC915">
            <wp:extent cx="3699154" cy="2772000"/>
            <wp:effectExtent l="0" t="0" r="0" b="9525"/>
            <wp:docPr id="844839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9154" cy="2772000"/>
                    </a:xfrm>
                    <a:prstGeom prst="rect">
                      <a:avLst/>
                    </a:prstGeom>
                    <a:noFill/>
                  </pic:spPr>
                </pic:pic>
              </a:graphicData>
            </a:graphic>
          </wp:inline>
        </w:drawing>
      </w:r>
    </w:p>
    <w:p w14:paraId="599386E0" w14:textId="77777777" w:rsidR="00B46D9E" w:rsidRPr="00A57AAE" w:rsidRDefault="00000000">
      <w:pPr>
        <w:spacing w:line="240" w:lineRule="auto"/>
        <w:jc w:val="center"/>
        <w:rPr>
          <w:sz w:val="12"/>
          <w:szCs w:val="12"/>
          <w:highlight w:val="white"/>
        </w:rPr>
      </w:pPr>
      <w:r w:rsidRPr="00A57AAE">
        <w:rPr>
          <w:sz w:val="12"/>
          <w:szCs w:val="12"/>
          <w:highlight w:val="white"/>
        </w:rPr>
        <w:t>Fuente: BCV, estimaciones propias.</w:t>
      </w:r>
    </w:p>
    <w:p w14:paraId="020DF3E7" w14:textId="6C5286DC" w:rsidR="00B02953" w:rsidRPr="00A57AAE" w:rsidRDefault="00B02953" w:rsidP="00B02953">
      <w:pPr>
        <w:spacing w:line="240" w:lineRule="auto"/>
        <w:rPr>
          <w:b/>
          <w:bCs/>
          <w:highlight w:val="white"/>
        </w:rPr>
      </w:pPr>
      <w:r w:rsidRPr="00A57AAE">
        <w:rPr>
          <w:sz w:val="12"/>
          <w:szCs w:val="12"/>
          <w:highlight w:val="white"/>
        </w:rPr>
        <w:br w:type="page"/>
      </w:r>
      <w:r w:rsidRPr="00A57AAE">
        <w:rPr>
          <w:b/>
          <w:bCs/>
          <w:highlight w:val="white"/>
        </w:rPr>
        <w:lastRenderedPageBreak/>
        <w:t>Balance Fiscal y Recaudación Tributaria</w:t>
      </w:r>
    </w:p>
    <w:p w14:paraId="737159E5" w14:textId="77777777" w:rsidR="00B46D9E" w:rsidRPr="00A57AAE" w:rsidRDefault="00B46D9E">
      <w:pPr>
        <w:spacing w:line="240" w:lineRule="auto"/>
        <w:jc w:val="both"/>
        <w:rPr>
          <w:b/>
          <w:bCs/>
          <w:highlight w:val="white"/>
        </w:rPr>
      </w:pPr>
    </w:p>
    <w:p w14:paraId="51CC264B" w14:textId="6F439B03" w:rsidR="00B02953" w:rsidRPr="00A57AAE" w:rsidRDefault="00241C57" w:rsidP="00B02953">
      <w:pPr>
        <w:spacing w:line="240" w:lineRule="auto"/>
        <w:jc w:val="both"/>
      </w:pPr>
      <w:r w:rsidRPr="00A57AAE">
        <w:t xml:space="preserve">Recaudación tributaria nominal tanto en VES como su equivalente en USD con tendencia a la baja, consistente con ritmos estacionales en el calendario tributario. Promedio de recaudación mensual de USD 786 millones para un acumulado semestral de USD 4.715 según TC no-oficial. Balance fiscal oficial sigue sin publicación, aunque se asume será parte del marco de sostenibilidad que el Ejecutivo anunció en mayo como </w:t>
      </w:r>
      <w:r w:rsidR="00A611F6" w:rsidRPr="00A57AAE">
        <w:t>base para proceso de restructuración de deuda. Espacio fiscal del Estado para hacer frente a requisitos de reconstrucción post sismos se encuentra muy limitado.</w:t>
      </w:r>
    </w:p>
    <w:p w14:paraId="3D2F11D6" w14:textId="77777777" w:rsidR="00B02953" w:rsidRPr="00A57AAE" w:rsidRDefault="00B02953">
      <w:pPr>
        <w:spacing w:line="240" w:lineRule="auto"/>
        <w:jc w:val="both"/>
        <w:rPr>
          <w:b/>
          <w:bCs/>
          <w:highlight w:val="white"/>
        </w:rPr>
      </w:pPr>
    </w:p>
    <w:p w14:paraId="5E92A950" w14:textId="14170291" w:rsidR="00B46D9E" w:rsidRPr="00A57AAE" w:rsidRDefault="00241C57">
      <w:pPr>
        <w:spacing w:line="240" w:lineRule="auto"/>
        <w:jc w:val="center"/>
        <w:rPr>
          <w:b/>
          <w:bCs/>
          <w:highlight w:val="white"/>
        </w:rPr>
      </w:pPr>
      <w:r w:rsidRPr="00A57AAE">
        <w:rPr>
          <w:b/>
          <w:bCs/>
          <w:noProof/>
          <w:highlight w:val="white"/>
        </w:rPr>
        <w:drawing>
          <wp:inline distT="0" distB="0" distL="0" distR="0" wp14:anchorId="2788F76D" wp14:editId="70690B23">
            <wp:extent cx="3549950" cy="2772000"/>
            <wp:effectExtent l="0" t="0" r="0" b="0"/>
            <wp:docPr id="36995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9950" cy="2772000"/>
                    </a:xfrm>
                    <a:prstGeom prst="rect">
                      <a:avLst/>
                    </a:prstGeom>
                    <a:noFill/>
                  </pic:spPr>
                </pic:pic>
              </a:graphicData>
            </a:graphic>
          </wp:inline>
        </w:drawing>
      </w:r>
    </w:p>
    <w:p w14:paraId="46ECA4A7" w14:textId="64086807" w:rsidR="00B46D9E" w:rsidRPr="00A57AAE" w:rsidRDefault="00000000" w:rsidP="00B02953">
      <w:pPr>
        <w:spacing w:line="240" w:lineRule="auto"/>
        <w:jc w:val="center"/>
        <w:rPr>
          <w:b/>
          <w:bCs/>
          <w:highlight w:val="white"/>
        </w:rPr>
      </w:pPr>
      <w:r w:rsidRPr="00A57AAE">
        <w:rPr>
          <w:sz w:val="12"/>
          <w:szCs w:val="12"/>
          <w:highlight w:val="white"/>
        </w:rPr>
        <w:t>Fuente: SENIAT, BCV, estimaciones propias.</w:t>
      </w:r>
    </w:p>
    <w:p w14:paraId="573A39F3" w14:textId="223C61A2" w:rsidR="00B46D9E" w:rsidRPr="00A57AAE" w:rsidRDefault="00A611F6">
      <w:pPr>
        <w:spacing w:line="240" w:lineRule="auto"/>
        <w:jc w:val="center"/>
        <w:rPr>
          <w:b/>
          <w:bCs/>
          <w:highlight w:val="white"/>
        </w:rPr>
      </w:pPr>
      <w:r w:rsidRPr="00A57AAE">
        <w:rPr>
          <w:b/>
          <w:bCs/>
          <w:noProof/>
          <w:highlight w:val="white"/>
        </w:rPr>
        <w:drawing>
          <wp:inline distT="0" distB="0" distL="0" distR="0" wp14:anchorId="39FD7491" wp14:editId="2FDF6E6A">
            <wp:extent cx="3574222" cy="2772000"/>
            <wp:effectExtent l="0" t="0" r="7620" b="0"/>
            <wp:docPr id="3395331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4222" cy="2772000"/>
                    </a:xfrm>
                    <a:prstGeom prst="rect">
                      <a:avLst/>
                    </a:prstGeom>
                    <a:noFill/>
                  </pic:spPr>
                </pic:pic>
              </a:graphicData>
            </a:graphic>
          </wp:inline>
        </w:drawing>
      </w:r>
    </w:p>
    <w:p w14:paraId="346E37BF" w14:textId="2E8ABF0B" w:rsidR="00B46D9E" w:rsidRPr="00A57AAE" w:rsidRDefault="00000000" w:rsidP="00A611F6">
      <w:pPr>
        <w:spacing w:line="240" w:lineRule="auto"/>
        <w:jc w:val="center"/>
        <w:rPr>
          <w:sz w:val="12"/>
          <w:szCs w:val="12"/>
          <w:highlight w:val="white"/>
        </w:rPr>
      </w:pPr>
      <w:r w:rsidRPr="00A57AAE">
        <w:rPr>
          <w:sz w:val="12"/>
          <w:szCs w:val="12"/>
          <w:highlight w:val="white"/>
        </w:rPr>
        <w:t xml:space="preserve">Fuente: FMI, Focus </w:t>
      </w:r>
      <w:proofErr w:type="spellStart"/>
      <w:r w:rsidRPr="00A57AAE">
        <w:rPr>
          <w:sz w:val="12"/>
          <w:szCs w:val="12"/>
          <w:highlight w:val="white"/>
        </w:rPr>
        <w:t>Economics</w:t>
      </w:r>
      <w:proofErr w:type="spellEnd"/>
      <w:r w:rsidRPr="00A57AAE">
        <w:rPr>
          <w:sz w:val="12"/>
          <w:szCs w:val="12"/>
          <w:highlight w:val="white"/>
        </w:rPr>
        <w:t>, estimaciones propias.</w:t>
      </w:r>
      <w:r w:rsidR="007C03CB" w:rsidRPr="00A57AAE">
        <w:rPr>
          <w:highlight w:val="white"/>
        </w:rPr>
        <w:br w:type="page"/>
      </w:r>
    </w:p>
    <w:p w14:paraId="61905065" w14:textId="77777777" w:rsidR="00B46D9E" w:rsidRPr="00A57AAE" w:rsidRDefault="00000000">
      <w:pPr>
        <w:spacing w:before="240" w:after="240" w:line="240" w:lineRule="auto"/>
        <w:jc w:val="both"/>
        <w:rPr>
          <w:b/>
          <w:bCs/>
          <w:highlight w:val="white"/>
        </w:rPr>
      </w:pPr>
      <w:r w:rsidRPr="00A57AAE">
        <w:rPr>
          <w:b/>
          <w:bCs/>
          <w:highlight w:val="white"/>
        </w:rPr>
        <w:lastRenderedPageBreak/>
        <w:t xml:space="preserve">B. </w:t>
      </w:r>
      <w:r w:rsidRPr="00A57AAE">
        <w:rPr>
          <w:b/>
          <w:bCs/>
          <w:highlight w:val="white"/>
        </w:rPr>
        <w:tab/>
        <w:t>CONCLUSIONES GENERALES</w:t>
      </w:r>
    </w:p>
    <w:p w14:paraId="78692D32" w14:textId="77777777" w:rsidR="00B46D9E" w:rsidRPr="00A57AAE" w:rsidRDefault="00000000">
      <w:pPr>
        <w:spacing w:before="240" w:after="240" w:line="240" w:lineRule="auto"/>
        <w:jc w:val="both"/>
        <w:rPr>
          <w:highlight w:val="white"/>
        </w:rPr>
      </w:pPr>
      <w:r w:rsidRPr="00A57AAE">
        <w:rPr>
          <w:highlight w:val="white"/>
        </w:rPr>
        <w:t>Las dinámicas analizadas en este informe subrayan la naturaleza fluida y la alta complejidad que definen el entorno venezolano contemporáneo. Los indicadores, escenarios y proyecciones aquí expuestos constituyen una base técnica esencial para la planificación estratégica y la gestión prospectiva de riesgos; sin embargo, debido a la volatilidad estructural del país, estas conclusiones deben interpretarse como diagnósticos sujetos a una reevaluación permanente.</w:t>
      </w:r>
    </w:p>
    <w:p w14:paraId="75F7D6B0" w14:textId="77777777" w:rsidR="00B46D9E" w:rsidRPr="00A57AAE" w:rsidRDefault="00000000">
      <w:pPr>
        <w:spacing w:before="240" w:after="240" w:line="240" w:lineRule="auto"/>
        <w:jc w:val="both"/>
        <w:rPr>
          <w:highlight w:val="white"/>
        </w:rPr>
      </w:pPr>
      <w:r w:rsidRPr="00A57AAE">
        <w:rPr>
          <w:highlight w:val="white"/>
        </w:rPr>
        <w:t>Es imperativo reconocer que, dada la celeridad de los cambios en la arquitectura institucional y la sensibilidad de las variables macroeconómicas, lo acá expresado puede sufrir modificaciones sustanciales en periodos de tiempo muy cortos. Por ello, la información suministrada no debe entenderse como un análisis estático, sino como una herramienta dinámica cuya vigencia depende de un monitoreo constante y de la capacidad de respuesta ante eventos disruptivos.</w:t>
      </w:r>
    </w:p>
    <w:p w14:paraId="3FF42422" w14:textId="77777777" w:rsidR="00B46D9E" w:rsidRPr="00A57AAE" w:rsidRDefault="00000000">
      <w:pPr>
        <w:spacing w:before="240" w:after="240" w:line="240" w:lineRule="auto"/>
        <w:jc w:val="both"/>
        <w:rPr>
          <w:highlight w:val="white"/>
        </w:rPr>
      </w:pPr>
      <w:r w:rsidRPr="00A57AAE">
        <w:rPr>
          <w:highlight w:val="white"/>
        </w:rPr>
        <w:t>Nuestro equipo multidisciplinario permanece a su entera disposición para elaborar informes especiales de profundización sobre sectores específicos, métricas financieras o eventos políticos que requieran un análisis técnico más detallado o una actualización inmediata de las premisas aquí presentadas.</w:t>
      </w:r>
    </w:p>
    <w:p w14:paraId="141B127B" w14:textId="77777777" w:rsidR="00B46D9E" w:rsidRPr="00A57AAE" w:rsidRDefault="00000000">
      <w:pPr>
        <w:spacing w:before="240" w:after="240" w:line="240" w:lineRule="auto"/>
        <w:jc w:val="both"/>
        <w:rPr>
          <w:highlight w:val="white"/>
        </w:rPr>
      </w:pPr>
      <w:r w:rsidRPr="00A57AAE">
        <w:rPr>
          <w:highlight w:val="white"/>
        </w:rPr>
        <w:t>En definitiva, la resiliencia organizacional frente a los desafíos del mercado nacional dependerá de una cultura de adaptabilidad crítica y de la revisión sistemática de los planes de contingencia, garantizando así una alineación continua con la realidad cambiante del marco regulatorio y el contexto socioeconómico de Venezuela.</w:t>
      </w:r>
    </w:p>
    <w:p w14:paraId="6DA0C243" w14:textId="77777777" w:rsidR="00B46D9E" w:rsidRPr="00A57AAE" w:rsidRDefault="00000000">
      <w:pPr>
        <w:spacing w:line="240" w:lineRule="auto"/>
        <w:jc w:val="both"/>
      </w:pPr>
      <w:r w:rsidRPr="00A57AAE">
        <w:t>Quedamos a su entera disposición para aclarar cualquier duda que pueda surgir en relación con el contenido y el alcance de la presente Propuesta de Trabajo y Honorarios Profesionales.</w:t>
      </w:r>
    </w:p>
    <w:p w14:paraId="4B496C6A" w14:textId="77777777" w:rsidR="00B46D9E" w:rsidRPr="00A57AAE" w:rsidRDefault="00B46D9E">
      <w:pPr>
        <w:spacing w:line="240" w:lineRule="auto"/>
        <w:jc w:val="both"/>
      </w:pPr>
    </w:p>
    <w:p w14:paraId="5AD103E2" w14:textId="77777777" w:rsidR="00B46D9E" w:rsidRPr="00A57AAE" w:rsidRDefault="00000000">
      <w:pPr>
        <w:spacing w:line="240" w:lineRule="auto"/>
        <w:jc w:val="both"/>
      </w:pPr>
      <w:r w:rsidRPr="00A57AAE">
        <w:t>Sin otro particular al que hacer referencia queda de Usted.</w:t>
      </w:r>
    </w:p>
    <w:p w14:paraId="1F8EEC17" w14:textId="77777777" w:rsidR="00B46D9E" w:rsidRPr="00A57AAE" w:rsidRDefault="00B46D9E">
      <w:pPr>
        <w:spacing w:line="240" w:lineRule="auto"/>
        <w:jc w:val="both"/>
      </w:pPr>
    </w:p>
    <w:p w14:paraId="4903F2EA" w14:textId="77777777" w:rsidR="00B46D9E" w:rsidRPr="00A57AAE" w:rsidRDefault="00000000">
      <w:pPr>
        <w:spacing w:line="240" w:lineRule="auto"/>
        <w:jc w:val="both"/>
      </w:pPr>
      <w:r w:rsidRPr="00A57AAE">
        <w:t>Atentamente,</w:t>
      </w:r>
    </w:p>
    <w:p w14:paraId="378ADC91" w14:textId="77777777" w:rsidR="00B46D9E" w:rsidRPr="00A57AAE" w:rsidRDefault="00B46D9E">
      <w:pPr>
        <w:spacing w:line="240" w:lineRule="auto"/>
        <w:jc w:val="both"/>
      </w:pPr>
    </w:p>
    <w:p w14:paraId="653C6D2E" w14:textId="77777777" w:rsidR="00B46D9E" w:rsidRPr="00A57AAE" w:rsidRDefault="00000000">
      <w:pPr>
        <w:spacing w:line="240" w:lineRule="auto"/>
        <w:jc w:val="both"/>
      </w:pPr>
      <w:r w:rsidRPr="00A57AAE">
        <w:rPr>
          <w:noProof/>
        </w:rPr>
        <w:drawing>
          <wp:anchor distT="114300" distB="114300" distL="114300" distR="114300" simplePos="0" relativeHeight="251659264" behindDoc="1" locked="0" layoutInCell="1" hidden="0" allowOverlap="1" wp14:anchorId="2FF912FF" wp14:editId="015A8D98">
            <wp:simplePos x="0" y="0"/>
            <wp:positionH relativeFrom="column">
              <wp:posOffset>4143375</wp:posOffset>
            </wp:positionH>
            <wp:positionV relativeFrom="paragraph">
              <wp:posOffset>125109</wp:posOffset>
            </wp:positionV>
            <wp:extent cx="1212036" cy="914969"/>
            <wp:effectExtent l="0" t="0" r="0" b="0"/>
            <wp:wrapNone/>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1212036" cy="914969"/>
                    </a:xfrm>
                    <a:prstGeom prst="rect">
                      <a:avLst/>
                    </a:prstGeom>
                    <a:ln/>
                  </pic:spPr>
                </pic:pic>
              </a:graphicData>
            </a:graphic>
          </wp:anchor>
        </w:drawing>
      </w:r>
    </w:p>
    <w:p w14:paraId="5A357AFD" w14:textId="77777777" w:rsidR="00B46D9E" w:rsidRPr="00A57AAE" w:rsidRDefault="00000000">
      <w:pPr>
        <w:spacing w:line="240" w:lineRule="auto"/>
        <w:jc w:val="both"/>
      </w:pPr>
      <w:r w:rsidRPr="00A57AAE">
        <w:t xml:space="preserve">Por </w:t>
      </w:r>
      <w:r w:rsidRPr="00A57AAE">
        <w:rPr>
          <w:b/>
          <w:bCs/>
          <w:smallCaps/>
        </w:rPr>
        <w:t>Estévez Misle &amp; Asociados,</w:t>
      </w:r>
    </w:p>
    <w:p w14:paraId="50BC30B9" w14:textId="77777777" w:rsidR="00B46D9E" w:rsidRPr="00A57AAE" w:rsidRDefault="00B46D9E">
      <w:pPr>
        <w:spacing w:line="240" w:lineRule="auto"/>
      </w:pPr>
    </w:p>
    <w:p w14:paraId="5EA609DD" w14:textId="77777777" w:rsidR="00B46D9E" w:rsidRPr="00A57AAE" w:rsidRDefault="00B46D9E">
      <w:pPr>
        <w:spacing w:line="240" w:lineRule="auto"/>
      </w:pPr>
    </w:p>
    <w:p w14:paraId="22D54944" w14:textId="77777777" w:rsidR="00B46D9E" w:rsidRPr="00A57AAE" w:rsidRDefault="00B46D9E">
      <w:pPr>
        <w:spacing w:line="240" w:lineRule="auto"/>
      </w:pPr>
    </w:p>
    <w:p w14:paraId="6B687158" w14:textId="77777777" w:rsidR="00B46D9E" w:rsidRPr="00A57AAE" w:rsidRDefault="00B46D9E">
      <w:pPr>
        <w:spacing w:line="240" w:lineRule="auto"/>
      </w:pPr>
    </w:p>
    <w:p w14:paraId="20D12D4A" w14:textId="77777777" w:rsidR="00B46D9E" w:rsidRPr="00A57AAE" w:rsidRDefault="00000000">
      <w:pPr>
        <w:spacing w:line="240" w:lineRule="auto"/>
        <w:rPr>
          <w:b/>
          <w:bCs/>
        </w:rPr>
      </w:pPr>
      <w:r w:rsidRPr="00A57AAE">
        <w:rPr>
          <w:b/>
          <w:bCs/>
        </w:rPr>
        <w:t>___________________________</w:t>
      </w:r>
      <w:r w:rsidRPr="00A57AAE">
        <w:rPr>
          <w:b/>
          <w:bCs/>
        </w:rPr>
        <w:tab/>
      </w:r>
      <w:r w:rsidRPr="00A57AAE">
        <w:rPr>
          <w:b/>
          <w:bCs/>
        </w:rPr>
        <w:tab/>
      </w:r>
      <w:r w:rsidRPr="00A57AAE">
        <w:rPr>
          <w:b/>
          <w:bCs/>
        </w:rPr>
        <w:tab/>
      </w:r>
      <w:r w:rsidRPr="00A57AAE">
        <w:rPr>
          <w:b/>
          <w:bCs/>
        </w:rPr>
        <w:tab/>
        <w:t xml:space="preserve">         ___________________</w:t>
      </w:r>
    </w:p>
    <w:p w14:paraId="13C32E27" w14:textId="77777777" w:rsidR="00B46D9E" w:rsidRPr="00A57AAE" w:rsidRDefault="00000000">
      <w:pPr>
        <w:spacing w:line="240" w:lineRule="auto"/>
        <w:rPr>
          <w:b/>
          <w:bCs/>
        </w:rPr>
      </w:pPr>
      <w:r w:rsidRPr="00A57AAE">
        <w:rPr>
          <w:b/>
          <w:bCs/>
        </w:rPr>
        <w:t>Luis Estévez García</w:t>
      </w:r>
      <w:r w:rsidRPr="00A57AAE">
        <w:rPr>
          <w:b/>
          <w:bCs/>
        </w:rPr>
        <w:tab/>
      </w:r>
      <w:r w:rsidRPr="00A57AAE">
        <w:rPr>
          <w:b/>
          <w:bCs/>
        </w:rPr>
        <w:tab/>
      </w:r>
      <w:r w:rsidRPr="00A57AAE">
        <w:rPr>
          <w:b/>
          <w:bCs/>
        </w:rPr>
        <w:tab/>
      </w:r>
      <w:r w:rsidRPr="00A57AAE">
        <w:rPr>
          <w:b/>
          <w:bCs/>
        </w:rPr>
        <w:tab/>
      </w:r>
      <w:r w:rsidRPr="00A57AAE">
        <w:rPr>
          <w:b/>
          <w:bCs/>
        </w:rPr>
        <w:tab/>
      </w:r>
      <w:r w:rsidRPr="00A57AAE">
        <w:rPr>
          <w:b/>
          <w:bCs/>
        </w:rPr>
        <w:tab/>
        <w:t xml:space="preserve">         Daniel Salas Arana</w:t>
      </w:r>
    </w:p>
    <w:p w14:paraId="41CE3F79" w14:textId="77777777" w:rsidR="00B46D9E" w:rsidRPr="00A57AAE" w:rsidRDefault="00000000">
      <w:pPr>
        <w:spacing w:line="240" w:lineRule="auto"/>
      </w:pPr>
      <w:r w:rsidRPr="00A57AAE">
        <w:t>Socio Administrador</w:t>
      </w:r>
      <w:r w:rsidRPr="00A57AAE">
        <w:tab/>
      </w:r>
      <w:r w:rsidRPr="00A57AAE">
        <w:tab/>
      </w:r>
      <w:r w:rsidRPr="00A57AAE">
        <w:tab/>
      </w:r>
      <w:r w:rsidRPr="00A57AAE">
        <w:tab/>
      </w:r>
      <w:r w:rsidRPr="00A57AAE">
        <w:tab/>
      </w:r>
      <w:r w:rsidRPr="00A57AAE">
        <w:tab/>
        <w:t xml:space="preserve">         Socio</w:t>
      </w:r>
      <w:r w:rsidRPr="00A57AAE">
        <w:rPr>
          <w:noProof/>
        </w:rPr>
        <w:drawing>
          <wp:anchor distT="114300" distB="114300" distL="114300" distR="114300" simplePos="0" relativeHeight="251660288" behindDoc="1" locked="0" layoutInCell="1" hidden="0" allowOverlap="1" wp14:anchorId="09F6B0A0" wp14:editId="57E2AAA3">
            <wp:simplePos x="0" y="0"/>
            <wp:positionH relativeFrom="column">
              <wp:posOffset>2140585</wp:posOffset>
            </wp:positionH>
            <wp:positionV relativeFrom="paragraph">
              <wp:posOffset>150006</wp:posOffset>
            </wp:positionV>
            <wp:extent cx="1676400" cy="100584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1676400" cy="1005840"/>
                    </a:xfrm>
                    <a:prstGeom prst="rect">
                      <a:avLst/>
                    </a:prstGeom>
                    <a:ln/>
                  </pic:spPr>
                </pic:pic>
              </a:graphicData>
            </a:graphic>
          </wp:anchor>
        </w:drawing>
      </w:r>
    </w:p>
    <w:p w14:paraId="2065CC5E" w14:textId="77777777" w:rsidR="00B46D9E" w:rsidRPr="00A57AAE" w:rsidRDefault="00B46D9E">
      <w:pPr>
        <w:spacing w:line="240" w:lineRule="auto"/>
      </w:pPr>
    </w:p>
    <w:p w14:paraId="7C5DE998" w14:textId="77777777" w:rsidR="00B46D9E" w:rsidRPr="00A57AAE" w:rsidRDefault="00B46D9E">
      <w:pPr>
        <w:spacing w:line="240" w:lineRule="auto"/>
      </w:pPr>
    </w:p>
    <w:p w14:paraId="39D755F1" w14:textId="77777777" w:rsidR="00B46D9E" w:rsidRPr="00A57AAE" w:rsidRDefault="00B46D9E">
      <w:pPr>
        <w:spacing w:line="240" w:lineRule="auto"/>
      </w:pPr>
    </w:p>
    <w:sectPr w:rsidR="00B46D9E" w:rsidRPr="00A57AAE">
      <w:headerReference w:type="default" r:id="rId20"/>
      <w:footerReference w:type="default" r:id="rId21"/>
      <w:headerReference w:type="first" r:id="rId22"/>
      <w:footerReference w:type="first" r:id="rId23"/>
      <w:pgSz w:w="12242" w:h="15842"/>
      <w:pgMar w:top="1418" w:right="1418" w:bottom="141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B3A6" w14:textId="77777777" w:rsidR="00ED2D03" w:rsidRDefault="00ED2D03">
      <w:pPr>
        <w:spacing w:line="240" w:lineRule="auto"/>
      </w:pPr>
      <w:r>
        <w:separator/>
      </w:r>
    </w:p>
  </w:endnote>
  <w:endnote w:type="continuationSeparator" w:id="0">
    <w:p w14:paraId="6A1CD22A" w14:textId="77777777" w:rsidR="00ED2D03" w:rsidRDefault="00ED2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1EC44BB-B98E-4916-9AAB-76AC0BB88544}"/>
  </w:font>
  <w:font w:name="Lato Light">
    <w:panose1 w:val="020F0502020204030203"/>
    <w:charset w:val="00"/>
    <w:family w:val="swiss"/>
    <w:pitch w:val="variable"/>
    <w:sig w:usb0="E10002FF" w:usb1="5000ECFF" w:usb2="00000009" w:usb3="00000000" w:csb0="0000019F" w:csb1="00000000"/>
    <w:embedRegular r:id="rId2" w:fontKey="{E546EB22-7CA1-445D-ADB3-8ACAD1FBC8D2}"/>
    <w:embedBold r:id="rId3" w:fontKey="{91157236-9317-4111-B2BA-D2A83019069C}"/>
  </w:font>
  <w:font w:name="Calibri">
    <w:panose1 w:val="020F0502020204030204"/>
    <w:charset w:val="00"/>
    <w:family w:val="swiss"/>
    <w:pitch w:val="variable"/>
    <w:sig w:usb0="E4002EFF" w:usb1="C200247B" w:usb2="00000009" w:usb3="00000000" w:csb0="000001FF" w:csb1="00000000"/>
    <w:embedRegular r:id="rId4" w:fontKey="{C5327494-A3AD-457B-85D2-CB1984D57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AF61" w14:textId="77777777" w:rsidR="00B46D9E" w:rsidRDefault="00B46D9E"/>
  <w:p w14:paraId="691F1E63" w14:textId="77777777" w:rsidR="00B46D9E" w:rsidRDefault="00000000">
    <w:r>
      <w:pict w14:anchorId="034CB490">
        <v:rect id="_x0000_i1025" style="width:0;height:1.5pt" o:hralign="center" o:hrstd="t" o:hr="t" fillcolor="#a0a0a0" stroked="f"/>
      </w:pict>
    </w:r>
  </w:p>
  <w:p w14:paraId="69DDA96F" w14:textId="77777777" w:rsidR="00B46D9E" w:rsidRDefault="00000000">
    <w:pPr>
      <w:jc w:val="both"/>
      <w:rPr>
        <w:rFonts w:ascii="Lato Light" w:eastAsia="Lato Light" w:hAnsi="Lato Light" w:cs="Lato Light"/>
        <w:sz w:val="16"/>
        <w:szCs w:val="16"/>
      </w:rPr>
    </w:pPr>
    <w:r>
      <w:rPr>
        <w:rFonts w:ascii="Lato Light" w:eastAsia="Lato Light" w:hAnsi="Lato Light" w:cs="Lato Light"/>
        <w:sz w:val="16"/>
        <w:szCs w:val="16"/>
      </w:rPr>
      <w:t xml:space="preserve">  </w:t>
    </w:r>
  </w:p>
  <w:p w14:paraId="77B9EF9F" w14:textId="77777777" w:rsidR="00B46D9E" w:rsidRDefault="00000000">
    <w:pPr>
      <w:rPr>
        <w:rFonts w:ascii="Lato Light" w:eastAsia="Lato Light" w:hAnsi="Lato Light" w:cs="Lato Light"/>
        <w:color w:val="041E42"/>
        <w:sz w:val="16"/>
        <w:szCs w:val="16"/>
      </w:rPr>
    </w:pPr>
    <w:r>
      <w:rPr>
        <w:rFonts w:ascii="Lato Light" w:eastAsia="Lato Light" w:hAnsi="Lato Light" w:cs="Lato Light"/>
        <w:color w:val="041E42"/>
        <w:sz w:val="16"/>
        <w:szCs w:val="16"/>
      </w:rPr>
      <w:t xml:space="preserve">contacto@ema.com.ve               </w:t>
    </w:r>
    <w:proofErr w:type="gramStart"/>
    <w:r>
      <w:rPr>
        <w:rFonts w:ascii="Lato Light" w:eastAsia="Lato Light" w:hAnsi="Lato Light" w:cs="Lato Light"/>
        <w:color w:val="041E42"/>
        <w:sz w:val="16"/>
        <w:szCs w:val="16"/>
      </w:rPr>
      <w:t xml:space="preserve">   (</w:t>
    </w:r>
    <w:proofErr w:type="gramEnd"/>
    <w:r>
      <w:rPr>
        <w:rFonts w:ascii="Lato Light" w:eastAsia="Lato Light" w:hAnsi="Lato Light" w:cs="Lato Light"/>
        <w:color w:val="041E42"/>
        <w:sz w:val="16"/>
        <w:szCs w:val="16"/>
      </w:rPr>
      <w:t>+58212) 9912321                   www.ema.com.ve                                    @estevezmisle</w:t>
    </w:r>
    <w:r>
      <w:rPr>
        <w:noProof/>
      </w:rPr>
      <w:drawing>
        <wp:anchor distT="0" distB="0" distL="114300" distR="71755" simplePos="0" relativeHeight="251660288" behindDoc="0" locked="0" layoutInCell="1" hidden="0" allowOverlap="1" wp14:anchorId="30B7ACB0" wp14:editId="1168B482">
          <wp:simplePos x="0" y="0"/>
          <wp:positionH relativeFrom="column">
            <wp:posOffset>194310</wp:posOffset>
          </wp:positionH>
          <wp:positionV relativeFrom="paragraph">
            <wp:posOffset>1905</wp:posOffset>
          </wp:positionV>
          <wp:extent cx="129540" cy="129540"/>
          <wp:effectExtent l="0" t="0" r="0" b="0"/>
          <wp:wrapSquare wrapText="bothSides" distT="0" distB="0" distL="114300" distR="71755"/>
          <wp:docPr id="1410516101" name="image4.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cono&#10;&#10;Descripción generada automáticamente"/>
                  <pic:cNvPicPr preferRelativeResize="0"/>
                </pic:nvPicPr>
                <pic:blipFill>
                  <a:blip r:embed="rId1"/>
                  <a:srcRect/>
                  <a:stretch>
                    <a:fillRect/>
                  </a:stretch>
                </pic:blipFill>
                <pic:spPr>
                  <a:xfrm>
                    <a:off x="0" y="0"/>
                    <a:ext cx="129540" cy="129540"/>
                  </a:xfrm>
                  <a:prstGeom prst="rect">
                    <a:avLst/>
                  </a:prstGeom>
                  <a:ln/>
                </pic:spPr>
              </pic:pic>
            </a:graphicData>
          </a:graphic>
        </wp:anchor>
      </w:drawing>
    </w:r>
    <w:r>
      <w:rPr>
        <w:noProof/>
      </w:rPr>
      <w:drawing>
        <wp:anchor distT="0" distB="0" distL="114300" distR="71755" simplePos="0" relativeHeight="251661312" behindDoc="0" locked="0" layoutInCell="1" hidden="0" allowOverlap="1" wp14:anchorId="78E19E2A" wp14:editId="027DA148">
          <wp:simplePos x="0" y="0"/>
          <wp:positionH relativeFrom="column">
            <wp:posOffset>1676400</wp:posOffset>
          </wp:positionH>
          <wp:positionV relativeFrom="paragraph">
            <wp:posOffset>8255</wp:posOffset>
          </wp:positionV>
          <wp:extent cx="129540" cy="129540"/>
          <wp:effectExtent l="0" t="0" r="0" b="0"/>
          <wp:wrapSquare wrapText="bothSides" distT="0" distB="0" distL="114300" distR="71755"/>
          <wp:docPr id="1903356073" name="image14.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png" descr="Icono&#10;&#10;Descripción generada automáticamente"/>
                  <pic:cNvPicPr preferRelativeResize="0"/>
                </pic:nvPicPr>
                <pic:blipFill>
                  <a:blip r:embed="rId2"/>
                  <a:srcRect/>
                  <a:stretch>
                    <a:fillRect/>
                  </a:stretch>
                </pic:blipFill>
                <pic:spPr>
                  <a:xfrm>
                    <a:off x="0" y="0"/>
                    <a:ext cx="129540" cy="129540"/>
                  </a:xfrm>
                  <a:prstGeom prst="rect">
                    <a:avLst/>
                  </a:prstGeom>
                  <a:ln/>
                </pic:spPr>
              </pic:pic>
            </a:graphicData>
          </a:graphic>
        </wp:anchor>
      </w:drawing>
    </w:r>
    <w:r>
      <w:rPr>
        <w:noProof/>
      </w:rPr>
      <w:drawing>
        <wp:anchor distT="0" distB="0" distL="114300" distR="71755" simplePos="0" relativeHeight="251662336" behindDoc="0" locked="0" layoutInCell="1" hidden="0" allowOverlap="1" wp14:anchorId="28A0E98D" wp14:editId="402C8803">
          <wp:simplePos x="0" y="0"/>
          <wp:positionH relativeFrom="column">
            <wp:posOffset>3041650</wp:posOffset>
          </wp:positionH>
          <wp:positionV relativeFrom="paragraph">
            <wp:posOffset>14604</wp:posOffset>
          </wp:positionV>
          <wp:extent cx="129540" cy="129540"/>
          <wp:effectExtent l="0" t="0" r="0" b="0"/>
          <wp:wrapSquare wrapText="bothSides" distT="0" distB="0" distL="114300" distR="71755"/>
          <wp:docPr id="1266309866" name="image6.png" descr="Imagen que contiene exterior, firmar, calle, azul&#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magen que contiene exterior, firmar, calle, azul&#10;&#10;Descripción generada automáticamente"/>
                  <pic:cNvPicPr preferRelativeResize="0"/>
                </pic:nvPicPr>
                <pic:blipFill>
                  <a:blip r:embed="rId3"/>
                  <a:srcRect/>
                  <a:stretch>
                    <a:fillRect/>
                  </a:stretch>
                </pic:blipFill>
                <pic:spPr>
                  <a:xfrm>
                    <a:off x="0" y="0"/>
                    <a:ext cx="129540" cy="129540"/>
                  </a:xfrm>
                  <a:prstGeom prst="rect">
                    <a:avLst/>
                  </a:prstGeom>
                  <a:ln/>
                </pic:spPr>
              </pic:pic>
            </a:graphicData>
          </a:graphic>
        </wp:anchor>
      </w:drawing>
    </w:r>
    <w:r>
      <w:rPr>
        <w:noProof/>
      </w:rPr>
      <w:drawing>
        <wp:anchor distT="0" distB="0" distL="114300" distR="71755" simplePos="0" relativeHeight="251663360" behindDoc="0" locked="0" layoutInCell="1" hidden="0" allowOverlap="1" wp14:anchorId="076AB801" wp14:editId="2421BAD5">
          <wp:simplePos x="0" y="0"/>
          <wp:positionH relativeFrom="column">
            <wp:posOffset>4279900</wp:posOffset>
          </wp:positionH>
          <wp:positionV relativeFrom="paragraph">
            <wp:posOffset>8255</wp:posOffset>
          </wp:positionV>
          <wp:extent cx="676275" cy="132715"/>
          <wp:effectExtent l="0" t="0" r="0" b="0"/>
          <wp:wrapSquare wrapText="bothSides" distT="0" distB="0" distL="114300" distR="71755"/>
          <wp:docPr id="1933299750" name="image5.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Logotipo&#10;&#10;Descripción generada automáticamente"/>
                  <pic:cNvPicPr preferRelativeResize="0"/>
                </pic:nvPicPr>
                <pic:blipFill>
                  <a:blip r:embed="rId4"/>
                  <a:srcRect t="31761" b="31114"/>
                  <a:stretch>
                    <a:fillRect/>
                  </a:stretch>
                </pic:blipFill>
                <pic:spPr>
                  <a:xfrm>
                    <a:off x="0" y="0"/>
                    <a:ext cx="676275" cy="132715"/>
                  </a:xfrm>
                  <a:prstGeom prst="rect">
                    <a:avLst/>
                  </a:prstGeom>
                  <a:ln/>
                </pic:spPr>
              </pic:pic>
            </a:graphicData>
          </a:graphic>
        </wp:anchor>
      </w:drawing>
    </w:r>
  </w:p>
  <w:p w14:paraId="332AA0F9" w14:textId="77777777" w:rsidR="00B46D9E" w:rsidRDefault="00B46D9E">
    <w:pPr>
      <w:rPr>
        <w:rFonts w:ascii="Lato Light" w:eastAsia="Lato Light" w:hAnsi="Lato Light" w:cs="Lato Light"/>
        <w:color w:val="041E42"/>
        <w:sz w:val="16"/>
        <w:szCs w:val="16"/>
      </w:rPr>
    </w:pPr>
  </w:p>
  <w:p w14:paraId="056E2DD4" w14:textId="77777777" w:rsidR="00B46D9E" w:rsidRDefault="00000000">
    <w:pPr>
      <w:jc w:val="right"/>
      <w:rPr>
        <w:rFonts w:ascii="Lato Light" w:eastAsia="Lato Light" w:hAnsi="Lato Light" w:cs="Lato Light"/>
        <w:b/>
        <w:bCs/>
        <w:color w:val="041E42"/>
        <w:sz w:val="18"/>
        <w:szCs w:val="18"/>
      </w:rPr>
    </w:pPr>
    <w:r>
      <w:rPr>
        <w:rFonts w:ascii="Lato Light" w:eastAsia="Lato Light" w:hAnsi="Lato Light" w:cs="Lato Light"/>
        <w:b/>
        <w:bCs/>
        <w:color w:val="041E42"/>
        <w:sz w:val="18"/>
        <w:szCs w:val="18"/>
      </w:rPr>
      <w:fldChar w:fldCharType="begin"/>
    </w:r>
    <w:r>
      <w:rPr>
        <w:rFonts w:ascii="Lato Light" w:eastAsia="Lato Light" w:hAnsi="Lato Light" w:cs="Lato Light"/>
        <w:b/>
        <w:bCs/>
        <w:color w:val="041E42"/>
        <w:sz w:val="18"/>
        <w:szCs w:val="18"/>
      </w:rPr>
      <w:instrText>PAGE</w:instrText>
    </w:r>
    <w:r>
      <w:rPr>
        <w:rFonts w:ascii="Lato Light" w:eastAsia="Lato Light" w:hAnsi="Lato Light" w:cs="Lato Light"/>
        <w:b/>
        <w:bCs/>
        <w:color w:val="041E42"/>
        <w:sz w:val="18"/>
        <w:szCs w:val="18"/>
      </w:rPr>
      <w:fldChar w:fldCharType="separate"/>
    </w:r>
    <w:r w:rsidR="007C03CB">
      <w:rPr>
        <w:rFonts w:ascii="Lato Light" w:eastAsia="Lato Light" w:hAnsi="Lato Light" w:cs="Lato Light"/>
        <w:b/>
        <w:bCs/>
        <w:noProof/>
        <w:color w:val="041E42"/>
        <w:sz w:val="18"/>
        <w:szCs w:val="18"/>
      </w:rPr>
      <w:t>2</w:t>
    </w:r>
    <w:r>
      <w:rPr>
        <w:rFonts w:ascii="Lato Light" w:eastAsia="Lato Light" w:hAnsi="Lato Light" w:cs="Lato Light"/>
        <w:b/>
        <w:bCs/>
        <w:color w:val="041E42"/>
        <w:sz w:val="18"/>
        <w:szCs w:val="18"/>
      </w:rPr>
      <w:fldChar w:fldCharType="end"/>
    </w:r>
  </w:p>
  <w:p w14:paraId="6EE0C86C" w14:textId="77777777" w:rsidR="00B46D9E" w:rsidRDefault="00B46D9E"/>
  <w:p w14:paraId="4075D018" w14:textId="77777777" w:rsidR="00B46D9E" w:rsidRDefault="00B46D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362E" w14:textId="77777777" w:rsidR="00B46D9E" w:rsidRDefault="00000000">
    <w:bookmarkStart w:id="2" w:name="_tyjcwt" w:colFirst="0" w:colLast="0"/>
    <w:bookmarkEnd w:id="2"/>
    <w:r>
      <w:pict w14:anchorId="11C04522">
        <v:rect id="_x0000_i1026" style="width:0;height:1.5pt" o:hralign="center" o:hrstd="t" o:hr="t" fillcolor="#a0a0a0" stroked="f"/>
      </w:pict>
    </w:r>
  </w:p>
  <w:p w14:paraId="45B85A87" w14:textId="77777777" w:rsidR="00B46D9E" w:rsidRDefault="00000000">
    <w:r>
      <w:rPr>
        <w:noProof/>
      </w:rPr>
      <w:drawing>
        <wp:anchor distT="0" distB="0" distL="114300" distR="71755" simplePos="0" relativeHeight="251664384" behindDoc="0" locked="0" layoutInCell="1" hidden="0" allowOverlap="1" wp14:anchorId="1828F482" wp14:editId="7638D9D1">
          <wp:simplePos x="0" y="0"/>
          <wp:positionH relativeFrom="column">
            <wp:posOffset>213360</wp:posOffset>
          </wp:positionH>
          <wp:positionV relativeFrom="paragraph">
            <wp:posOffset>186690</wp:posOffset>
          </wp:positionV>
          <wp:extent cx="129600" cy="129600"/>
          <wp:effectExtent l="0" t="0" r="0" b="0"/>
          <wp:wrapSquare wrapText="bothSides" distT="0" distB="0" distL="114300" distR="71755"/>
          <wp:docPr id="7364670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9600" cy="129600"/>
                  </a:xfrm>
                  <a:prstGeom prst="rect">
                    <a:avLst/>
                  </a:prstGeom>
                  <a:ln/>
                </pic:spPr>
              </pic:pic>
            </a:graphicData>
          </a:graphic>
        </wp:anchor>
      </w:drawing>
    </w:r>
  </w:p>
  <w:p w14:paraId="4C75C263" w14:textId="77777777" w:rsidR="00B46D9E" w:rsidRDefault="00000000">
    <w:pPr>
      <w:rPr>
        <w:rFonts w:ascii="Lato Light" w:eastAsia="Lato Light" w:hAnsi="Lato Light" w:cs="Lato Light"/>
        <w:color w:val="041E42"/>
        <w:sz w:val="16"/>
        <w:szCs w:val="16"/>
      </w:rPr>
    </w:pPr>
    <w:bookmarkStart w:id="3" w:name="_3dy6vkm" w:colFirst="0" w:colLast="0"/>
    <w:bookmarkEnd w:id="3"/>
    <w:r>
      <w:rPr>
        <w:rFonts w:ascii="Lato Light" w:eastAsia="Lato Light" w:hAnsi="Lato Light" w:cs="Lato Light"/>
        <w:color w:val="041E42"/>
        <w:sz w:val="16"/>
        <w:szCs w:val="16"/>
      </w:rPr>
      <w:t xml:space="preserve">contacto@ema.com.ve             </w:t>
    </w:r>
    <w:proofErr w:type="gramStart"/>
    <w:r>
      <w:rPr>
        <w:rFonts w:ascii="Lato Light" w:eastAsia="Lato Light" w:hAnsi="Lato Light" w:cs="Lato Light"/>
        <w:color w:val="041E42"/>
        <w:sz w:val="16"/>
        <w:szCs w:val="16"/>
      </w:rPr>
      <w:t xml:space="preserve">   (</w:t>
    </w:r>
    <w:proofErr w:type="gramEnd"/>
    <w:r>
      <w:rPr>
        <w:rFonts w:ascii="Lato Light" w:eastAsia="Lato Light" w:hAnsi="Lato Light" w:cs="Lato Light"/>
        <w:color w:val="041E42"/>
        <w:sz w:val="16"/>
        <w:szCs w:val="16"/>
      </w:rPr>
      <w:t>+58212) 9912321                    www.ema.com.ve                                     @estevezmisle</w:t>
    </w:r>
    <w:r>
      <w:rPr>
        <w:noProof/>
      </w:rPr>
      <w:drawing>
        <wp:anchor distT="0" distB="0" distL="114300" distR="71755" simplePos="0" relativeHeight="251665408" behindDoc="0" locked="0" layoutInCell="1" hidden="0" allowOverlap="1" wp14:anchorId="7E0928C6" wp14:editId="406E2BE4">
          <wp:simplePos x="0" y="0"/>
          <wp:positionH relativeFrom="column">
            <wp:posOffset>1657350</wp:posOffset>
          </wp:positionH>
          <wp:positionV relativeFrom="paragraph">
            <wp:posOffset>8255</wp:posOffset>
          </wp:positionV>
          <wp:extent cx="129540" cy="129540"/>
          <wp:effectExtent l="0" t="0" r="0" b="0"/>
          <wp:wrapSquare wrapText="bothSides" distT="0" distB="0" distL="114300" distR="71755"/>
          <wp:docPr id="9350199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
                  <a:srcRect/>
                  <a:stretch>
                    <a:fillRect/>
                  </a:stretch>
                </pic:blipFill>
                <pic:spPr>
                  <a:xfrm>
                    <a:off x="0" y="0"/>
                    <a:ext cx="129540" cy="129540"/>
                  </a:xfrm>
                  <a:prstGeom prst="rect">
                    <a:avLst/>
                  </a:prstGeom>
                  <a:ln/>
                </pic:spPr>
              </pic:pic>
            </a:graphicData>
          </a:graphic>
        </wp:anchor>
      </w:drawing>
    </w:r>
    <w:r>
      <w:rPr>
        <w:noProof/>
      </w:rPr>
      <w:drawing>
        <wp:anchor distT="0" distB="0" distL="114300" distR="71755" simplePos="0" relativeHeight="251666432" behindDoc="0" locked="0" layoutInCell="1" hidden="0" allowOverlap="1" wp14:anchorId="5D969C53" wp14:editId="75F7F577">
          <wp:simplePos x="0" y="0"/>
          <wp:positionH relativeFrom="column">
            <wp:posOffset>3054350</wp:posOffset>
          </wp:positionH>
          <wp:positionV relativeFrom="paragraph">
            <wp:posOffset>14604</wp:posOffset>
          </wp:positionV>
          <wp:extent cx="129540" cy="129540"/>
          <wp:effectExtent l="0" t="0" r="0" b="0"/>
          <wp:wrapSquare wrapText="bothSides" distT="0" distB="0" distL="114300" distR="71755"/>
          <wp:docPr id="17126204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
                  <a:srcRect/>
                  <a:stretch>
                    <a:fillRect/>
                  </a:stretch>
                </pic:blipFill>
                <pic:spPr>
                  <a:xfrm>
                    <a:off x="0" y="0"/>
                    <a:ext cx="129540" cy="129540"/>
                  </a:xfrm>
                  <a:prstGeom prst="rect">
                    <a:avLst/>
                  </a:prstGeom>
                  <a:ln/>
                </pic:spPr>
              </pic:pic>
            </a:graphicData>
          </a:graphic>
        </wp:anchor>
      </w:drawing>
    </w:r>
    <w:r>
      <w:rPr>
        <w:noProof/>
      </w:rPr>
      <w:drawing>
        <wp:anchor distT="0" distB="0" distL="114300" distR="71755" simplePos="0" relativeHeight="251667456" behindDoc="0" locked="0" layoutInCell="1" hidden="0" allowOverlap="1" wp14:anchorId="4490C3DA" wp14:editId="00B65226">
          <wp:simplePos x="0" y="0"/>
          <wp:positionH relativeFrom="column">
            <wp:posOffset>4292600</wp:posOffset>
          </wp:positionH>
          <wp:positionV relativeFrom="paragraph">
            <wp:posOffset>8255</wp:posOffset>
          </wp:positionV>
          <wp:extent cx="676275" cy="132715"/>
          <wp:effectExtent l="0" t="0" r="0" b="0"/>
          <wp:wrapSquare wrapText="bothSides" distT="0" distB="0" distL="114300" distR="71755"/>
          <wp:docPr id="13671394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t="31761" b="31114"/>
                  <a:stretch>
                    <a:fillRect/>
                  </a:stretch>
                </pic:blipFill>
                <pic:spPr>
                  <a:xfrm>
                    <a:off x="0" y="0"/>
                    <a:ext cx="676275" cy="132715"/>
                  </a:xfrm>
                  <a:prstGeom prst="rect">
                    <a:avLst/>
                  </a:prstGeom>
                  <a:ln/>
                </pic:spPr>
              </pic:pic>
            </a:graphicData>
          </a:graphic>
        </wp:anchor>
      </w:drawing>
    </w:r>
  </w:p>
  <w:p w14:paraId="5CAF2588" w14:textId="77777777" w:rsidR="00B46D9E" w:rsidRDefault="00B46D9E">
    <w:pPr>
      <w:rPr>
        <w:rFonts w:ascii="Lato Light" w:eastAsia="Lato Light" w:hAnsi="Lato Light" w:cs="Lato Light"/>
        <w:sz w:val="16"/>
        <w:szCs w:val="16"/>
      </w:rPr>
    </w:pPr>
  </w:p>
  <w:p w14:paraId="463FBCE1" w14:textId="77777777" w:rsidR="00B46D9E" w:rsidRDefault="00000000">
    <w:pPr>
      <w:rPr>
        <w:rFonts w:ascii="Lato Light" w:eastAsia="Lato Light" w:hAnsi="Lato Light" w:cs="Lato Light"/>
        <w:color w:val="041E42"/>
        <w:sz w:val="16"/>
        <w:szCs w:val="16"/>
      </w:rPr>
    </w:pPr>
    <w:r>
      <w:rPr>
        <w:rFonts w:ascii="Lato Light" w:eastAsia="Lato Light" w:hAnsi="Lato Light" w:cs="Lato Light"/>
        <w:color w:val="041E42"/>
        <w:sz w:val="16"/>
        <w:szCs w:val="16"/>
      </w:rPr>
      <w:t>Calle La Guairita, Edificio Los Frailes, Piso 2, Oficinas PT-201 y PT-202, Chuao (1061), Estado Miranda, Venezuela</w:t>
    </w:r>
    <w:r>
      <w:rPr>
        <w:noProof/>
      </w:rPr>
      <w:drawing>
        <wp:anchor distT="0" distB="0" distL="114300" distR="71755" simplePos="0" relativeHeight="251668480" behindDoc="0" locked="0" layoutInCell="1" hidden="0" allowOverlap="1" wp14:anchorId="6D7A2803" wp14:editId="025DDB61">
          <wp:simplePos x="0" y="0"/>
          <wp:positionH relativeFrom="column">
            <wp:posOffset>336550</wp:posOffset>
          </wp:positionH>
          <wp:positionV relativeFrom="paragraph">
            <wp:posOffset>4445</wp:posOffset>
          </wp:positionV>
          <wp:extent cx="129540" cy="129540"/>
          <wp:effectExtent l="0" t="0" r="0" b="0"/>
          <wp:wrapSquare wrapText="bothSides" distT="0" distB="0" distL="114300" distR="71755"/>
          <wp:docPr id="8140842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9540" cy="12954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2665" w14:textId="77777777" w:rsidR="00ED2D03" w:rsidRDefault="00ED2D03">
      <w:pPr>
        <w:spacing w:line="240" w:lineRule="auto"/>
      </w:pPr>
      <w:r>
        <w:separator/>
      </w:r>
    </w:p>
  </w:footnote>
  <w:footnote w:type="continuationSeparator" w:id="0">
    <w:p w14:paraId="3437BA45" w14:textId="77777777" w:rsidR="00ED2D03" w:rsidRDefault="00ED2D03">
      <w:pPr>
        <w:spacing w:line="240" w:lineRule="auto"/>
      </w:pPr>
      <w:r>
        <w:continuationSeparator/>
      </w:r>
    </w:p>
  </w:footnote>
  <w:footnote w:id="1">
    <w:p w14:paraId="65B5C09F" w14:textId="77777777" w:rsidR="00B46D9E" w:rsidRPr="00A57AAE" w:rsidRDefault="00000000">
      <w:pPr>
        <w:spacing w:line="240" w:lineRule="auto"/>
        <w:jc w:val="both"/>
        <w:rPr>
          <w:sz w:val="20"/>
          <w:szCs w:val="20"/>
        </w:rPr>
      </w:pPr>
      <w:r w:rsidRPr="00A57AAE">
        <w:rPr>
          <w:vertAlign w:val="superscript"/>
        </w:rPr>
        <w:footnoteRef/>
      </w:r>
      <w:r w:rsidRPr="00A57AAE">
        <w:rPr>
          <w:sz w:val="15"/>
          <w:szCs w:val="15"/>
        </w:rPr>
        <w:t xml:space="preserve"> </w:t>
      </w:r>
      <w:r w:rsidRPr="00A57AAE">
        <w:rPr>
          <w:color w:val="222222"/>
          <w:sz w:val="15"/>
          <w:szCs w:val="15"/>
        </w:rPr>
        <w:t>Economista y Científico de Datos. Consultor Independiente. Profesor de “</w:t>
      </w:r>
      <w:proofErr w:type="spellStart"/>
      <w:r w:rsidRPr="00A57AAE">
        <w:rPr>
          <w:color w:val="222222"/>
          <w:sz w:val="15"/>
          <w:szCs w:val="15"/>
        </w:rPr>
        <w:t>Introduction</w:t>
      </w:r>
      <w:proofErr w:type="spellEnd"/>
      <w:r w:rsidRPr="00A57AAE">
        <w:rPr>
          <w:color w:val="222222"/>
          <w:sz w:val="15"/>
          <w:szCs w:val="15"/>
        </w:rPr>
        <w:t xml:space="preserve"> </w:t>
      </w:r>
      <w:proofErr w:type="spellStart"/>
      <w:r w:rsidRPr="00A57AAE">
        <w:rPr>
          <w:color w:val="222222"/>
          <w:sz w:val="15"/>
          <w:szCs w:val="15"/>
        </w:rPr>
        <w:t>to</w:t>
      </w:r>
      <w:proofErr w:type="spellEnd"/>
      <w:r w:rsidRPr="00A57AAE">
        <w:rPr>
          <w:color w:val="222222"/>
          <w:sz w:val="15"/>
          <w:szCs w:val="15"/>
        </w:rPr>
        <w:t xml:space="preserve"> Data </w:t>
      </w:r>
      <w:proofErr w:type="spellStart"/>
      <w:r w:rsidRPr="00A57AAE">
        <w:rPr>
          <w:color w:val="222222"/>
          <w:sz w:val="15"/>
          <w:szCs w:val="15"/>
        </w:rPr>
        <w:t>Science</w:t>
      </w:r>
      <w:proofErr w:type="spellEnd"/>
      <w:r w:rsidRPr="00A57AAE">
        <w:rPr>
          <w:color w:val="222222"/>
          <w:sz w:val="15"/>
          <w:szCs w:val="15"/>
        </w:rPr>
        <w:t>” en la escuela de Economía UCAB.</w:t>
      </w:r>
    </w:p>
  </w:footnote>
  <w:footnote w:id="2">
    <w:p w14:paraId="272BF67C" w14:textId="3A97E948" w:rsidR="001D59E7" w:rsidRPr="00A57AAE" w:rsidRDefault="001D59E7">
      <w:pPr>
        <w:pStyle w:val="FootnoteText"/>
        <w:rPr>
          <w:sz w:val="15"/>
          <w:szCs w:val="15"/>
        </w:rPr>
      </w:pPr>
      <w:r w:rsidRPr="00A57AAE">
        <w:rPr>
          <w:rStyle w:val="FootnoteReference"/>
          <w:sz w:val="15"/>
          <w:szCs w:val="15"/>
        </w:rPr>
        <w:footnoteRef/>
      </w:r>
      <w:r w:rsidRPr="00A57AAE">
        <w:rPr>
          <w:sz w:val="15"/>
          <w:szCs w:val="15"/>
        </w:rPr>
        <w:t xml:space="preserve"> Dependiendo de clasificación de edificaciones.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728B" w14:textId="77777777" w:rsidR="00B46D9E" w:rsidRDefault="00000000">
    <w:r>
      <w:rPr>
        <w:noProof/>
      </w:rPr>
      <w:drawing>
        <wp:anchor distT="114300" distB="114300" distL="114300" distR="114300" simplePos="0" relativeHeight="251658240" behindDoc="0" locked="0" layoutInCell="1" hidden="0" allowOverlap="1" wp14:anchorId="3C175DD8" wp14:editId="67780B0C">
          <wp:simplePos x="0" y="0"/>
          <wp:positionH relativeFrom="page">
            <wp:posOffset>723900</wp:posOffset>
          </wp:positionH>
          <wp:positionV relativeFrom="page">
            <wp:posOffset>266700</wp:posOffset>
          </wp:positionV>
          <wp:extent cx="7562850" cy="609600"/>
          <wp:effectExtent l="0" t="0" r="0" b="0"/>
          <wp:wrapNone/>
          <wp:docPr id="457441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t="31914" b="34042"/>
                  <a:stretch>
                    <a:fillRect/>
                  </a:stretch>
                </pic:blipFill>
                <pic:spPr>
                  <a:xfrm>
                    <a:off x="0" y="0"/>
                    <a:ext cx="7562850" cy="609600"/>
                  </a:xfrm>
                  <a:prstGeom prst="rect">
                    <a:avLst/>
                  </a:prstGeom>
                  <a:ln/>
                </pic:spPr>
              </pic:pic>
            </a:graphicData>
          </a:graphic>
        </wp:anchor>
      </w:drawing>
    </w:r>
  </w:p>
  <w:p w14:paraId="0D052C0B" w14:textId="77777777" w:rsidR="00B46D9E" w:rsidRDefault="00B46D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BA66" w14:textId="77777777" w:rsidR="00B46D9E" w:rsidRDefault="00000000">
    <w:pPr>
      <w:rPr>
        <w:b/>
        <w:bCs/>
      </w:rPr>
    </w:pPr>
    <w:r>
      <w:rPr>
        <w:b/>
        <w:bCs/>
        <w:noProof/>
      </w:rPr>
      <w:drawing>
        <wp:anchor distT="114300" distB="114300" distL="114300" distR="114300" simplePos="0" relativeHeight="251659264" behindDoc="0" locked="0" layoutInCell="1" hidden="0" allowOverlap="1" wp14:anchorId="3D094742" wp14:editId="27FF8C90">
          <wp:simplePos x="0" y="0"/>
          <wp:positionH relativeFrom="page">
            <wp:posOffset>581025</wp:posOffset>
          </wp:positionH>
          <wp:positionV relativeFrom="page">
            <wp:posOffset>114300</wp:posOffset>
          </wp:positionV>
          <wp:extent cx="7383418" cy="1766888"/>
          <wp:effectExtent l="0" t="0" r="0" b="0"/>
          <wp:wrapNone/>
          <wp:docPr id="20958674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383418" cy="17668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15D8"/>
    <w:multiLevelType w:val="multilevel"/>
    <w:tmpl w:val="8836E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2D4DDA"/>
    <w:multiLevelType w:val="multilevel"/>
    <w:tmpl w:val="EDA21DFE"/>
    <w:lvl w:ilvl="0">
      <w:start w:val="1"/>
      <w:numFmt w:val="upperLetter"/>
      <w:lvlText w:val="%1."/>
      <w:lvlJc w:val="left"/>
      <w:pPr>
        <w:ind w:left="720" w:hanging="720"/>
      </w:pPr>
    </w:lvl>
    <w:lvl w:ilvl="1">
      <w:start w:val="1"/>
      <w:numFmt w:val="lowerLetter"/>
      <w:lvlText w:val="%2."/>
      <w:lvlJc w:val="left"/>
      <w:pPr>
        <w:ind w:left="1440" w:hanging="360"/>
      </w:pPr>
      <w:rPr>
        <w:rFonts w:ascii="Arial" w:eastAsia="Arial" w:hAnsi="Arial" w:cs="Arial"/>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4FD6A9C"/>
    <w:multiLevelType w:val="multilevel"/>
    <w:tmpl w:val="4BE2A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5770E9"/>
    <w:multiLevelType w:val="hybridMultilevel"/>
    <w:tmpl w:val="B4F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511352">
    <w:abstractNumId w:val="1"/>
  </w:num>
  <w:num w:numId="2" w16cid:durableId="1420322645">
    <w:abstractNumId w:val="2"/>
  </w:num>
  <w:num w:numId="3" w16cid:durableId="1716586271">
    <w:abstractNumId w:val="0"/>
  </w:num>
  <w:num w:numId="4" w16cid:durableId="505290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9E"/>
    <w:rsid w:val="001D59E7"/>
    <w:rsid w:val="00232FD0"/>
    <w:rsid w:val="00241C57"/>
    <w:rsid w:val="003413AE"/>
    <w:rsid w:val="0035542D"/>
    <w:rsid w:val="003C7003"/>
    <w:rsid w:val="003E22D2"/>
    <w:rsid w:val="00553EA2"/>
    <w:rsid w:val="00646B9B"/>
    <w:rsid w:val="006E11C7"/>
    <w:rsid w:val="00725BC4"/>
    <w:rsid w:val="007C03CB"/>
    <w:rsid w:val="00874303"/>
    <w:rsid w:val="008777F6"/>
    <w:rsid w:val="008B1D76"/>
    <w:rsid w:val="008E249E"/>
    <w:rsid w:val="00A57AAE"/>
    <w:rsid w:val="00A611F6"/>
    <w:rsid w:val="00A87309"/>
    <w:rsid w:val="00A95A80"/>
    <w:rsid w:val="00B02953"/>
    <w:rsid w:val="00B46D9E"/>
    <w:rsid w:val="00C30136"/>
    <w:rsid w:val="00D556A8"/>
    <w:rsid w:val="00D729FB"/>
    <w:rsid w:val="00D96391"/>
    <w:rsid w:val="00ED2D03"/>
    <w:rsid w:val="00EE4F34"/>
    <w:rsid w:val="00F72236"/>
    <w:rsid w:val="00FC2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7D72D"/>
  <w15:docId w15:val="{930FD598-3CB1-4F92-BF07-C35C1E58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V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95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Cambria" w:eastAsia="Cambria" w:hAnsi="Cambria" w:cs="Cambria"/>
    </w:rPr>
    <w:tblPr>
      <w:tblStyleRowBandSize w:val="1"/>
      <w:tblStyleColBandSize w:val="1"/>
      <w:tblCellMar>
        <w:top w:w="43" w:type="dxa"/>
        <w:left w:w="115" w:type="dxa"/>
        <w:bottom w:w="43" w:type="dxa"/>
        <w:right w:w="115" w:type="dxa"/>
      </w:tblCellMar>
    </w:tblPr>
  </w:style>
  <w:style w:type="paragraph" w:styleId="ListParagraph">
    <w:name w:val="List Paragraph"/>
    <w:basedOn w:val="Normal"/>
    <w:uiPriority w:val="34"/>
    <w:qFormat/>
    <w:rsid w:val="007C03CB"/>
    <w:pPr>
      <w:ind w:left="720"/>
      <w:contextualSpacing/>
    </w:pPr>
  </w:style>
  <w:style w:type="paragraph" w:styleId="FootnoteText">
    <w:name w:val="footnote text"/>
    <w:basedOn w:val="Normal"/>
    <w:link w:val="FootnoteTextChar"/>
    <w:uiPriority w:val="99"/>
    <w:semiHidden/>
    <w:unhideWhenUsed/>
    <w:rsid w:val="001D59E7"/>
    <w:pPr>
      <w:spacing w:line="240" w:lineRule="auto"/>
    </w:pPr>
    <w:rPr>
      <w:sz w:val="20"/>
      <w:szCs w:val="20"/>
    </w:rPr>
  </w:style>
  <w:style w:type="character" w:customStyle="1" w:styleId="FootnoteTextChar">
    <w:name w:val="Footnote Text Char"/>
    <w:basedOn w:val="DefaultParagraphFont"/>
    <w:link w:val="FootnoteText"/>
    <w:uiPriority w:val="99"/>
    <w:semiHidden/>
    <w:rsid w:val="001D59E7"/>
    <w:rPr>
      <w:sz w:val="20"/>
      <w:szCs w:val="20"/>
    </w:rPr>
  </w:style>
  <w:style w:type="character" w:styleId="FootnoteReference">
    <w:name w:val="footnote reference"/>
    <w:basedOn w:val="DefaultParagraphFont"/>
    <w:uiPriority w:val="99"/>
    <w:semiHidden/>
    <w:unhideWhenUsed/>
    <w:rsid w:val="001D59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footer2.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5" Type="http://schemas.openxmlformats.org/officeDocument/2006/relationships/image" Target="media/image19.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46EF0-8511-48C1-B079-8E37F60CF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Giorgio Cunto Morales</cp:lastModifiedBy>
  <cp:revision>14</cp:revision>
  <dcterms:created xsi:type="dcterms:W3CDTF">2026-08-07T17:46:00Z</dcterms:created>
  <dcterms:modified xsi:type="dcterms:W3CDTF">2026-08-07T23:12:00Z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0dd34e03-cdd3-45 de-86a9-740dda3240ae</vt:lpwstr>
  </property>
</Properties>
</file>