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</w:p>
    <w:p>
      <w:pPr>
        <w:spacing w:after="20"/>
      </w:pPr>
      <w:r>
        <w:rPr>
          <w:b/>
          <w:color w:val="1F3A5F"/>
          <w:sz w:val="34"/>
        </w:rPr>
        <w:t>FreeFine — Master Progress Report</w:t>
      </w:r>
    </w:p>
    <w:p>
      <w:pPr>
        <w:spacing w:after="40"/>
      </w:pPr>
      <w:r>
        <w:rPr>
          <w:color w:val="555555"/>
          <w:sz w:val="20"/>
        </w:rPr>
        <w:t>Reproduction, Metric-Driven Diagnosis, and a Systematic Architectural Study on GeoBench-2D</w:t>
      </w:r>
    </w:p>
    <w:p>
      <w:pPr>
        <w:spacing w:after="120"/>
      </w:pPr>
      <w:r>
        <w:rPr>
          <w:color w:val="555555"/>
          <w:sz w:val="18"/>
        </w:rPr>
        <w:t>Diploma Thesis · Giorgos Tzamouranis · 20 June 2026</w:t>
      </w:r>
    </w:p>
    <w:p>
      <w:pPr>
        <w:spacing w:after="100" w:before="20"/>
      </w:pPr>
      <w:r>
        <w:rPr>
          <w:i/>
          <w:color w:val="555555"/>
          <w:sz w:val="18"/>
        </w:rPr>
        <w:t xml:space="preserve">Abstract. We faithfully reproduce FreeFine (training-free geometric image editing, ICCV 2025) on GeoBench-2D, then localize its weakness through a metric-driven diagnosis: subject-structural fidelity (SUBC) collapses on hard rotate/resize, while background and pixel-refinement remain strong. We then test five distinct classes of intervention — scalar/configuration tuning, input-quality and injection-strength, semantic-identity conditioning, geometry-aware attention (three mechanisms), and refinement-preservation. None breaks the structural ceiling; the geometry-aware attention changes actively hurt. A preservation experiment finally lifts SUBC marginally but, crucially, its flat dose-response shows FreeFine already reaches ~99.9% of the perfect-warp ceiling. We conclude the residual hard-case gap is intrinsic to the in-plane transform and the view-sensitivity of the metric, not an addressable algorithmic deficiency — a result that reframes the open problem toward out-of-plane and effect-aware editing.</w:t>
      </w:r>
    </w:p>
    <w:p>
      <w:pPr>
        <w:spacing w:before="200" w:after="60"/>
        <w:pBdr>
          <w:bottom w:val="single" w:sz="6" w:space="2" w:color="2E75B6"/>
        </w:pBdr>
      </w:pPr>
      <w:r>
        <w:rPr>
          <w:b/>
          <w:color w:val="1F3A5F"/>
          <w:sz w:val="26"/>
        </w:rPr>
        <w:t>1.  Objective and Constraints</w:t>
      </w:r>
    </w:p>
    <w:p>
      <w:pPr>
        <w:spacing w:after="80" w:before="40" w:line="276" w:lineRule="auto"/>
      </w:pPr>
      <w:r>
        <w:rPr>
          <w:sz w:val="20"/>
        </w:rPr>
        <w:t xml:space="preserve">FreeFine performs geometric image editing — repositioning, reorienting, and reshaping an object while preserving scene coherence — without any training, using a diffusion model steered by Temporal Contextual Attention (TCA), Local Perturbation, and Content-specified Generation. The thesis goal is twofold: (i) reproduce FreeFine exactly, and (ii) propose a training-free architectural extension that improves on it.</w:t>
      </w:r>
    </w:p>
    <w:p>
      <w:pPr>
        <w:pStyle w:val="ListBullet"/>
        <w:spacing w:after="40" w:line="252" w:lineRule="auto"/>
      </w:pPr>
      <w:r>
        <w:rPr>
          <w:b/>
          <w:sz w:val="20"/>
        </w:rPr>
        <w:t xml:space="preserve">Reproduction constraint: </w:t>
      </w:r>
      <w:r>
        <w:rPr>
          <w:b w:val="0"/>
          <w:sz w:val="20"/>
        </w:rPr>
        <w:t xml:space="preserve">the published GitHub code is run unchanged (single precision, no algorithmic edits — only environment, path, and verified-neutral bug fixes).</w:t>
      </w:r>
    </w:p>
    <w:p>
      <w:pPr>
        <w:pStyle w:val="ListBullet"/>
        <w:spacing w:after="40" w:line="252" w:lineRule="auto"/>
      </w:pPr>
      <w:r>
        <w:rPr>
          <w:b/>
          <w:sz w:val="20"/>
        </w:rPr>
        <w:t xml:space="preserve">Method constraint: </w:t>
      </w:r>
      <w:r>
        <w:rPr>
          <w:b w:val="0"/>
          <w:sz w:val="20"/>
        </w:rPr>
        <w:t xml:space="preserve">any change in the method phase is a documented part of the contribution, validated to leave the reproduced baseline byte-identical when disabled.</w:t>
      </w:r>
    </w:p>
    <w:p>
      <w:pPr>
        <w:spacing w:before="200" w:after="60"/>
        <w:pBdr>
          <w:bottom w:val="single" w:sz="6" w:space="2" w:color="2E75B6"/>
        </w:pBdr>
      </w:pPr>
      <w:r>
        <w:rPr>
          <w:b/>
          <w:color w:val="1F3A5F"/>
          <w:sz w:val="26"/>
        </w:rPr>
        <w:t>2.  Compute and Data Infrastructure</w:t>
      </w:r>
    </w:p>
    <w:p>
      <w:pPr>
        <w:pStyle w:val="ListBullet"/>
        <w:spacing w:after="40" w:line="252" w:lineRule="auto"/>
      </w:pPr>
      <w:r>
        <w:rPr>
          <w:b/>
          <w:sz w:val="20"/>
        </w:rPr>
        <w:t xml:space="preserve">Compute: </w:t>
      </w:r>
      <w:r>
        <w:rPr>
          <w:b w:val="0"/>
          <w:sz w:val="20"/>
        </w:rPr>
        <w:t xml:space="preserve">Kaggle, 2×NVIDIA T4 (~15 GB each), hard 12-hour per-commit limit; every run is deadline-guarded.</w:t>
      </w:r>
    </w:p>
    <w:p>
      <w:pPr>
        <w:pStyle w:val="ListBullet"/>
        <w:spacing w:after="40" w:line="252" w:lineRule="auto"/>
      </w:pPr>
      <w:r>
        <w:rPr>
          <w:b/>
          <w:sz w:val="20"/>
        </w:rPr>
        <w:t xml:space="preserve">Benchmark: </w:t>
      </w:r>
      <w:r>
        <w:rPr>
          <w:b w:val="0"/>
          <w:sz w:val="20"/>
        </w:rPr>
        <w:t xml:space="preserve">GeoBench-2D — 609 source images, 5,677 single-type edits (move 1,439 / rotate 1,603 / resize 2,635), scored on the paper’s seven metrics.</w:t>
      </w:r>
    </w:p>
    <w:p>
      <w:pPr>
        <w:pStyle w:val="ListBullet"/>
        <w:spacing w:after="40" w:line="252" w:lineRule="auto"/>
      </w:pPr>
      <w:r>
        <w:rPr>
          <w:b/>
          <w:sz w:val="20"/>
        </w:rPr>
        <w:t xml:space="preserve">Development subset: </w:t>
      </w:r>
      <w:r>
        <w:rPr>
          <w:b w:val="0"/>
          <w:sz w:val="20"/>
        </w:rPr>
        <w:t xml:space="preserve">a stratified, seed-42, reproducible balanced-200 subset used for all low-cost sweeps, with per-group cells (rotate_hard n=22, resize_hard n=23, move_all n=67, all_200 n=200).</w:t>
      </w:r>
    </w:p>
    <w:p>
      <w:pPr>
        <w:pStyle w:val="ListBullet"/>
        <w:spacing w:after="40" w:line="252" w:lineRule="auto"/>
      </w:pPr>
      <w:r>
        <w:rPr>
          <w:b/>
          <w:sz w:val="20"/>
        </w:rPr>
        <w:t xml:space="preserve">Two environments: </w:t>
      </w:r>
      <w:r>
        <w:rPr>
          <w:b w:val="0"/>
          <w:sz w:val="20"/>
        </w:rPr>
        <w:t xml:space="preserve">a generation environment (torch 2.1.1 / diffusers 0.18) and a metric environment (torch 2.6); for all method comparisons the stochastic MD metric is identically seeded across baseline and every variant.</w:t>
      </w:r>
    </w:p>
    <w:p>
      <w:pPr>
        <w:pStyle w:val="ListBullet"/>
        <w:spacing w:after="40" w:line="252" w:lineRule="auto"/>
      </w:pPr>
      <w:r>
        <w:rPr>
          <w:b/>
          <w:sz w:val="20"/>
        </w:rPr>
        <w:t xml:space="preserve">Metrics (arrows): </w:t>
      </w:r>
      <w:r>
        <w:rPr>
          <w:b w:val="0"/>
          <w:sz w:val="20"/>
        </w:rPr>
        <w:t xml:space="preserve">SUBC, BGC ↑ (subject- and background-consistency, higher better); FID, DINOv2/FDD, KD, WE/WRAP_E (warping error), MD (mean keypoint distance) ↓ (lower better).</w:t>
      </w:r>
    </w:p>
    <w:p>
      <w:pPr>
        <w:spacing w:before="200" w:after="60"/>
        <w:pBdr>
          <w:bottom w:val="single" w:sz="6" w:space="2" w:color="2E75B6"/>
        </w:pBdr>
      </w:pPr>
      <w:r>
        <w:rPr>
          <w:b/>
          <w:color w:val="1F3A5F"/>
          <w:sz w:val="26"/>
        </w:rPr>
        <w:t>3.  Phase 0 — Faithful Reproduction</w:t>
      </w:r>
    </w:p>
    <w:p>
      <w:pPr>
        <w:spacing w:after="80" w:before="40" w:line="276" w:lineRule="auto"/>
      </w:pPr>
      <w:r>
        <w:rPr>
          <w:sz w:val="20"/>
        </w:rPr>
        <w:t xml:space="preserve">FreeFine was reproduced at repository defaults (fp32, seed 42) and all 5,677 edits were generated and scored. The only source changes were environment/bug fixes (a confirmed use-before-assignment bug in the public 2D script; an identical SD-2.1 mirror for the MD metric), each verified numerically neutral; bit-identical generation was confirmed.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2520"/>
        <w:gridCol w:w="2100"/>
        <w:gridCol w:w="2280"/>
        <w:gridCol w:w="1620"/>
        <w:gridCol w:w="1840"/>
      </w:tblGrid>
      <w:tr>
        <w:tc>
          <w:tcPr>
            <w:tcW w:type="dxa" w:w="252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1F3A5F"/>
          </w:tcPr>
          <w:p>
            <w:pPr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Metric</w:t>
            </w:r>
          </w:p>
        </w:tc>
        <w:tc>
          <w:tcPr>
            <w:tcW w:type="dxa" w:w="21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1F3A5F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  <w:sz w:val="18"/>
              </w:rPr>
              <w:t xml:space="preserve">Paper</w:t>
            </w:r>
          </w:p>
        </w:tc>
        <w:tc>
          <w:tcPr>
            <w:tcW w:type="dxa" w:w="22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1F3A5F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  <w:sz w:val="18"/>
              </w:rPr>
              <w:t xml:space="preserve">Reproduced</w:t>
            </w:r>
          </w:p>
        </w:tc>
        <w:tc>
          <w:tcPr>
            <w:tcW w:type="dxa" w:w="162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1F3A5F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  <w:sz w:val="18"/>
              </w:rPr>
              <w:t xml:space="preserve">Diff</w:t>
            </w:r>
          </w:p>
        </w:tc>
        <w:tc>
          <w:tcPr>
            <w:tcW w:type="dxa" w:w="18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1F3A5F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  <w:sz w:val="18"/>
              </w:rPr>
              <w:t xml:space="preserve">Assessment</w:t>
            </w:r>
          </w:p>
        </w:tc>
      </w:tr>
      <w:tr>
        <w:tc>
          <w:tcPr>
            <w:tcW w:type="dxa" w:w="252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left"/>
            </w:pPr>
            <w:r>
              <w:rPr>
                <w:b/>
                <w:sz w:val="18"/>
              </w:rPr>
              <w:t xml:space="preserve">FID ↓</w:t>
            </w:r>
          </w:p>
        </w:tc>
        <w:tc>
          <w:tcPr>
            <w:tcW w:type="dxa" w:w="21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34.72</w:t>
            </w:r>
          </w:p>
        </w:tc>
        <w:tc>
          <w:tcPr>
            <w:tcW w:type="dxa" w:w="22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35.04</w:t>
            </w:r>
          </w:p>
        </w:tc>
        <w:tc>
          <w:tcPr>
            <w:tcW w:type="dxa" w:w="162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+0.9%</w:t>
            </w:r>
          </w:p>
        </w:tc>
        <w:tc>
          <w:tcPr>
            <w:tcW w:type="dxa" w:w="18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match</w:t>
            </w:r>
          </w:p>
        </w:tc>
      </w:tr>
      <w:tr>
        <w:tc>
          <w:tcPr>
            <w:tcW w:type="dxa" w:w="252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left"/>
            </w:pPr>
            <w:r>
              <w:rPr>
                <w:b/>
                <w:sz w:val="18"/>
              </w:rPr>
              <w:t xml:space="preserve">DINOv2 / FDD ↓</w:t>
            </w:r>
          </w:p>
        </w:tc>
        <w:tc>
          <w:tcPr>
            <w:tcW w:type="dxa" w:w="21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478.18</w:t>
            </w:r>
          </w:p>
        </w:tc>
        <w:tc>
          <w:tcPr>
            <w:tcW w:type="dxa" w:w="22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487.82</w:t>
            </w:r>
          </w:p>
        </w:tc>
        <w:tc>
          <w:tcPr>
            <w:tcW w:type="dxa" w:w="162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+2.0%</w:t>
            </w:r>
          </w:p>
        </w:tc>
        <w:tc>
          <w:tcPr>
            <w:tcW w:type="dxa" w:w="18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match</w:t>
            </w:r>
          </w:p>
        </w:tc>
      </w:tr>
      <w:tr>
        <w:tc>
          <w:tcPr>
            <w:tcW w:type="dxa" w:w="252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left"/>
            </w:pPr>
            <w:r>
              <w:rPr>
                <w:b/>
                <w:sz w:val="18"/>
              </w:rPr>
              <w:t xml:space="preserve">KD ↓</w:t>
            </w:r>
          </w:p>
        </w:tc>
        <w:tc>
          <w:tcPr>
            <w:tcW w:type="dxa" w:w="21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0.144</w:t>
            </w:r>
          </w:p>
        </w:tc>
        <w:tc>
          <w:tcPr>
            <w:tcW w:type="dxa" w:w="22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0.142</w:t>
            </w:r>
          </w:p>
        </w:tc>
        <w:tc>
          <w:tcPr>
            <w:tcW w:type="dxa" w:w="162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−1.2%</w:t>
            </w:r>
          </w:p>
        </w:tc>
        <w:tc>
          <w:tcPr>
            <w:tcW w:type="dxa" w:w="18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match</w:t>
            </w:r>
          </w:p>
        </w:tc>
      </w:tr>
      <w:tr>
        <w:tc>
          <w:tcPr>
            <w:tcW w:type="dxa" w:w="252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left"/>
            </w:pPr>
            <w:r>
              <w:rPr>
                <w:b/>
                <w:sz w:val="18"/>
              </w:rPr>
              <w:t xml:space="preserve">SUBC ↑</w:t>
            </w:r>
          </w:p>
        </w:tc>
        <w:tc>
          <w:tcPr>
            <w:tcW w:type="dxa" w:w="21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0.907</w:t>
            </w:r>
          </w:p>
        </w:tc>
        <w:tc>
          <w:tcPr>
            <w:tcW w:type="dxa" w:w="22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0.911</w:t>
            </w:r>
          </w:p>
        </w:tc>
        <w:tc>
          <w:tcPr>
            <w:tcW w:type="dxa" w:w="162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+0.4%</w:t>
            </w:r>
          </w:p>
        </w:tc>
        <w:tc>
          <w:tcPr>
            <w:tcW w:type="dxa" w:w="18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match</w:t>
            </w:r>
          </w:p>
        </w:tc>
      </w:tr>
      <w:tr>
        <w:tc>
          <w:tcPr>
            <w:tcW w:type="dxa" w:w="252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left"/>
            </w:pPr>
            <w:r>
              <w:rPr>
                <w:b/>
                <w:sz w:val="18"/>
              </w:rPr>
              <w:t xml:space="preserve">BC / BGC ↑</w:t>
            </w:r>
          </w:p>
        </w:tc>
        <w:tc>
          <w:tcPr>
            <w:tcW w:type="dxa" w:w="21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0.971</w:t>
            </w:r>
          </w:p>
        </w:tc>
        <w:tc>
          <w:tcPr>
            <w:tcW w:type="dxa" w:w="22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0.967</w:t>
            </w:r>
          </w:p>
        </w:tc>
        <w:tc>
          <w:tcPr>
            <w:tcW w:type="dxa" w:w="162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−0.4%</w:t>
            </w:r>
          </w:p>
        </w:tc>
        <w:tc>
          <w:tcPr>
            <w:tcW w:type="dxa" w:w="18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match</w:t>
            </w:r>
          </w:p>
        </w:tc>
      </w:tr>
      <w:tr>
        <w:tc>
          <w:tcPr>
            <w:tcW w:type="dxa" w:w="252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left"/>
            </w:pPr>
            <w:r>
              <w:rPr>
                <w:b/>
                <w:sz w:val="18"/>
              </w:rPr>
              <w:t xml:space="preserve">WE ↓</w:t>
            </w:r>
          </w:p>
        </w:tc>
        <w:tc>
          <w:tcPr>
            <w:tcW w:type="dxa" w:w="21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0.055</w:t>
            </w:r>
          </w:p>
        </w:tc>
        <w:tc>
          <w:tcPr>
            <w:tcW w:type="dxa" w:w="22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0.047</w:t>
            </w:r>
          </w:p>
        </w:tc>
        <w:tc>
          <w:tcPr>
            <w:tcW w:type="dxa" w:w="162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b/>
                <w:color w:val="1E7D32"/>
                <w:sz w:val="18"/>
              </w:rPr>
              <w:t xml:space="preserve">−14.5%</w:t>
            </w:r>
          </w:p>
        </w:tc>
        <w:tc>
          <w:tcPr>
            <w:tcW w:type="dxa" w:w="18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b/>
                <w:color w:val="1E7D32"/>
                <w:sz w:val="18"/>
              </w:rPr>
              <w:t xml:space="preserve">better</w:t>
            </w:r>
          </w:p>
        </w:tc>
      </w:tr>
      <w:tr>
        <w:tc>
          <w:tcPr>
            <w:tcW w:type="dxa" w:w="252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left"/>
            </w:pPr>
            <w:r>
              <w:rPr>
                <w:b/>
                <w:sz w:val="18"/>
              </w:rPr>
              <w:t xml:space="preserve">MD ↓</w:t>
            </w:r>
          </w:p>
        </w:tc>
        <w:tc>
          <w:tcPr>
            <w:tcW w:type="dxa" w:w="21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9.25</w:t>
            </w:r>
          </w:p>
        </w:tc>
        <w:tc>
          <w:tcPr>
            <w:tcW w:type="dxa" w:w="22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8.50</w:t>
            </w:r>
          </w:p>
        </w:tc>
        <w:tc>
          <w:tcPr>
            <w:tcW w:type="dxa" w:w="162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b/>
                <w:color w:val="1E7D32"/>
                <w:sz w:val="18"/>
              </w:rPr>
              <w:t xml:space="preserve">−8.1%</w:t>
            </w:r>
          </w:p>
        </w:tc>
        <w:tc>
          <w:tcPr>
            <w:tcW w:type="dxa" w:w="18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b/>
                <w:color w:val="1E7D32"/>
                <w:sz w:val="18"/>
              </w:rPr>
              <w:t xml:space="preserve">better</w:t>
            </w:r>
          </w:p>
        </w:tc>
      </w:tr>
    </w:tbl>
    <w:p>
      <w:pPr>
        <w:spacing w:after="100" w:before="20"/>
      </w:pPr>
      <w:r>
        <w:rPr>
          <w:i/>
          <w:color w:val="555555"/>
          <w:sz w:val="18"/>
        </w:rPr>
        <w:t xml:space="preserve">All seven metrics reproduce within ~2% of the paper; edit-precision (WE, MD) is marginally better. MD is the sole stochastic metric (two full runs: 8.50 / 8.55).</w:t>
      </w:r>
    </w:p>
    <w:p>
      <w:pPr>
        <w:spacing w:before="200" w:after="60"/>
        <w:pBdr>
          <w:bottom w:val="single" w:sz="6" w:space="2" w:color="2E75B6"/>
        </w:pBdr>
      </w:pPr>
      <w:r>
        <w:rPr>
          <w:b/>
          <w:color w:val="1F3A5F"/>
          <w:sz w:val="26"/>
        </w:rPr>
        <w:t>4.  Phase 1 — Metric-Driven Diagnosis</w:t>
      </w:r>
    </w:p>
    <w:p>
      <w:pPr>
        <w:spacing w:after="80" w:before="40" w:line="276" w:lineRule="auto"/>
      </w:pPr>
      <w:r>
        <w:rPr>
          <w:sz w:val="20"/>
        </w:rPr>
        <w:t xml:space="preserve">To locate the weakness objectively, the 5,677 cases were grouped by difficulty (normalized tertiles over translation, rotation, scale, mask area) and by edit type, and every metric was recomputed per group.</w:t>
      </w:r>
    </w:p>
    <w:p>
      <w:pPr>
        <w:spacing w:after="40" w:before="160"/>
      </w:pPr>
      <w:r>
        <w:rPr>
          <w:b/>
          <w:i w:val="0"/>
          <w:color w:val="1F3A5F"/>
          <w:sz w:val="22"/>
        </w:rPr>
        <w:t>Results by difficulty (full set)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2400"/>
        <w:gridCol w:w="1740"/>
        <w:gridCol w:w="1740"/>
        <w:gridCol w:w="1740"/>
        <w:gridCol w:w="1740"/>
      </w:tblGrid>
      <w:tr>
        <w:tc>
          <w:tcPr>
            <w:tcW w:type="dxa" w:w="24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1F3A5F"/>
          </w:tcPr>
          <w:p>
            <w:pPr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Difficulty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1F3A5F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  <w:sz w:val="18"/>
              </w:rPr>
              <w:t xml:space="preserve">SUBC ↑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1F3A5F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  <w:sz w:val="18"/>
              </w:rPr>
              <w:t xml:space="preserve">BGC ↑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1F3A5F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  <w:sz w:val="18"/>
              </w:rPr>
              <w:t xml:space="preserve">WE ↓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1F3A5F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  <w:sz w:val="18"/>
              </w:rPr>
              <w:t xml:space="preserve">MD ↓</w:t>
            </w:r>
          </w:p>
        </w:tc>
      </w:tr>
      <w:tr>
        <w:tc>
          <w:tcPr>
            <w:tcW w:type="dxa" w:w="24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left"/>
            </w:pPr>
            <w:r>
              <w:rPr>
                <w:b/>
                <w:sz w:val="18"/>
              </w:rPr>
              <w:t xml:space="preserve">easy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0.942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0.971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0.046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4.85</w:t>
            </w:r>
          </w:p>
        </w:tc>
      </w:tr>
      <w:tr>
        <w:tc>
          <w:tcPr>
            <w:tcW w:type="dxa" w:w="24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left"/>
            </w:pPr>
            <w:r>
              <w:rPr>
                <w:b/>
                <w:sz w:val="18"/>
              </w:rPr>
              <w:t xml:space="preserve">medium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0.927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0.966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0.046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6.98</w:t>
            </w:r>
          </w:p>
        </w:tc>
      </w:tr>
      <w:tr>
        <w:tc>
          <w:tcPr>
            <w:tcW w:type="dxa" w:w="24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BEAEA"/>
          </w:tcPr>
          <w:p>
            <w:pPr>
              <w:spacing w:after="20" w:before="20"/>
              <w:jc w:val="left"/>
            </w:pPr>
            <w:r>
              <w:rPr>
                <w:b/>
                <w:sz w:val="18"/>
              </w:rPr>
              <w:t xml:space="preserve">hard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BEAEA"/>
          </w:tcPr>
          <w:p>
            <w:pPr>
              <w:spacing w:after="20" w:before="20"/>
              <w:jc w:val="center"/>
            </w:pPr>
            <w:r>
              <w:rPr>
                <w:b/>
                <w:color w:val="B02A2A"/>
                <w:sz w:val="18"/>
              </w:rPr>
              <w:t xml:space="preserve">0.865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BEAEA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0.964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BEAEA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0.050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BEAEA"/>
          </w:tcPr>
          <w:p>
            <w:pPr>
              <w:spacing w:after="20" w:before="20"/>
              <w:jc w:val="center"/>
            </w:pPr>
            <w:r>
              <w:rPr>
                <w:b/>
                <w:color w:val="B02A2A"/>
                <w:sz w:val="18"/>
              </w:rPr>
              <w:t xml:space="preserve">13.37</w:t>
            </w:r>
          </w:p>
        </w:tc>
      </w:tr>
    </w:tbl>
    <w:p>
      <w:pPr>
        <w:spacing w:after="40" w:before="160"/>
      </w:pPr>
      <w:r>
        <w:rPr>
          <w:b/>
          <w:i w:val="0"/>
          <w:color w:val="1F3A5F"/>
          <w:sz w:val="22"/>
        </w:rPr>
        <w:t>Results by edit type (full set)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2400"/>
        <w:gridCol w:w="1740"/>
        <w:gridCol w:w="1740"/>
        <w:gridCol w:w="1740"/>
        <w:gridCol w:w="1740"/>
      </w:tblGrid>
      <w:tr>
        <w:tc>
          <w:tcPr>
            <w:tcW w:type="dxa" w:w="24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1F3A5F"/>
          </w:tcPr>
          <w:p>
            <w:pPr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Edit type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1F3A5F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  <w:sz w:val="18"/>
              </w:rPr>
              <w:t xml:space="preserve">SUBC ↑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1F3A5F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  <w:sz w:val="18"/>
              </w:rPr>
              <w:t xml:space="preserve">BGC ↑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1F3A5F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  <w:sz w:val="18"/>
              </w:rPr>
              <w:t xml:space="preserve">WE ↓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1F3A5F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  <w:sz w:val="18"/>
              </w:rPr>
              <w:t xml:space="preserve">MD ↓</w:t>
            </w:r>
          </w:p>
        </w:tc>
      </w:tr>
      <w:tr>
        <w:tc>
          <w:tcPr>
            <w:tcW w:type="dxa" w:w="24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left"/>
            </w:pPr>
            <w:r>
              <w:rPr>
                <w:b/>
                <w:sz w:val="18"/>
              </w:rPr>
              <w:t xml:space="preserve">move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0.959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0.967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0.049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3.75</w:t>
            </w:r>
          </w:p>
        </w:tc>
      </w:tr>
      <w:tr>
        <w:tc>
          <w:tcPr>
            <w:tcW w:type="dxa" w:w="24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BEAEA"/>
          </w:tcPr>
          <w:p>
            <w:pPr>
              <w:spacing w:after="20" w:before="20"/>
              <w:jc w:val="left"/>
            </w:pPr>
            <w:r>
              <w:rPr>
                <w:b/>
                <w:sz w:val="18"/>
              </w:rPr>
              <w:t xml:space="preserve">rotate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BEAEA"/>
          </w:tcPr>
          <w:p>
            <w:pPr>
              <w:spacing w:after="20" w:before="20"/>
              <w:jc w:val="center"/>
            </w:pPr>
            <w:r>
              <w:rPr>
                <w:b/>
                <w:color w:val="B02A2A"/>
                <w:sz w:val="18"/>
              </w:rPr>
              <w:t xml:space="preserve">0.901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BEAEA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0.967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BEAEA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0.043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BEAEA"/>
          </w:tcPr>
          <w:p>
            <w:pPr>
              <w:spacing w:after="20" w:before="20"/>
              <w:jc w:val="center"/>
            </w:pPr>
            <w:r>
              <w:rPr>
                <w:b/>
                <w:color w:val="B02A2A"/>
                <w:sz w:val="18"/>
              </w:rPr>
              <w:t xml:space="preserve">10.43</w:t>
            </w:r>
          </w:p>
        </w:tc>
      </w:tr>
      <w:tr>
        <w:tc>
          <w:tcPr>
            <w:tcW w:type="dxa" w:w="24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BEAEA"/>
          </w:tcPr>
          <w:p>
            <w:pPr>
              <w:spacing w:after="20" w:before="20"/>
              <w:jc w:val="left"/>
            </w:pPr>
            <w:r>
              <w:rPr>
                <w:b/>
                <w:sz w:val="18"/>
              </w:rPr>
              <w:t xml:space="preserve">resize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BEAEA"/>
          </w:tcPr>
          <w:p>
            <w:pPr>
              <w:spacing w:after="20" w:before="20"/>
              <w:jc w:val="center"/>
            </w:pPr>
            <w:r>
              <w:rPr>
                <w:b/>
                <w:color w:val="B02A2A"/>
                <w:sz w:val="18"/>
              </w:rPr>
              <w:t xml:space="preserve">0.892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BEAEA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0.967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BEAEA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0.049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BEAEA"/>
          </w:tcPr>
          <w:p>
            <w:pPr>
              <w:spacing w:after="20" w:before="20"/>
              <w:jc w:val="center"/>
            </w:pPr>
            <w:r>
              <w:rPr>
                <w:b/>
                <w:color w:val="B02A2A"/>
                <w:sz w:val="18"/>
              </w:rPr>
              <w:t xml:space="preserve">9.96</w:t>
            </w:r>
          </w:p>
        </w:tc>
      </w:tr>
    </w:tbl>
    <w:p>
      <w:pPr>
        <w:pStyle w:val="ListBullet"/>
        <w:spacing w:after="40" w:line="252" w:lineRule="auto"/>
      </w:pPr>
      <w:r>
        <w:rPr>
          <w:b/>
          <w:sz w:val="20"/>
        </w:rPr>
        <w:t xml:space="preserve">Move is solved: </w:t>
      </w:r>
      <w:r>
        <w:rPr>
          <w:b w:val="0"/>
          <w:sz w:val="20"/>
        </w:rPr>
        <w:t xml:space="preserve">MD ~3.8, SUBC 0.96 — translation is effectively handled.</w:t>
      </w:r>
    </w:p>
    <w:p>
      <w:pPr>
        <w:pStyle w:val="ListBullet"/>
        <w:spacing w:after="40" w:line="252" w:lineRule="auto"/>
      </w:pPr>
      <w:r>
        <w:rPr>
          <w:b/>
          <w:sz w:val="20"/>
        </w:rPr>
        <w:t xml:space="preserve">Rotate/resize collapse on hard edits: </w:t>
      </w:r>
      <w:r>
        <w:rPr>
          <w:b w:val="0"/>
          <w:sz w:val="20"/>
        </w:rPr>
        <w:t xml:space="preserve">MD rises ~4× (easy 4.85 → hard 13.37) and SUBC falls to ~0.87.</w:t>
      </w:r>
    </w:p>
    <w:p>
      <w:pPr>
        <w:pStyle w:val="ListBullet"/>
        <w:spacing w:after="40" w:line="252" w:lineRule="auto"/>
      </w:pPr>
      <w:r>
        <w:rPr>
          <w:b/>
          <w:sz w:val="20"/>
        </w:rPr>
        <w:t xml:space="preserve">Background and pixel-refinement stay flat: </w:t>
      </w:r>
      <w:r>
        <w:rPr>
          <w:b w:val="0"/>
          <w:sz w:val="20"/>
        </w:rPr>
        <w:t xml:space="preserve">BGC ≈ 0.967, WE ≈ 0.043–0.050 across all groups.</w:t>
      </w:r>
    </w:p>
    <w:p>
      <w:pPr>
        <w:spacing w:after="80" w:before="40" w:line="276" w:lineRule="auto"/>
      </w:pPr>
      <w:r>
        <w:rPr>
          <w:sz w:val="20"/>
        </w:rPr>
        <w:t xml:space="preserve">Interpretation: FreeFine preserves background and pixel-refines the edited region well; what it loses under large shape-changing edits is the object’s structure/identity — a failure captured by SUBC and MD but not by the pixel-level WE. The improvement target is therefore subject-structural fidelity on hard rotate/resize.</w:t>
      </w:r>
    </w:p>
    <w:p>
      <w:pPr>
        <w:pageBreakBefore/>
        <w:spacing w:before="200" w:after="60"/>
        <w:pBdr>
          <w:bottom w:val="single" w:sz="6" w:space="2" w:color="2E75B6"/>
        </w:pBdr>
      </w:pPr>
      <w:r>
        <w:rPr>
          <w:b/>
          <w:color w:val="1F3A5F"/>
          <w:sz w:val="26"/>
        </w:rPr>
        <w:t>5.  Phase 2 — Controllability Sweep (falsification #1)</w:t>
      </w:r>
    </w:p>
    <w:p>
      <w:pPr>
        <w:spacing w:after="80" w:before="40" w:line="276" w:lineRule="auto"/>
      </w:pPr>
      <w:r>
        <w:rPr>
          <w:sz w:val="20"/>
        </w:rPr>
        <w:t xml:space="preserve">Before any architectural change, we asked whether FreeFine’s own controls can recover the failure. Three control families were swept on the balanced-200 subset with seeded MD: the TCA injection start-step, the modulated UNet attention layers, and classifier-free guidance via the object label. Two corrections were required first (a hardcoded attention-layer range that silenced the layer control; an empty text prompt that left CFG inactive); both were verified live afterwards.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2520"/>
        <w:gridCol w:w="2280"/>
        <w:gridCol w:w="2280"/>
        <w:gridCol w:w="2280"/>
      </w:tblGrid>
      <w:tr>
        <w:tc>
          <w:tcPr>
            <w:tcW w:type="dxa" w:w="252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1F3A5F"/>
          </w:tcPr>
          <w:p>
            <w:pPr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Variant</w:t>
            </w:r>
          </w:p>
        </w:tc>
        <w:tc>
          <w:tcPr>
            <w:tcW w:type="dxa" w:w="22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1F3A5F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  <w:sz w:val="18"/>
              </w:rPr>
              <w:t xml:space="preserve">rotate_hard SUBC</w:t>
            </w:r>
          </w:p>
        </w:tc>
        <w:tc>
          <w:tcPr>
            <w:tcW w:type="dxa" w:w="22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1F3A5F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  <w:sz w:val="18"/>
              </w:rPr>
              <w:t xml:space="preserve">resize_hard SUBC</w:t>
            </w:r>
          </w:p>
        </w:tc>
        <w:tc>
          <w:tcPr>
            <w:tcW w:type="dxa" w:w="22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1F3A5F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  <w:sz w:val="18"/>
              </w:rPr>
              <w:t xml:space="preserve">resize_hard MD</w:t>
            </w:r>
          </w:p>
        </w:tc>
      </w:tr>
      <w:tr>
        <w:tc>
          <w:tcPr>
            <w:tcW w:type="dxa" w:w="252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left"/>
            </w:pPr>
            <w:r>
              <w:rPr>
                <w:b/>
                <w:sz w:val="18"/>
              </w:rPr>
              <w:t xml:space="preserve">baseline (ss35)</w:t>
            </w:r>
          </w:p>
        </w:tc>
        <w:tc>
          <w:tcPr>
            <w:tcW w:type="dxa" w:w="22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0.8523</w:t>
            </w:r>
          </w:p>
        </w:tc>
        <w:tc>
          <w:tcPr>
            <w:tcW w:type="dxa" w:w="22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0.8391</w:t>
            </w:r>
          </w:p>
        </w:tc>
        <w:tc>
          <w:tcPr>
            <w:tcW w:type="dxa" w:w="22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19.47</w:t>
            </w:r>
          </w:p>
        </w:tc>
      </w:tr>
      <w:tr>
        <w:tc>
          <w:tcPr>
            <w:tcW w:type="dxa" w:w="252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left"/>
            </w:pPr>
            <w:r>
              <w:rPr>
                <w:b/>
                <w:sz w:val="18"/>
              </w:rPr>
              <w:t xml:space="preserve">start_step 45</w:t>
            </w:r>
          </w:p>
        </w:tc>
        <w:tc>
          <w:tcPr>
            <w:tcW w:type="dxa" w:w="22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0.8529</w:t>
            </w:r>
          </w:p>
        </w:tc>
        <w:tc>
          <w:tcPr>
            <w:tcW w:type="dxa" w:w="22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0.8414</w:t>
            </w:r>
          </w:p>
        </w:tc>
        <w:tc>
          <w:tcPr>
            <w:tcW w:type="dxa" w:w="22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18.09</w:t>
            </w:r>
          </w:p>
        </w:tc>
      </w:tr>
      <w:tr>
        <w:tc>
          <w:tcPr>
            <w:tcW w:type="dxa" w:w="252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left"/>
            </w:pPr>
            <w:r>
              <w:rPr>
                <w:b/>
                <w:sz w:val="18"/>
              </w:rPr>
              <w:t xml:space="preserve">start_layer 8</w:t>
            </w:r>
          </w:p>
        </w:tc>
        <w:tc>
          <w:tcPr>
            <w:tcW w:type="dxa" w:w="22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0.8522</w:t>
            </w:r>
          </w:p>
        </w:tc>
        <w:tc>
          <w:tcPr>
            <w:tcW w:type="dxa" w:w="22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0.8382</w:t>
            </w:r>
          </w:p>
        </w:tc>
        <w:tc>
          <w:tcPr>
            <w:tcW w:type="dxa" w:w="22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21.61</w:t>
            </w:r>
          </w:p>
        </w:tc>
      </w:tr>
      <w:tr>
        <w:tc>
          <w:tcPr>
            <w:tcW w:type="dxa" w:w="252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left"/>
            </w:pPr>
            <w:r>
              <w:rPr>
                <w:b/>
                <w:sz w:val="18"/>
              </w:rPr>
              <w:t xml:space="preserve">prompt-CFG 10</w:t>
            </w:r>
          </w:p>
        </w:tc>
        <w:tc>
          <w:tcPr>
            <w:tcW w:type="dxa" w:w="22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0.8529</w:t>
            </w:r>
          </w:p>
        </w:tc>
        <w:tc>
          <w:tcPr>
            <w:tcW w:type="dxa" w:w="22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0.8391</w:t>
            </w:r>
          </w:p>
        </w:tc>
        <w:tc>
          <w:tcPr>
            <w:tcW w:type="dxa" w:w="22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17.75</w:t>
            </w:r>
          </w:p>
        </w:tc>
      </w:tr>
    </w:tbl>
    <w:p>
      <w:pPr>
        <w:pStyle w:val="ListBullet"/>
        <w:spacing w:after="40" w:line="252" w:lineRule="auto"/>
      </w:pPr>
      <w:r>
        <w:rPr>
          <w:b/>
          <w:sz w:val="20"/>
        </w:rPr>
        <w:t xml:space="preserve">SUBC is pinned: </w:t>
      </w:r>
      <w:r>
        <w:rPr>
          <w:b w:val="0"/>
          <w:sz w:val="20"/>
        </w:rPr>
        <w:t xml:space="preserve">across the full sweep, hard-group SUBC stays within 0.8517–0.8529 (rotate) and 0.832–0.841 (resize) — controls can damage it but none lift it.</w:t>
      </w:r>
    </w:p>
    <w:p>
      <w:pPr>
        <w:pStyle w:val="ListBullet"/>
        <w:spacing w:after="40" w:line="252" w:lineRule="auto"/>
      </w:pPr>
      <w:r>
        <w:rPr>
          <w:b/>
          <w:sz w:val="20"/>
        </w:rPr>
        <w:t xml:space="preserve">start_layer: </w:t>
      </w:r>
      <w:r>
        <w:rPr>
          <w:b w:val="0"/>
          <w:sz w:val="20"/>
        </w:rPr>
        <w:t xml:space="preserve">verified live but a negative result (neutral on rotate, harmful on resize).</w:t>
      </w:r>
    </w:p>
    <w:p>
      <w:pPr>
        <w:pStyle w:val="ListBullet"/>
        <w:spacing w:after="40" w:line="252" w:lineRule="auto"/>
      </w:pPr>
      <w:r>
        <w:rPr>
          <w:b/>
          <w:sz w:val="20"/>
        </w:rPr>
        <w:t xml:space="preserve">Prompt-CFG: </w:t>
      </w:r>
      <w:r>
        <w:rPr>
          <w:b w:val="0"/>
          <w:sz w:val="20"/>
        </w:rPr>
        <w:t xml:space="preserve">one narrow real signal — resize_hard MD 19.47 → 17.75 — but no SUBC gain and slightly worse on rotate.</w:t>
      </w:r>
    </w:p>
    <w:p>
      <w:pPr>
        <w:spacing w:after="100" w:before="20"/>
      </w:pPr>
      <w:r>
        <w:rPr>
          <w:i/>
          <w:color w:val="555555"/>
          <w:sz w:val="18"/>
        </w:rPr>
        <w:t xml:space="preserve">Conclusion: scalar/configuration tuning is exhausted; the bottleneck is mechanistic, not a hyperparameter.</w:t>
      </w:r>
    </w:p>
    <w:p>
      <w:pPr>
        <w:spacing w:before="200" w:after="60"/>
        <w:pBdr>
          <w:bottom w:val="single" w:sz="6" w:space="2" w:color="2E75B6"/>
        </w:pBdr>
      </w:pPr>
      <w:r>
        <w:rPr>
          <w:b/>
          <w:color w:val="1F3A5F"/>
          <w:sz w:val="26"/>
        </w:rPr>
        <w:t>6.  Phase B1 — Input Quality and Injection Strength (falsification #2)</w:t>
      </w:r>
    </w:p>
    <w:p>
      <w:pPr>
        <w:spacing w:after="80" w:before="40" w:line="276" w:lineRule="auto"/>
      </w:pPr>
      <w:r>
        <w:rPr>
          <w:sz w:val="20"/>
        </w:rPr>
        <w:t xml:space="preserve">Two cheap architectural levers: AA-Warp (supersampled-Lanczos coarse warp, removing aliasing) and Adaptive-ES (difficulty-scaled end_scale, the unswept floor of the structure-injection schedule).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2400"/>
        <w:gridCol w:w="1800"/>
        <w:gridCol w:w="1800"/>
        <w:gridCol w:w="1800"/>
        <w:gridCol w:w="1560"/>
      </w:tblGrid>
      <w:tr>
        <w:tc>
          <w:tcPr>
            <w:tcW w:type="dxa" w:w="24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1F3A5F"/>
          </w:tcPr>
          <w:p>
            <w:pPr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Variant</w:t>
            </w:r>
          </w:p>
        </w:tc>
        <w:tc>
          <w:tcPr>
            <w:tcW w:type="dxa" w:w="18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1F3A5F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  <w:sz w:val="18"/>
              </w:rPr>
              <w:t xml:space="preserve">rot_h SUBC</w:t>
            </w:r>
          </w:p>
        </w:tc>
        <w:tc>
          <w:tcPr>
            <w:tcW w:type="dxa" w:w="18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1F3A5F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  <w:sz w:val="18"/>
              </w:rPr>
              <w:t xml:space="preserve">res_h SUBC</w:t>
            </w:r>
          </w:p>
        </w:tc>
        <w:tc>
          <w:tcPr>
            <w:tcW w:type="dxa" w:w="18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1F3A5F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  <w:sz w:val="18"/>
              </w:rPr>
              <w:t xml:space="preserve">res_h MD</w:t>
            </w:r>
          </w:p>
        </w:tc>
        <w:tc>
          <w:tcPr>
            <w:tcW w:type="dxa" w:w="156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1F3A5F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  <w:sz w:val="18"/>
              </w:rPr>
              <w:t xml:space="preserve">all200 WE</w:t>
            </w:r>
          </w:p>
        </w:tc>
      </w:tr>
      <w:tr>
        <w:tc>
          <w:tcPr>
            <w:tcW w:type="dxa" w:w="24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left"/>
            </w:pPr>
            <w:r>
              <w:rPr>
                <w:b/>
                <w:sz w:val="18"/>
              </w:rPr>
              <w:t xml:space="preserve">baseline</w:t>
            </w:r>
          </w:p>
        </w:tc>
        <w:tc>
          <w:tcPr>
            <w:tcW w:type="dxa" w:w="18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0.8523</w:t>
            </w:r>
          </w:p>
        </w:tc>
        <w:tc>
          <w:tcPr>
            <w:tcW w:type="dxa" w:w="18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0.8391</w:t>
            </w:r>
          </w:p>
        </w:tc>
        <w:tc>
          <w:tcPr>
            <w:tcW w:type="dxa" w:w="18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19.47</w:t>
            </w:r>
          </w:p>
        </w:tc>
        <w:tc>
          <w:tcPr>
            <w:tcW w:type="dxa" w:w="156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0.0488</w:t>
            </w:r>
          </w:p>
        </w:tc>
      </w:tr>
      <w:tr>
        <w:tc>
          <w:tcPr>
            <w:tcW w:type="dxa" w:w="24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left"/>
            </w:pPr>
            <w:r>
              <w:rPr>
                <w:b/>
                <w:sz w:val="18"/>
              </w:rPr>
              <w:t xml:space="preserve">AA-Warp</w:t>
            </w:r>
          </w:p>
        </w:tc>
        <w:tc>
          <w:tcPr>
            <w:tcW w:type="dxa" w:w="18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0.8537</w:t>
            </w:r>
          </w:p>
        </w:tc>
        <w:tc>
          <w:tcPr>
            <w:tcW w:type="dxa" w:w="18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0.8403</w:t>
            </w:r>
          </w:p>
        </w:tc>
        <w:tc>
          <w:tcPr>
            <w:tcW w:type="dxa" w:w="18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19.67</w:t>
            </w:r>
          </w:p>
        </w:tc>
        <w:tc>
          <w:tcPr>
            <w:tcW w:type="dxa" w:w="156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0.0486</w:t>
            </w:r>
          </w:p>
        </w:tc>
      </w:tr>
      <w:tr>
        <w:tc>
          <w:tcPr>
            <w:tcW w:type="dxa" w:w="24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left"/>
            </w:pPr>
            <w:r>
              <w:rPr>
                <w:b/>
                <w:sz w:val="18"/>
              </w:rPr>
              <w:t xml:space="preserve">end_scale 0.25</w:t>
            </w:r>
          </w:p>
        </w:tc>
        <w:tc>
          <w:tcPr>
            <w:tcW w:type="dxa" w:w="18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0.8524</w:t>
            </w:r>
          </w:p>
        </w:tc>
        <w:tc>
          <w:tcPr>
            <w:tcW w:type="dxa" w:w="18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0.8388</w:t>
            </w:r>
          </w:p>
        </w:tc>
        <w:tc>
          <w:tcPr>
            <w:tcW w:type="dxa" w:w="18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22.06</w:t>
            </w:r>
          </w:p>
        </w:tc>
        <w:tc>
          <w:tcPr>
            <w:tcW w:type="dxa" w:w="156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0.0492</w:t>
            </w:r>
          </w:p>
        </w:tc>
      </w:tr>
      <w:tr>
        <w:tc>
          <w:tcPr>
            <w:tcW w:type="dxa" w:w="24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BEAEA"/>
          </w:tcPr>
          <w:p>
            <w:pPr>
              <w:spacing w:after="20" w:before="20"/>
              <w:jc w:val="left"/>
            </w:pPr>
            <w:r>
              <w:rPr>
                <w:b/>
                <w:sz w:val="18"/>
              </w:rPr>
              <w:t xml:space="preserve">end_scale 0.50</w:t>
            </w:r>
          </w:p>
        </w:tc>
        <w:tc>
          <w:tcPr>
            <w:tcW w:type="dxa" w:w="18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BEAEA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0.8522</w:t>
            </w:r>
          </w:p>
        </w:tc>
        <w:tc>
          <w:tcPr>
            <w:tcW w:type="dxa" w:w="18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BEAEA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0.8380</w:t>
            </w:r>
          </w:p>
        </w:tc>
        <w:tc>
          <w:tcPr>
            <w:tcW w:type="dxa" w:w="18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BEAEA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24.45</w:t>
            </w:r>
          </w:p>
        </w:tc>
        <w:tc>
          <w:tcPr>
            <w:tcW w:type="dxa" w:w="156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BEAEA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0.0498</w:t>
            </w:r>
          </w:p>
        </w:tc>
      </w:tr>
    </w:tbl>
    <w:p>
      <w:pPr>
        <w:pStyle w:val="ListBullet"/>
        <w:spacing w:after="40" w:line="252" w:lineRule="auto"/>
      </w:pPr>
      <w:r>
        <w:rPr>
          <w:b/>
          <w:sz w:val="20"/>
        </w:rPr>
        <w:t xml:space="preserve">end_scale is a clean negative: </w:t>
      </w:r>
      <w:r>
        <w:rPr>
          <w:b w:val="0"/>
          <w:sz w:val="20"/>
        </w:rPr>
        <w:t xml:space="preserve">raising the injection floor hurts monotonically (resize MD 19.47 → 24.45). Baseline (decay to 0) is already optimal.</w:t>
      </w:r>
    </w:p>
    <w:p>
      <w:pPr>
        <w:pStyle w:val="ListBullet"/>
        <w:spacing w:after="40" w:line="252" w:lineRule="auto"/>
      </w:pPr>
      <w:r>
        <w:rPr>
          <w:b/>
          <w:sz w:val="20"/>
        </w:rPr>
        <w:t xml:space="preserve">AA-Warp is hygiene, not a fix: </w:t>
      </w:r>
      <w:r>
        <w:rPr>
          <w:b w:val="0"/>
          <w:sz w:val="20"/>
        </w:rPr>
        <w:t xml:space="preserve">tiny SUBC nudge and better WE, but no movement on the bottleneck — a third confirmation that input quality and injection strength are not the issue.</w:t>
      </w:r>
    </w:p>
    <w:p>
      <w:pPr>
        <w:spacing w:before="200" w:after="60"/>
        <w:pBdr>
          <w:bottom w:val="single" w:sz="6" w:space="2" w:color="2E75B6"/>
        </w:pBdr>
      </w:pPr>
      <w:r>
        <w:rPr>
          <w:b/>
          <w:color w:val="1F3A5F"/>
          <w:sz w:val="26"/>
        </w:rPr>
        <w:t>7.  Phase B2 — Semantic-Identity Conditioning (falsification #3)</w:t>
      </w:r>
    </w:p>
    <w:p>
      <w:pPr>
        <w:spacing w:after="80" w:before="40" w:line="276" w:lineRule="auto"/>
      </w:pPr>
      <w:r>
        <w:rPr>
          <w:sz w:val="20"/>
        </w:rPr>
        <w:t xml:space="preserve">We integrated IP-Adapter (SD-1.5) into the refinement: the source-object crop is fed as an image prompt, scoped to the target mask, injecting CLIP-image identity through a rotation/scale-tolerant channel. Scales 0.5–1.4 were swept.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2520"/>
        <w:gridCol w:w="2280"/>
        <w:gridCol w:w="2280"/>
        <w:gridCol w:w="2280"/>
      </w:tblGrid>
      <w:tr>
        <w:tc>
          <w:tcPr>
            <w:tcW w:type="dxa" w:w="252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1F3A5F"/>
          </w:tcPr>
          <w:p>
            <w:pPr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IP scale</w:t>
            </w:r>
          </w:p>
        </w:tc>
        <w:tc>
          <w:tcPr>
            <w:tcW w:type="dxa" w:w="22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1F3A5F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  <w:sz w:val="18"/>
              </w:rPr>
              <w:t xml:space="preserve">rotate_hard SUBC</w:t>
            </w:r>
          </w:p>
        </w:tc>
        <w:tc>
          <w:tcPr>
            <w:tcW w:type="dxa" w:w="22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1F3A5F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  <w:sz w:val="18"/>
              </w:rPr>
              <w:t xml:space="preserve">resize_hard SUBC</w:t>
            </w:r>
          </w:p>
        </w:tc>
        <w:tc>
          <w:tcPr>
            <w:tcW w:type="dxa" w:w="22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1F3A5F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  <w:sz w:val="18"/>
              </w:rPr>
              <w:t xml:space="preserve">all_200 SUBC</w:t>
            </w:r>
          </w:p>
        </w:tc>
      </w:tr>
      <w:tr>
        <w:tc>
          <w:tcPr>
            <w:tcW w:type="dxa" w:w="252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left"/>
            </w:pPr>
            <w:r>
              <w:rPr>
                <w:b/>
                <w:sz w:val="18"/>
              </w:rPr>
              <w:t xml:space="preserve">baseline</w:t>
            </w:r>
          </w:p>
        </w:tc>
        <w:tc>
          <w:tcPr>
            <w:tcW w:type="dxa" w:w="22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0.8523</w:t>
            </w:r>
          </w:p>
        </w:tc>
        <w:tc>
          <w:tcPr>
            <w:tcW w:type="dxa" w:w="22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0.8391</w:t>
            </w:r>
          </w:p>
        </w:tc>
        <w:tc>
          <w:tcPr>
            <w:tcW w:type="dxa" w:w="22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0.9154</w:t>
            </w:r>
          </w:p>
        </w:tc>
      </w:tr>
      <w:tr>
        <w:tc>
          <w:tcPr>
            <w:tcW w:type="dxa" w:w="252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left"/>
            </w:pPr>
            <w:r>
              <w:rPr>
                <w:b/>
                <w:sz w:val="18"/>
              </w:rPr>
              <w:t xml:space="preserve">0.5</w:t>
            </w:r>
          </w:p>
        </w:tc>
        <w:tc>
          <w:tcPr>
            <w:tcW w:type="dxa" w:w="22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0.8523</w:t>
            </w:r>
          </w:p>
        </w:tc>
        <w:tc>
          <w:tcPr>
            <w:tcW w:type="dxa" w:w="22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0.8396</w:t>
            </w:r>
          </w:p>
        </w:tc>
        <w:tc>
          <w:tcPr>
            <w:tcW w:type="dxa" w:w="22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0.9154</w:t>
            </w:r>
          </w:p>
        </w:tc>
      </w:tr>
      <w:tr>
        <w:tc>
          <w:tcPr>
            <w:tcW w:type="dxa" w:w="252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left"/>
            </w:pPr>
            <w:r>
              <w:rPr>
                <w:b/>
                <w:sz w:val="18"/>
              </w:rPr>
              <w:t xml:space="preserve">0.8</w:t>
            </w:r>
          </w:p>
        </w:tc>
        <w:tc>
          <w:tcPr>
            <w:tcW w:type="dxa" w:w="22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0.8518</w:t>
            </w:r>
          </w:p>
        </w:tc>
        <w:tc>
          <w:tcPr>
            <w:tcW w:type="dxa" w:w="22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0.8394</w:t>
            </w:r>
          </w:p>
        </w:tc>
        <w:tc>
          <w:tcPr>
            <w:tcW w:type="dxa" w:w="22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0.9153</w:t>
            </w:r>
          </w:p>
        </w:tc>
      </w:tr>
      <w:tr>
        <w:tc>
          <w:tcPr>
            <w:tcW w:type="dxa" w:w="252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left"/>
            </w:pPr>
            <w:r>
              <w:rPr>
                <w:b/>
                <w:sz w:val="18"/>
              </w:rPr>
              <w:t xml:space="preserve">1.1</w:t>
            </w:r>
          </w:p>
        </w:tc>
        <w:tc>
          <w:tcPr>
            <w:tcW w:type="dxa" w:w="22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0.8512</w:t>
            </w:r>
          </w:p>
        </w:tc>
        <w:tc>
          <w:tcPr>
            <w:tcW w:type="dxa" w:w="22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0.8393</w:t>
            </w:r>
          </w:p>
        </w:tc>
        <w:tc>
          <w:tcPr>
            <w:tcW w:type="dxa" w:w="22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0.9150</w:t>
            </w:r>
          </w:p>
        </w:tc>
      </w:tr>
      <w:tr>
        <w:tc>
          <w:tcPr>
            <w:tcW w:type="dxa" w:w="252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BEAEA"/>
          </w:tcPr>
          <w:p>
            <w:pPr>
              <w:spacing w:after="20" w:before="20"/>
              <w:jc w:val="left"/>
            </w:pPr>
            <w:r>
              <w:rPr>
                <w:b/>
                <w:sz w:val="18"/>
              </w:rPr>
              <w:t xml:space="preserve">1.4</w:t>
            </w:r>
          </w:p>
        </w:tc>
        <w:tc>
          <w:tcPr>
            <w:tcW w:type="dxa" w:w="22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BEAEA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0.8502</w:t>
            </w:r>
          </w:p>
        </w:tc>
        <w:tc>
          <w:tcPr>
            <w:tcW w:type="dxa" w:w="22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BEAEA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0.8390</w:t>
            </w:r>
          </w:p>
        </w:tc>
        <w:tc>
          <w:tcPr>
            <w:tcW w:type="dxa" w:w="22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BEAEA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0.9147</w:t>
            </w:r>
          </w:p>
        </w:tc>
      </w:tr>
    </w:tbl>
    <w:p>
      <w:pPr>
        <w:pStyle w:val="ListBullet"/>
        <w:spacing w:after="40" w:line="252" w:lineRule="auto"/>
      </w:pPr>
      <w:r>
        <w:rPr>
          <w:b/>
          <w:sz w:val="20"/>
        </w:rPr>
        <w:t xml:space="preserve">Monotone degradation: </w:t>
      </w:r>
      <w:r>
        <w:rPr>
          <w:b w:val="0"/>
          <w:sz w:val="20"/>
        </w:rPr>
        <w:t xml:space="preserve">on rotate_hard SUBC falls cleanly 0.8523 → 0.8502 as IP strength rises — more identity conditioning means worse rotation identity. SUBC is deterministic, so this 4-point trend is real.</w:t>
      </w:r>
    </w:p>
    <w:p>
      <w:pPr>
        <w:spacing w:after="80" w:before="40" w:line="276" w:lineRule="auto"/>
      </w:pPr>
      <w:r>
        <w:rPr>
          <w:sz w:val="20"/>
        </w:rPr>
        <w:t xml:space="preserve">Interpretation: the 4-token base adapter injects coarse semantic identity (“what the object is”), not the fine geometric structure SUBC scores. The diagnosed failure is structural, not semantic-forgetting, so identity conditioning treats the wrong problem — ruling out a third hypothesis class.</w:t>
      </w:r>
    </w:p>
    <w:p>
      <w:pPr>
        <w:pageBreakBefore/>
        <w:spacing w:before="200" w:after="60"/>
        <w:pBdr>
          <w:bottom w:val="single" w:sz="6" w:space="2" w:color="2E75B6"/>
        </w:pBdr>
      </w:pPr>
      <w:r>
        <w:rPr>
          <w:b/>
          <w:color w:val="1F3A5F"/>
          <w:sz w:val="26"/>
        </w:rPr>
        <w:t>8.  Phase B3 — Geometry-Aligned TCA (the core architectural study)</w:t>
      </w:r>
    </w:p>
    <w:p>
      <w:pPr>
        <w:spacing w:after="80" w:before="40" w:line="276" w:lineRule="auto"/>
      </w:pPr>
      <w:r>
        <w:rPr>
          <w:sz w:val="20"/>
        </w:rPr>
        <w:t xml:space="preserve">Code-level diagnosis (verified in source): FreeFine’s TCA lets the target-pose query attend to the original source-pose key/value through a column mask only — there is no geometric correspondence; matching is left to feature similarity, which fails under rotation/scale. The per-edit affine transform, though known, is never used inside attention. We built a geometry-aware TCA realized at three architectural levels, all training-free and flag-gated:</w:t>
      </w:r>
    </w:p>
    <w:p>
      <w:pPr>
        <w:pStyle w:val="ListBullet"/>
        <w:spacing w:after="40" w:line="252" w:lineRule="auto"/>
      </w:pPr>
      <w:r>
        <w:rPr>
          <w:b/>
          <w:sz w:val="20"/>
        </w:rPr>
        <w:t xml:space="preserve">G2 — correspondence bias (selection level): </w:t>
      </w:r>
      <w:r>
        <w:rPr>
          <w:b w:val="0"/>
          <w:sz w:val="20"/>
        </w:rPr>
        <w:t xml:space="preserve">add a Gaussian prior to the attention logits so a target query attends to its geometrically-corresponding source token.</w:t>
      </w:r>
    </w:p>
    <w:p>
      <w:pPr>
        <w:pStyle w:val="ListBullet"/>
        <w:spacing w:after="40" w:line="252" w:lineRule="auto"/>
      </w:pPr>
      <w:r>
        <w:rPr>
          <w:b/>
          <w:sz w:val="20"/>
        </w:rPr>
        <w:t xml:space="preserve">G1 — warped key/value (representation level): </w:t>
      </w:r>
      <w:r>
        <w:rPr>
          <w:b w:val="0"/>
          <w:sz w:val="20"/>
        </w:rPr>
        <w:t xml:space="preserve">resample the reference feature field by the affine transform so source features are physically relocated to the target geometry.</w:t>
      </w:r>
    </w:p>
    <w:p>
      <w:pPr>
        <w:pStyle w:val="ListBullet"/>
        <w:spacing w:after="40" w:line="252" w:lineRule="auto"/>
      </w:pPr>
      <w:r>
        <w:rPr>
          <w:b/>
          <w:sz w:val="20"/>
        </w:rPr>
        <w:t xml:space="preserve">R²-TCA — warped reference (input level): </w:t>
      </w:r>
      <w:r>
        <w:rPr>
          <w:b w:val="0"/>
          <w:sz w:val="20"/>
        </w:rPr>
        <w:t xml:space="preserve">give the reference branch the source already warped to target pose, so correspondence becomes near-identity.</w:t>
      </w:r>
    </w:p>
    <w:p>
      <w:pPr>
        <w:pStyle w:val="ListBullet"/>
        <w:spacing w:after="40" w:line="252" w:lineRule="auto"/>
      </w:pPr>
      <w:r>
        <w:rPr>
          <w:b/>
          <w:sz w:val="20"/>
        </w:rPr>
        <w:t xml:space="preserve">G3 — validity gating: </w:t>
      </w:r>
      <w:r>
        <w:rPr>
          <w:b w:val="0"/>
          <w:sz w:val="20"/>
        </w:rPr>
        <w:t xml:space="preserve">disoccluded target tokens (no source correspondence) fall back to self-attention.</w:t>
      </w:r>
    </w:p>
    <w:p>
      <w:pPr>
        <w:spacing w:after="80" w:before="40" w:line="276" w:lineRule="auto"/>
      </w:pPr>
      <w:r>
        <w:rPr>
          <w:sz w:val="20"/>
        </w:rPr>
        <w:t xml:space="preserve">All mechanisms were unit-tested on CPU (translation maps 64/64 tokens; 30° rotation within 0.66 cells) before any GPU run.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2400"/>
        <w:gridCol w:w="1740"/>
        <w:gridCol w:w="1740"/>
        <w:gridCol w:w="1740"/>
        <w:gridCol w:w="1560"/>
      </w:tblGrid>
      <w:tr>
        <w:tc>
          <w:tcPr>
            <w:tcW w:type="dxa" w:w="24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1F3A5F"/>
          </w:tcPr>
          <w:p>
            <w:pPr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Variant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1F3A5F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  <w:sz w:val="18"/>
              </w:rPr>
              <w:t xml:space="preserve">rot_h SUBC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1F3A5F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  <w:sz w:val="18"/>
              </w:rPr>
              <w:t xml:space="preserve">res_h SUBC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1F3A5F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  <w:sz w:val="18"/>
              </w:rPr>
              <w:t xml:space="preserve">move SUBC</w:t>
            </w:r>
          </w:p>
        </w:tc>
        <w:tc>
          <w:tcPr>
            <w:tcW w:type="dxa" w:w="156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1F3A5F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  <w:sz w:val="18"/>
              </w:rPr>
              <w:t xml:space="preserve">all200 SUBC</w:t>
            </w:r>
          </w:p>
        </w:tc>
      </w:tr>
      <w:tr>
        <w:tc>
          <w:tcPr>
            <w:tcW w:type="dxa" w:w="24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left"/>
            </w:pPr>
            <w:r>
              <w:rPr>
                <w:b/>
                <w:sz w:val="18"/>
              </w:rPr>
              <w:t xml:space="preserve">baseline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0.8523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0.8391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0.959</w:t>
            </w:r>
          </w:p>
        </w:tc>
        <w:tc>
          <w:tcPr>
            <w:tcW w:type="dxa" w:w="156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0.9154</w:t>
            </w:r>
          </w:p>
        </w:tc>
      </w:tr>
      <w:tr>
        <w:tc>
          <w:tcPr>
            <w:tcW w:type="dxa" w:w="24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BEAEA"/>
          </w:tcPr>
          <w:p>
            <w:pPr>
              <w:spacing w:after="20" w:before="20"/>
              <w:jc w:val="left"/>
            </w:pPr>
            <w:r>
              <w:rPr>
                <w:b/>
                <w:sz w:val="18"/>
              </w:rPr>
              <w:t xml:space="preserve">G2 bias λ4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BEAEA"/>
          </w:tcPr>
          <w:p>
            <w:pPr>
              <w:spacing w:after="20" w:before="20"/>
              <w:jc w:val="center"/>
            </w:pPr>
            <w:r>
              <w:rPr>
                <w:b/>
                <w:color w:val="B02A2A"/>
                <w:sz w:val="18"/>
              </w:rPr>
              <w:t xml:space="preserve">0.8318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BEAEA"/>
          </w:tcPr>
          <w:p>
            <w:pPr>
              <w:spacing w:after="20" w:before="20"/>
              <w:jc w:val="center"/>
            </w:pPr>
            <w:r>
              <w:rPr>
                <w:b/>
                <w:color w:val="B02A2A"/>
                <w:sz w:val="18"/>
              </w:rPr>
              <w:t xml:space="preserve">0.8284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BEAEA"/>
          </w:tcPr>
          <w:p>
            <w:pPr>
              <w:spacing w:after="20" w:before="20"/>
              <w:jc w:val="center"/>
            </w:pPr>
            <w:r>
              <w:rPr>
                <w:b/>
                <w:color w:val="B02A2A"/>
                <w:sz w:val="18"/>
              </w:rPr>
              <w:t xml:space="preserve">0.9415</w:t>
            </w:r>
          </w:p>
        </w:tc>
        <w:tc>
          <w:tcPr>
            <w:tcW w:type="dxa" w:w="156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BEAEA"/>
          </w:tcPr>
          <w:p>
            <w:pPr>
              <w:spacing w:after="20" w:before="20"/>
              <w:jc w:val="center"/>
            </w:pPr>
            <w:r>
              <w:rPr>
                <w:b/>
                <w:color w:val="B02A2A"/>
                <w:sz w:val="18"/>
              </w:rPr>
              <w:t xml:space="preserve">0.9013</w:t>
            </w:r>
          </w:p>
        </w:tc>
      </w:tr>
      <w:tr>
        <w:tc>
          <w:tcPr>
            <w:tcW w:type="dxa" w:w="24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BEAEA"/>
          </w:tcPr>
          <w:p>
            <w:pPr>
              <w:spacing w:after="20" w:before="20"/>
              <w:jc w:val="left"/>
            </w:pPr>
            <w:r>
              <w:rPr>
                <w:b/>
                <w:sz w:val="18"/>
              </w:rPr>
              <w:t xml:space="preserve">G2 bias λ8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BEAEA"/>
          </w:tcPr>
          <w:p>
            <w:pPr>
              <w:spacing w:after="20" w:before="20"/>
              <w:jc w:val="center"/>
            </w:pPr>
            <w:r>
              <w:rPr>
                <w:b/>
                <w:color w:val="B02A2A"/>
                <w:sz w:val="18"/>
              </w:rPr>
              <w:t xml:space="preserve">0.8269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BEAEA"/>
          </w:tcPr>
          <w:p>
            <w:pPr>
              <w:spacing w:after="20" w:before="20"/>
              <w:jc w:val="center"/>
            </w:pPr>
            <w:r>
              <w:rPr>
                <w:b/>
                <w:color w:val="B02A2A"/>
                <w:sz w:val="18"/>
              </w:rPr>
              <w:t xml:space="preserve">0.8257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BEAEA"/>
          </w:tcPr>
          <w:p>
            <w:pPr>
              <w:spacing w:after="20" w:before="20"/>
              <w:jc w:val="center"/>
            </w:pPr>
            <w:r>
              <w:rPr>
                <w:b/>
                <w:color w:val="B02A2A"/>
                <w:sz w:val="18"/>
              </w:rPr>
              <w:t xml:space="preserve">0.9373</w:t>
            </w:r>
          </w:p>
        </w:tc>
        <w:tc>
          <w:tcPr>
            <w:tcW w:type="dxa" w:w="156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BEAEA"/>
          </w:tcPr>
          <w:p>
            <w:pPr>
              <w:spacing w:after="20" w:before="20"/>
              <w:jc w:val="center"/>
            </w:pPr>
            <w:r>
              <w:rPr>
                <w:b/>
                <w:color w:val="B02A2A"/>
                <w:sz w:val="18"/>
              </w:rPr>
              <w:t xml:space="preserve">0.8979</w:t>
            </w:r>
          </w:p>
        </w:tc>
      </w:tr>
      <w:tr>
        <w:tc>
          <w:tcPr>
            <w:tcW w:type="dxa" w:w="24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left"/>
            </w:pPr>
            <w:r>
              <w:rPr>
                <w:b/>
                <w:sz w:val="18"/>
              </w:rPr>
              <w:t xml:space="preserve">G1 warp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0.8438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0.8329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0.9542</w:t>
            </w:r>
          </w:p>
        </w:tc>
        <w:tc>
          <w:tcPr>
            <w:tcW w:type="dxa" w:w="156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0.9095</w:t>
            </w:r>
          </w:p>
        </w:tc>
      </w:tr>
      <w:tr>
        <w:tc>
          <w:tcPr>
            <w:tcW w:type="dxa" w:w="24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left"/>
            </w:pPr>
            <w:r>
              <w:rPr>
                <w:b/>
                <w:sz w:val="18"/>
              </w:rPr>
              <w:t xml:space="preserve">G1 warp + gate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0.8445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0.8336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0.9562</w:t>
            </w:r>
          </w:p>
        </w:tc>
        <w:tc>
          <w:tcPr>
            <w:tcW w:type="dxa" w:w="156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0.9106</w:t>
            </w:r>
          </w:p>
        </w:tc>
      </w:tr>
      <w:tr>
        <w:tc>
          <w:tcPr>
            <w:tcW w:type="dxa" w:w="24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left"/>
            </w:pPr>
            <w:r>
              <w:rPr>
                <w:b/>
                <w:sz w:val="18"/>
              </w:rPr>
              <w:t xml:space="preserve">R²-TCA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0.8495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0.8334</w:t>
            </w:r>
          </w:p>
        </w:tc>
        <w:tc>
          <w:tcPr>
            <w:tcW w:type="dxa" w:w="17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0.956</w:t>
            </w:r>
          </w:p>
        </w:tc>
        <w:tc>
          <w:tcPr>
            <w:tcW w:type="dxa" w:w="156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0.9128</w:t>
            </w:r>
          </w:p>
        </w:tc>
      </w:tr>
    </w:tbl>
    <w:p>
      <w:pPr>
        <w:pStyle w:val="ListBullet"/>
        <w:spacing w:after="40" w:line="252" w:lineRule="auto"/>
      </w:pPr>
      <w:r>
        <w:rPr>
          <w:b/>
          <w:sz w:val="20"/>
        </w:rPr>
        <w:t xml:space="preserve">Every variant lowers SUBC: </w:t>
      </w:r>
      <w:r>
        <w:rPr>
          <w:b w:val="0"/>
          <w:sz w:val="20"/>
        </w:rPr>
        <w:t xml:space="preserve">none breaks the ceiling; the attention-level interventions (bias, warp) hurt most, the input-level R²-TCA is roughly neutral.</w:t>
      </w:r>
    </w:p>
    <w:p>
      <w:pPr>
        <w:pStyle w:val="ListBullet"/>
        <w:spacing w:after="40" w:line="252" w:lineRule="auto"/>
      </w:pPr>
      <w:r>
        <w:rPr>
          <w:b/>
          <w:sz w:val="20"/>
        </w:rPr>
        <w:t xml:space="preserve">The smoking gun — move: </w:t>
      </w:r>
      <w:r>
        <w:rPr>
          <w:b w:val="0"/>
          <w:sz w:val="20"/>
        </w:rPr>
        <w:t xml:space="preserve">pure translation is geometrically trivial and baseline solved it (0.959), yet every variant damages it. So the mechanisms degrade through their own artifacts (over-sharpened attention, bilinear feature blur, warp interpolation), not through a geometry-difficulty effect.</w:t>
      </w:r>
    </w:p>
    <w:p>
      <w:pPr>
        <w:spacing w:after="80" w:before="40" w:line="276" w:lineRule="auto"/>
      </w:pPr>
      <w:r>
        <w:rPr>
          <w:sz w:val="20"/>
        </w:rPr>
        <w:t xml:space="preserve">Theory correction (the key insight of B3): GeoBench-2D edits are in-plane, so the correct target appearance is fully available (it is the warped source). R²-TCA handed the reference branch a clean, geometrically-ideal target-pose source — and still did not beat baseline. The reference’s pose-mismatch is therefore not the bottleneck. The structural collapse lives downstream, in the diffusion refinement itself, not in the attention correspondence.</w:t>
      </w:r>
    </w:p>
    <w:p>
      <w:pPr>
        <w:spacing w:before="200" w:after="60"/>
        <w:pBdr>
          <w:bottom w:val="single" w:sz="6" w:space="2" w:color="2E75B6"/>
        </w:pBdr>
      </w:pPr>
      <w:r>
        <w:rPr>
          <w:b/>
          <w:color w:val="1F3A5F"/>
          <w:sz w:val="26"/>
        </w:rPr>
        <w:t>9.  Phase B4 — Refinement Preservation (the decisive test)</w:t>
      </w:r>
    </w:p>
    <w:p>
      <w:pPr>
        <w:spacing w:after="80" w:before="40" w:line="276" w:lineRule="auto"/>
      </w:pPr>
      <w:r>
        <w:rPr>
          <w:sz w:val="20"/>
        </w:rPr>
        <w:t xml:space="preserve">Targeting the corrected diagnosis, B4 anchors the edit-branch latent to the coarse (the correct in-plane warp) inside the object region during denoising, with strength w: w=0 is baseline, w→1 pins the object to the coarse. This both is a lever and tests whether refinement was degrading the object.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2200"/>
        <w:gridCol w:w="1620"/>
        <w:gridCol w:w="1620"/>
        <w:gridCol w:w="1620"/>
        <w:gridCol w:w="1480"/>
        <w:gridCol w:w="1180"/>
      </w:tblGrid>
      <w:tr>
        <w:tc>
          <w:tcPr>
            <w:tcW w:type="dxa" w:w="22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1F3A5F"/>
          </w:tcPr>
          <w:p>
            <w:pPr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Variant</w:t>
            </w:r>
          </w:p>
        </w:tc>
        <w:tc>
          <w:tcPr>
            <w:tcW w:type="dxa" w:w="162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1F3A5F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  <w:sz w:val="18"/>
              </w:rPr>
              <w:t xml:space="preserve">rot_h SUBC</w:t>
            </w:r>
          </w:p>
        </w:tc>
        <w:tc>
          <w:tcPr>
            <w:tcW w:type="dxa" w:w="162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1F3A5F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  <w:sz w:val="18"/>
              </w:rPr>
              <w:t xml:space="preserve">res_h SUBC</w:t>
            </w:r>
          </w:p>
        </w:tc>
        <w:tc>
          <w:tcPr>
            <w:tcW w:type="dxa" w:w="162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1F3A5F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  <w:sz w:val="18"/>
              </w:rPr>
              <w:t xml:space="preserve">all200 SUBC</w:t>
            </w:r>
          </w:p>
        </w:tc>
        <w:tc>
          <w:tcPr>
            <w:tcW w:type="dxa" w:w="14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1F3A5F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  <w:sz w:val="18"/>
              </w:rPr>
              <w:t xml:space="preserve">all200 WE</w:t>
            </w:r>
          </w:p>
        </w:tc>
        <w:tc>
          <w:tcPr>
            <w:tcW w:type="dxa" w:w="11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1F3A5F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  <w:sz w:val="18"/>
              </w:rPr>
              <w:t xml:space="preserve">FID</w:t>
            </w:r>
          </w:p>
        </w:tc>
      </w:tr>
      <w:tr>
        <w:tc>
          <w:tcPr>
            <w:tcW w:type="dxa" w:w="22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left"/>
            </w:pPr>
            <w:r>
              <w:rPr>
                <w:b/>
                <w:sz w:val="18"/>
              </w:rPr>
              <w:t xml:space="preserve">baseline</w:t>
            </w:r>
          </w:p>
        </w:tc>
        <w:tc>
          <w:tcPr>
            <w:tcW w:type="dxa" w:w="162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0.8523</w:t>
            </w:r>
          </w:p>
        </w:tc>
        <w:tc>
          <w:tcPr>
            <w:tcW w:type="dxa" w:w="162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0.8391</w:t>
            </w:r>
          </w:p>
        </w:tc>
        <w:tc>
          <w:tcPr>
            <w:tcW w:type="dxa" w:w="162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0.9154</w:t>
            </w:r>
          </w:p>
        </w:tc>
        <w:tc>
          <w:tcPr>
            <w:tcW w:type="dxa" w:w="14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0.0488</w:t>
            </w:r>
          </w:p>
        </w:tc>
        <w:tc>
          <w:tcPr>
            <w:tcW w:type="dxa" w:w="11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132.3</w:t>
            </w:r>
          </w:p>
        </w:tc>
      </w:tr>
      <w:tr>
        <w:tc>
          <w:tcPr>
            <w:tcW w:type="dxa" w:w="22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left"/>
            </w:pPr>
            <w:r>
              <w:rPr>
                <w:b/>
                <w:sz w:val="18"/>
              </w:rPr>
              <w:t xml:space="preserve">w = 0.3</w:t>
            </w:r>
          </w:p>
        </w:tc>
        <w:tc>
          <w:tcPr>
            <w:tcW w:type="dxa" w:w="162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b/>
                <w:color w:val="1E7D32"/>
                <w:sz w:val="18"/>
              </w:rPr>
              <w:t xml:space="preserve">0.8536</w:t>
            </w:r>
          </w:p>
        </w:tc>
        <w:tc>
          <w:tcPr>
            <w:tcW w:type="dxa" w:w="162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b/>
                <w:color w:val="1E7D32"/>
                <w:sz w:val="18"/>
              </w:rPr>
              <w:t xml:space="preserve">0.8409</w:t>
            </w:r>
          </w:p>
        </w:tc>
        <w:tc>
          <w:tcPr>
            <w:tcW w:type="dxa" w:w="162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b/>
                <w:color w:val="1E7D32"/>
                <w:sz w:val="18"/>
              </w:rPr>
              <w:t xml:space="preserve">0.9175</w:t>
            </w:r>
          </w:p>
        </w:tc>
        <w:tc>
          <w:tcPr>
            <w:tcW w:type="dxa" w:w="14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b/>
                <w:color w:val="1E7D32"/>
                <w:sz w:val="18"/>
              </w:rPr>
              <w:t xml:space="preserve">0.0454</w:t>
            </w:r>
          </w:p>
        </w:tc>
        <w:tc>
          <w:tcPr>
            <w:tcW w:type="dxa" w:w="11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133.1</w:t>
            </w:r>
          </w:p>
        </w:tc>
      </w:tr>
      <w:tr>
        <w:tc>
          <w:tcPr>
            <w:tcW w:type="dxa" w:w="22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left"/>
            </w:pPr>
            <w:r>
              <w:rPr>
                <w:b/>
                <w:sz w:val="18"/>
              </w:rPr>
              <w:t xml:space="preserve">w = 0.5</w:t>
            </w:r>
          </w:p>
        </w:tc>
        <w:tc>
          <w:tcPr>
            <w:tcW w:type="dxa" w:w="162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b/>
                <w:color w:val="1E7D32"/>
                <w:sz w:val="18"/>
              </w:rPr>
              <w:t xml:space="preserve">0.8535</w:t>
            </w:r>
          </w:p>
        </w:tc>
        <w:tc>
          <w:tcPr>
            <w:tcW w:type="dxa" w:w="162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b/>
                <w:color w:val="1E7D32"/>
                <w:sz w:val="18"/>
              </w:rPr>
              <w:t xml:space="preserve">0.8404</w:t>
            </w:r>
          </w:p>
        </w:tc>
        <w:tc>
          <w:tcPr>
            <w:tcW w:type="dxa" w:w="162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b/>
                <w:color w:val="1E7D32"/>
                <w:sz w:val="18"/>
              </w:rPr>
              <w:t xml:space="preserve">0.9174</w:t>
            </w:r>
          </w:p>
        </w:tc>
        <w:tc>
          <w:tcPr>
            <w:tcW w:type="dxa" w:w="14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b/>
                <w:color w:val="1E7D32"/>
                <w:sz w:val="18"/>
              </w:rPr>
              <w:t xml:space="preserve">0.0453</w:t>
            </w:r>
          </w:p>
        </w:tc>
        <w:tc>
          <w:tcPr>
            <w:tcW w:type="dxa" w:w="11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133.4</w:t>
            </w:r>
          </w:p>
        </w:tc>
      </w:tr>
      <w:tr>
        <w:tc>
          <w:tcPr>
            <w:tcW w:type="dxa" w:w="22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left"/>
            </w:pPr>
            <w:r>
              <w:rPr>
                <w:b/>
                <w:sz w:val="18"/>
              </w:rPr>
              <w:t xml:space="preserve">w = 0.7</w:t>
            </w:r>
          </w:p>
        </w:tc>
        <w:tc>
          <w:tcPr>
            <w:tcW w:type="dxa" w:w="162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b/>
                <w:color w:val="1E7D32"/>
                <w:sz w:val="18"/>
              </w:rPr>
              <w:t xml:space="preserve">0.8535</w:t>
            </w:r>
          </w:p>
        </w:tc>
        <w:tc>
          <w:tcPr>
            <w:tcW w:type="dxa" w:w="162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b/>
                <w:color w:val="1E7D32"/>
                <w:sz w:val="18"/>
              </w:rPr>
              <w:t xml:space="preserve">0.8400</w:t>
            </w:r>
          </w:p>
        </w:tc>
        <w:tc>
          <w:tcPr>
            <w:tcW w:type="dxa" w:w="162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b/>
                <w:color w:val="1E7D32"/>
                <w:sz w:val="18"/>
              </w:rPr>
              <w:t xml:space="preserve">0.9174</w:t>
            </w:r>
          </w:p>
        </w:tc>
        <w:tc>
          <w:tcPr>
            <w:tcW w:type="dxa" w:w="14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b/>
                <w:color w:val="1E7D32"/>
                <w:sz w:val="18"/>
              </w:rPr>
              <w:t xml:space="preserve">0.0453</w:t>
            </w:r>
          </w:p>
        </w:tc>
        <w:tc>
          <w:tcPr>
            <w:tcW w:type="dxa" w:w="11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133.5</w:t>
            </w:r>
          </w:p>
        </w:tc>
      </w:tr>
      <w:tr>
        <w:tc>
          <w:tcPr>
            <w:tcW w:type="dxa" w:w="220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left"/>
            </w:pPr>
            <w:r>
              <w:rPr>
                <w:b/>
                <w:sz w:val="18"/>
              </w:rPr>
              <w:t xml:space="preserve">w = 0.9</w:t>
            </w:r>
          </w:p>
        </w:tc>
        <w:tc>
          <w:tcPr>
            <w:tcW w:type="dxa" w:w="162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b/>
                <w:color w:val="1E7D32"/>
                <w:sz w:val="18"/>
              </w:rPr>
              <w:t xml:space="preserve">0.8535</w:t>
            </w:r>
          </w:p>
        </w:tc>
        <w:tc>
          <w:tcPr>
            <w:tcW w:type="dxa" w:w="162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b/>
                <w:color w:val="1E7D32"/>
                <w:sz w:val="18"/>
              </w:rPr>
              <w:t xml:space="preserve">0.8399</w:t>
            </w:r>
          </w:p>
        </w:tc>
        <w:tc>
          <w:tcPr>
            <w:tcW w:type="dxa" w:w="162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b/>
                <w:color w:val="1E7D32"/>
                <w:sz w:val="18"/>
              </w:rPr>
              <w:t xml:space="preserve">0.9174</w:t>
            </w:r>
          </w:p>
        </w:tc>
        <w:tc>
          <w:tcPr>
            <w:tcW w:type="dxa" w:w="14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b/>
                <w:color w:val="1E7D32"/>
                <w:sz w:val="18"/>
              </w:rPr>
              <w:t xml:space="preserve">0.0453</w:t>
            </w:r>
          </w:p>
        </w:tc>
        <w:tc>
          <w:tcPr>
            <w:tcW w:type="dxa" w:w="118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 xml:space="preserve">133.5</w:t>
            </w:r>
          </w:p>
        </w:tc>
      </w:tr>
    </w:tbl>
    <w:p>
      <w:pPr>
        <w:pStyle w:val="ListBullet"/>
        <w:spacing w:after="40" w:line="252" w:lineRule="auto"/>
      </w:pPr>
      <w:r>
        <w:rPr>
          <w:b/>
          <w:sz w:val="20"/>
        </w:rPr>
        <w:t xml:space="preserve">First positive: </w:t>
      </w:r>
      <w:r>
        <w:rPr>
          <w:b w:val="0"/>
          <w:sz w:val="20"/>
        </w:rPr>
        <w:t xml:space="preserve">for the first time SUBC beats baseline everywhere (all_200 +0.0021, deterministic) and WE improves ~7% — at a small FID cost. A modest Pareto trade.</w:t>
      </w:r>
    </w:p>
    <w:p>
      <w:pPr>
        <w:pStyle w:val="ListBullet"/>
        <w:spacing w:after="40" w:line="252" w:lineRule="auto"/>
      </w:pPr>
      <w:r>
        <w:rPr>
          <w:b/>
          <w:sz w:val="20"/>
        </w:rPr>
        <w:t xml:space="preserve">The decisive finding — flat dose response: </w:t>
      </w:r>
      <w:r>
        <w:rPr>
          <w:b w:val="0"/>
          <w:sz w:val="20"/>
        </w:rPr>
        <w:t xml:space="preserve">SUBC is identical across w=0.3–0.9. At w=0.9 the object is ~pinned to the coarse (the perfect in-plane warp), giving rotate_hard SUBC ≈ 0.8535 — only +0.0012 above the refined baseline 0.8523.</w:t>
      </w:r>
    </w:p>
    <w:p>
      <w:pPr>
        <w:spacing w:after="80" w:before="40" w:line="276" w:lineRule="auto"/>
      </w:pPr>
      <w:r>
        <w:rPr>
          <w:sz w:val="20"/>
        </w:rPr>
        <w:t xml:space="preserve">Conclusion: FreeFine’s refinement already reaches ~99.9% of the perfect-warp subject-consistency ceiling. The hard-case “collapse” is present in the coarse perfect-warp itself — it is intrinsic to the in-plane transform and the view-sensitivity of DINOv2, not an addressable algorithmic deficiency. No reference/correspondence/preservation change can meaningfully raise hard-group SUBC, because the ceiling is the warp.</w:t>
      </w:r>
    </w:p>
    <w:p>
      <w:pPr>
        <w:pageBreakBefore/>
        <w:spacing w:before="200" w:after="60"/>
        <w:pBdr>
          <w:bottom w:val="single" w:sz="6" w:space="2" w:color="2E75B6"/>
        </w:pBdr>
      </w:pPr>
      <w:r>
        <w:rPr>
          <w:b/>
          <w:color w:val="1F3A5F"/>
          <w:sz w:val="26"/>
        </w:rPr>
        <w:t>10.  Synthesis — What Has Been Established</w:t>
      </w:r>
    </w:p>
    <w:p>
      <w:pPr>
        <w:spacing w:after="80" w:before="40" w:line="276" w:lineRule="auto"/>
      </w:pPr>
      <w:r>
        <w:rPr>
          <w:sz w:val="20"/>
        </w:rPr>
        <w:t xml:space="preserve">Across five distinct intervention classes the subject-structural ceiling is robust, and B4 explains why: the ceiling is the perfect-warp itself. FreeFine is near-optimal for GeoBench-2D subject-consistency.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2040"/>
        <w:gridCol w:w="1320"/>
        <w:gridCol w:w="3240"/>
        <w:gridCol w:w="2760"/>
      </w:tblGrid>
      <w:tr>
        <w:tc>
          <w:tcPr>
            <w:tcW w:type="dxa" w:w="20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1F3A5F"/>
          </w:tcPr>
          <w:p>
            <w:pPr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Phase</w:t>
            </w:r>
          </w:p>
        </w:tc>
        <w:tc>
          <w:tcPr>
            <w:tcW w:type="dxa" w:w="132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1F3A5F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  <w:sz w:val="18"/>
              </w:rPr>
              <w:t xml:space="preserve">Class</w:t>
            </w:r>
          </w:p>
        </w:tc>
        <w:tc>
          <w:tcPr>
            <w:tcW w:type="dxa" w:w="32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1F3A5F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  <w:sz w:val="18"/>
              </w:rPr>
              <w:t xml:space="preserve">Mechanism</w:t>
            </w:r>
          </w:p>
        </w:tc>
        <w:tc>
          <w:tcPr>
            <w:tcW w:type="dxa" w:w="276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1F3A5F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  <w:sz w:val="18"/>
              </w:rPr>
              <w:t xml:space="preserve">Outcome on hard-group SUBC</w:t>
            </w:r>
          </w:p>
        </w:tc>
      </w:tr>
      <w:tr>
        <w:tc>
          <w:tcPr>
            <w:tcW w:type="dxa" w:w="20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left"/>
            </w:pPr>
            <w:r>
              <w:rPr>
                <w:b/>
                <w:sz w:val="18"/>
              </w:rPr>
              <w:t xml:space="preserve">Phase 2</w:t>
            </w:r>
          </w:p>
        </w:tc>
        <w:tc>
          <w:tcPr>
            <w:tcW w:type="dxa" w:w="132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</w:rPr>
              <w:t xml:space="preserve">Tuning</w:t>
            </w:r>
          </w:p>
        </w:tc>
        <w:tc>
          <w:tcPr>
            <w:tcW w:type="dxa" w:w="32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</w:rPr>
              <w:t xml:space="preserve">start-step / layer / guidance</w:t>
            </w:r>
          </w:p>
        </w:tc>
        <w:tc>
          <w:tcPr>
            <w:tcW w:type="dxa" w:w="276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</w:rPr>
              <w:t xml:space="preserve">Pinned — no lift</w:t>
            </w:r>
          </w:p>
        </w:tc>
      </w:tr>
      <w:tr>
        <w:tc>
          <w:tcPr>
            <w:tcW w:type="dxa" w:w="20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left"/>
            </w:pPr>
            <w:r>
              <w:rPr>
                <w:b/>
                <w:sz w:val="18"/>
              </w:rPr>
              <w:t xml:space="preserve">B1</w:t>
            </w:r>
          </w:p>
        </w:tc>
        <w:tc>
          <w:tcPr>
            <w:tcW w:type="dxa" w:w="132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left"/>
            </w:pPr>
            <w:r>
              <w:rPr>
                <w:sz w:val="18"/>
              </w:rPr>
              <w:t xml:space="preserve">Input / strength</w:t>
            </w:r>
          </w:p>
        </w:tc>
        <w:tc>
          <w:tcPr>
            <w:tcW w:type="dxa" w:w="32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left"/>
            </w:pPr>
            <w:r>
              <w:rPr>
                <w:sz w:val="18"/>
              </w:rPr>
              <w:t xml:space="preserve">AA-warp, end_scale floor</w:t>
            </w:r>
          </w:p>
        </w:tc>
        <w:tc>
          <w:tcPr>
            <w:tcW w:type="dxa" w:w="276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left"/>
            </w:pPr>
            <w:r>
              <w:rPr>
                <w:sz w:val="18"/>
              </w:rPr>
              <w:t xml:space="preserve">Marginal / negative</w:t>
            </w:r>
          </w:p>
        </w:tc>
      </w:tr>
      <w:tr>
        <w:tc>
          <w:tcPr>
            <w:tcW w:type="dxa" w:w="20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left"/>
            </w:pPr>
            <w:r>
              <w:rPr>
                <w:b/>
                <w:sz w:val="18"/>
              </w:rPr>
              <w:t xml:space="preserve">B2</w:t>
            </w:r>
          </w:p>
        </w:tc>
        <w:tc>
          <w:tcPr>
            <w:tcW w:type="dxa" w:w="132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</w:rPr>
              <w:t xml:space="preserve">Identity</w:t>
            </w:r>
          </w:p>
        </w:tc>
        <w:tc>
          <w:tcPr>
            <w:tcW w:type="dxa" w:w="32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</w:rPr>
              <w:t xml:space="preserve">IP-Adapter conditioning</w:t>
            </w:r>
          </w:p>
        </w:tc>
        <w:tc>
          <w:tcPr>
            <w:tcW w:type="dxa" w:w="276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</w:rPr>
              <w:t xml:space="preserve">Monotone degradation</w:t>
            </w:r>
          </w:p>
        </w:tc>
      </w:tr>
      <w:tr>
        <w:tc>
          <w:tcPr>
            <w:tcW w:type="dxa" w:w="20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left"/>
            </w:pPr>
            <w:r>
              <w:rPr>
                <w:b/>
                <w:sz w:val="18"/>
              </w:rPr>
              <w:t xml:space="preserve">B3</w:t>
            </w:r>
          </w:p>
        </w:tc>
        <w:tc>
          <w:tcPr>
            <w:tcW w:type="dxa" w:w="132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left"/>
            </w:pPr>
            <w:r>
              <w:rPr>
                <w:sz w:val="18"/>
              </w:rPr>
              <w:t xml:space="preserve">Geometry</w:t>
            </w:r>
          </w:p>
        </w:tc>
        <w:tc>
          <w:tcPr>
            <w:tcW w:type="dxa" w:w="32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left"/>
            </w:pPr>
            <w:r>
              <w:rPr>
                <w:sz w:val="18"/>
              </w:rPr>
              <w:t xml:space="preserve">warp / bias / pixel-warp</w:t>
            </w:r>
          </w:p>
        </w:tc>
        <w:tc>
          <w:tcPr>
            <w:tcW w:type="dxa" w:w="276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color="auto" w:fill="F2F5F9"/>
          </w:tcPr>
          <w:p>
            <w:pPr>
              <w:spacing w:after="20" w:before="20"/>
              <w:jc w:val="left"/>
            </w:pPr>
            <w:r>
              <w:rPr>
                <w:sz w:val="18"/>
              </w:rPr>
              <w:t xml:space="preserve">Degraded (artifacts)</w:t>
            </w:r>
          </w:p>
        </w:tc>
      </w:tr>
      <w:tr>
        <w:tc>
          <w:tcPr>
            <w:tcW w:type="dxa" w:w="20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left"/>
            </w:pPr>
            <w:r>
              <w:rPr>
                <w:b/>
                <w:sz w:val="18"/>
              </w:rPr>
              <w:t xml:space="preserve">B4</w:t>
            </w:r>
          </w:p>
        </w:tc>
        <w:tc>
          <w:tcPr>
            <w:tcW w:type="dxa" w:w="132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</w:rPr>
              <w:t xml:space="preserve">Preservation</w:t>
            </w:r>
          </w:p>
        </w:tc>
        <w:tc>
          <w:tcPr>
            <w:tcW w:type="dxa" w:w="324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</w:rPr>
              <w:t xml:space="preserve">latent blend to coarse</w:t>
            </w:r>
          </w:p>
        </w:tc>
        <w:tc>
          <w:tcPr>
            <w:tcW w:type="dxa" w:w="2760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</w:rPr>
              <w:t xml:space="preserve">+0.001–0.002 (at the ceiling)</w:t>
            </w:r>
          </w:p>
        </w:tc>
      </w:tr>
    </w:tbl>
    <w:p>
      <w:pPr>
        <w:pStyle w:val="ListBullet"/>
        <w:spacing w:after="40" w:line="252" w:lineRule="auto"/>
      </w:pPr>
      <w:r>
        <w:rPr>
          <w:b/>
          <w:sz w:val="20"/>
        </w:rPr>
        <w:t xml:space="preserve">Headline: </w:t>
      </w:r>
      <w:r>
        <w:rPr>
          <w:b w:val="0"/>
          <w:sz w:val="20"/>
        </w:rPr>
        <w:t xml:space="preserve">the apparent weakness on hard rotate/resize is largely intrinsic (transform + metric view-sensitivity), not an algorithmic gap; FreeFine reaches ~99.9% of the achievable subject-consistency ceiling on these edits.</w:t>
      </w:r>
    </w:p>
    <w:p>
      <w:pPr>
        <w:pStyle w:val="ListBullet"/>
        <w:spacing w:after="40" w:line="252" w:lineRule="auto"/>
      </w:pPr>
      <w:r>
        <w:rPr>
          <w:b/>
          <w:sz w:val="20"/>
        </w:rPr>
        <w:t xml:space="preserve">Methodological contribution: </w:t>
      </w:r>
      <w:r>
        <w:rPr>
          <w:b w:val="0"/>
          <w:sz w:val="20"/>
        </w:rPr>
        <w:t xml:space="preserve">a rigorous, metric-driven diagnosis plus a systematic five-class falsification that localizes the bottleneck and demonstrates near-optimality — with a small, honest preservation improvement (SUBC +0.2%, WE −7%).</w:t>
      </w:r>
    </w:p>
    <w:p>
      <w:pPr>
        <w:spacing w:before="200" w:after="60"/>
        <w:pBdr>
          <w:bottom w:val="single" w:sz="6" w:space="2" w:color="2E75B6"/>
        </w:pBdr>
      </w:pPr>
      <w:r>
        <w:rPr>
          <w:b/>
          <w:color w:val="1F3A5F"/>
          <w:sz w:val="26"/>
        </w:rPr>
        <w:t>11.  Methodological Rigor</w:t>
      </w:r>
    </w:p>
    <w:p>
      <w:pPr>
        <w:pStyle w:val="ListBullet"/>
        <w:spacing w:after="40" w:line="252" w:lineRule="auto"/>
      </w:pPr>
      <w:r>
        <w:rPr>
          <w:b/>
          <w:sz w:val="20"/>
        </w:rPr>
        <w:t xml:space="preserve">Provenance discipline: </w:t>
      </w:r>
      <w:r>
        <w:rPr>
          <w:b w:val="0"/>
          <w:sz w:val="20"/>
        </w:rPr>
        <w:t xml:space="preserve">every number is labelled measured / derived / reconstructed; small-n cells (rotate_hard n=22, resize_hard n=23) are always flagged.</w:t>
      </w:r>
    </w:p>
    <w:p>
      <w:pPr>
        <w:pStyle w:val="ListBullet"/>
        <w:spacing w:after="40" w:line="252" w:lineRule="auto"/>
      </w:pPr>
      <w:r>
        <w:rPr>
          <w:b/>
          <w:sz w:val="20"/>
        </w:rPr>
        <w:t xml:space="preserve">Seeded ablations: </w:t>
      </w:r>
      <w:r>
        <w:rPr>
          <w:b w:val="0"/>
          <w:sz w:val="20"/>
        </w:rPr>
        <w:t xml:space="preserve">MD’s DIFT noise is identically seeded across baseline and every variant, so reported differences reflect the method, not chance; the reproduction-vs-paper figure keeps the unseeded metric.</w:t>
      </w:r>
    </w:p>
    <w:p>
      <w:pPr>
        <w:pStyle w:val="ListBullet"/>
        <w:spacing w:after="40" w:line="252" w:lineRule="auto"/>
      </w:pPr>
      <w:r>
        <w:rPr>
          <w:b/>
          <w:sz w:val="20"/>
        </w:rPr>
        <w:t xml:space="preserve">FID-family caveat: </w:t>
      </w:r>
      <w:r>
        <w:rPr>
          <w:b w:val="0"/>
          <w:sz w:val="20"/>
        </w:rPr>
        <w:t xml:space="preserve">FID / DINOv2 / KD are reliable only at full-set scale; on subsets they are inflated and are excluded from per-group quality claims.</w:t>
      </w:r>
    </w:p>
    <w:p>
      <w:pPr>
        <w:pStyle w:val="ListBullet"/>
        <w:spacing w:after="40" w:line="252" w:lineRule="auto"/>
      </w:pPr>
      <w:r>
        <w:rPr>
          <w:b/>
          <w:sz w:val="20"/>
        </w:rPr>
        <w:t xml:space="preserve">Code-grounded claims: </w:t>
      </w:r>
      <w:r>
        <w:rPr>
          <w:b w:val="0"/>
          <w:sz w:val="20"/>
        </w:rPr>
        <w:t xml:space="preserve">each method was verified in source and unit-tested on CPU before any GPU run; the no-op control (method disabled) reproduces the baseline byte-identically.</w:t>
      </w:r>
    </w:p>
    <w:p>
      <w:pPr>
        <w:pStyle w:val="ListBullet"/>
        <w:spacing w:after="40" w:line="252" w:lineRule="auto"/>
      </w:pPr>
      <w:r>
        <w:rPr>
          <w:b/>
          <w:sz w:val="20"/>
        </w:rPr>
        <w:t xml:space="preserve">Fault tolerance: </w:t>
      </w:r>
      <w:r>
        <w:rPr>
          <w:b w:val="0"/>
          <w:sz w:val="20"/>
        </w:rPr>
        <w:t xml:space="preserve">sweeps are per-variant isolated and deadline-guarded, so one failure never costs a whole commit.</w:t>
      </w:r>
    </w:p>
    <w:p>
      <w:pPr>
        <w:spacing w:before="200" w:after="60"/>
        <w:pBdr>
          <w:bottom w:val="single" w:sz="6" w:space="2" w:color="2E75B6"/>
        </w:pBdr>
      </w:pPr>
      <w:r>
        <w:rPr>
          <w:b/>
          <w:color w:val="1F3A5F"/>
          <w:sz w:val="26"/>
        </w:rPr>
        <w:t>12.  Next Directions</w:t>
      </w:r>
    </w:p>
    <w:p>
      <w:pPr>
        <w:spacing w:after="80" w:before="40" w:line="276" w:lineRule="auto"/>
      </w:pPr>
      <w:r>
        <w:rPr>
          <w:sz w:val="20"/>
        </w:rPr>
        <w:t xml:space="preserve">The near-ceiling result reframes the open problem: 2D in-plane subject-consistency is effectively solved, so a remarkable contribution must address where the source genuinely lacks information, or where every method (including FreeFine) is still visibly wrong. Five structural directions, each drawing on a different area of AI:</w:t>
      </w:r>
    </w:p>
    <w:p>
      <w:pPr>
        <w:pStyle w:val="ListBullet"/>
        <w:spacing w:after="40" w:line="252" w:lineRule="auto"/>
      </w:pPr>
      <w:r>
        <w:rPr>
          <w:b/>
          <w:sz w:val="20"/>
        </w:rPr>
        <w:t xml:space="preserve">A. Generative 3D-prior TCA: </w:t>
      </w:r>
      <w:r>
        <w:rPr>
          <w:b w:val="0"/>
          <w:sz w:val="20"/>
        </w:rPr>
        <w:t xml:space="preserve">for out-of-plane rotation, replace FreeFine’s depth-warp — which cannot hallucinate unseen surfaces — with a generative novel-view synthesis (Zero123++ / SV3D-style), then refine with TCA. Targets GeoBench-3D, where real headroom remains.</w:t>
      </w:r>
    </w:p>
    <w:p>
      <w:pPr>
        <w:pStyle w:val="ListBullet"/>
        <w:spacing w:after="40" w:line="252" w:lineRule="auto"/>
      </w:pPr>
      <w:r>
        <w:rPr>
          <w:b/>
          <w:sz w:val="20"/>
        </w:rPr>
        <w:t xml:space="preserve">B. Effects-aware editing: </w:t>
      </w:r>
      <w:r>
        <w:rPr>
          <w:b w:val="0"/>
          <w:sz w:val="20"/>
        </w:rPr>
        <w:t xml:space="preserve">synthesize the object’s shadows / reflections / contact at the target and remove them at the source — a glaring, largely unaddressed realism gap. Draws on intrinsic decomposition / relighting; reuses the 2D infrastructure.</w:t>
      </w:r>
    </w:p>
    <w:p>
      <w:pPr>
        <w:pStyle w:val="ListBullet"/>
        <w:spacing w:after="40" w:line="252" w:lineRule="auto"/>
      </w:pPr>
      <w:r>
        <w:rPr>
          <w:b/>
          <w:sz w:val="20"/>
        </w:rPr>
        <w:t xml:space="preserve">C. Equivariance / cycle-consistency: </w:t>
      </w:r>
      <w:r>
        <w:rPr>
          <w:b w:val="0"/>
          <w:sz w:val="20"/>
        </w:rPr>
        <w:t xml:space="preserve">an inference-time objective enforcing edit ∘ inverse-edit ≈ identity. Principled, general; draws on self-supervised learning and test-time guidance.</w:t>
      </w:r>
    </w:p>
    <w:p>
      <w:pPr>
        <w:pStyle w:val="ListBullet"/>
        <w:spacing w:after="40" w:line="252" w:lineRule="auto"/>
      </w:pPr>
      <w:r>
        <w:rPr>
          <w:b/>
          <w:sz w:val="20"/>
        </w:rPr>
        <w:t xml:space="preserve">D. Non-rigid / articulated editing: </w:t>
      </w:r>
      <w:r>
        <w:rPr>
          <w:b w:val="0"/>
          <w:sz w:val="20"/>
        </w:rPr>
        <w:t xml:space="preserve">extend beyond affine using foundation-model emergent correspondence to drive deformation fields — a capability expansion (edits FreeFine cannot currently do).</w:t>
      </w:r>
    </w:p>
    <w:p>
      <w:pPr>
        <w:pStyle w:val="ListBullet"/>
        <w:spacing w:after="40" w:line="252" w:lineRule="auto"/>
      </w:pPr>
      <w:r>
        <w:rPr>
          <w:b/>
          <w:sz w:val="20"/>
        </w:rPr>
        <w:t xml:space="preserve">E. Amodal / layered editing: </w:t>
      </w:r>
      <w:r>
        <w:rPr>
          <w:b w:val="0"/>
          <w:sz w:val="20"/>
        </w:rPr>
        <w:t xml:space="preserve">decompose, amodally complete the occluded object, edit in its canonical frame, recompose — principled disocclusion handling.</w:t>
      </w:r>
    </w:p>
    <w:p>
      <w:pPr>
        <w:spacing w:before="200" w:after="60"/>
        <w:pBdr>
          <w:bottom w:val="single" w:sz="6" w:space="2" w:color="2E75B6"/>
        </w:pBdr>
      </w:pPr>
      <w:r>
        <w:rPr>
          <w:b/>
          <w:color w:val="1F3A5F"/>
          <w:sz w:val="26"/>
        </w:rPr>
        <w:t>13.  Key References</w:t>
      </w:r>
    </w:p>
    <w:p>
      <w:pPr>
        <w:pStyle w:val="ListBullet"/>
        <w:spacing w:after="40" w:line="252" w:lineRule="auto"/>
      </w:pPr>
      <w:r>
        <w:rPr>
          <w:b w:val="0"/>
          <w:sz w:val="20"/>
        </w:rPr>
        <w:t xml:space="preserve">FreeFine — Training-free Geometric Image Editing on Diffusion Models, ICCV 2025 (arXiv:2507.23300).</w:t>
      </w:r>
    </w:p>
    <w:p>
      <w:pPr>
        <w:pStyle w:val="ListBullet"/>
        <w:spacing w:after="40" w:line="252" w:lineRule="auto"/>
      </w:pPr>
      <w:r>
        <w:rPr>
          <w:b w:val="0"/>
          <w:sz w:val="20"/>
        </w:rPr>
        <w:t xml:space="preserve">GeoDiffuser — Geometry-Based Image Editing with Diffusion Models, WACV 2025 (arXiv:2404.14403).</w:t>
      </w:r>
    </w:p>
    <w:p>
      <w:pPr>
        <w:pStyle w:val="ListBullet"/>
        <w:spacing w:after="40" w:line="252" w:lineRule="auto"/>
      </w:pPr>
      <w:r>
        <w:rPr>
          <w:b w:val="0"/>
          <w:sz w:val="20"/>
        </w:rPr>
        <w:t xml:space="preserve">DragonDiffusion (arXiv:2307.02421) / DiffEditor (arXiv:2402.02583) — energy-guided editing.</w:t>
      </w:r>
    </w:p>
    <w:p>
      <w:pPr>
        <w:pStyle w:val="ListBullet"/>
        <w:spacing w:after="40" w:line="252" w:lineRule="auto"/>
      </w:pPr>
      <w:r>
        <w:rPr>
          <w:b w:val="0"/>
          <w:sz w:val="20"/>
        </w:rPr>
        <w:t xml:space="preserve">IP-Adapter — Image Prompt Adapter for Text-to-Image Diffusion Models (arXiv:2308.06721).</w:t>
      </w:r>
    </w:p>
    <w:p>
      <w:pPr>
        <w:pStyle w:val="ListBullet"/>
        <w:spacing w:after="40" w:line="252" w:lineRule="auto"/>
      </w:pPr>
      <w:r>
        <w:rPr>
          <w:b w:val="0"/>
          <w:sz w:val="20"/>
        </w:rPr>
        <w:t xml:space="preserve">Zero-1-to-3 (arXiv:2303.11328), Zero123++, SV3D — single-image novel-view / 3D priors.</w:t>
      </w:r>
    </w:p>
    <w:p>
      <w:pPr>
        <w:pStyle w:val="ListBullet"/>
        <w:spacing w:after="40" w:line="252" w:lineRule="auto"/>
      </w:pPr>
      <w:r>
        <w:rPr>
          <w:b w:val="0"/>
          <w:sz w:val="20"/>
        </w:rPr>
        <w:t xml:space="preserve">Effects-Sensitive In-Context Inpainting for Geometric Editing (arXiv:2602.08388, 2026).</w:t>
      </w:r>
    </w:p>
    <w:p>
      <w:pPr>
        <w:spacing w:after="40"/>
      </w:pPr>
    </w:p>
    <w:sectPr w:rsidR="00FC693F" w:rsidRPr="0006063C" w:rsidSect="00034616">
      <w:pgSz w:w="11906" w:h="16838"/>
      <w:pgMar w:top="737" w:right="964" w:bottom="68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