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20"/>
      </w:pPr>
      <w:r>
        <w:rPr>
          <w:b/>
          <w:color w:val="1F3A5F"/>
          <w:sz w:val="34"/>
        </w:rPr>
        <w:t>FreeFine — Complete Metrics Appendix</w:t>
      </w:r>
    </w:p>
    <w:p>
      <w:pPr>
        <w:spacing w:after="40"/>
      </w:pPr>
      <w:r>
        <w:rPr>
          <w:color w:val="555555"/>
          <w:sz w:val="18"/>
        </w:rPr>
        <w:t>All measured metrics from every experiment · Phases 0–B4 · Diploma Thesis · Giorgos Tzamouranis · 20 June 2026</w:t>
      </w:r>
    </w:p>
    <w:p>
      <w:pPr>
        <w:spacing w:after="80" w:before="20"/>
      </w:pPr>
      <w:r>
        <w:rPr>
          <w:i/>
          <w:color w:val="555555"/>
          <w:sz w:val="18"/>
        </w:rPr>
        <w:t xml:space="preserve">Definitive data sheet. Every value is a measured result. Arrows: SUBC, BGC ↑; FID, DINOv2/FDD, KD, WE/WRAP_E, MD ↓. BC = BGC; WE = WRAP_E; DINOv2 = FDD. Baseline row shaded; best MD per hard group in green. Phases 0–2b are full-set / balanced-200 as noted; B1–B4 are balanced-200 with seeded MD (rotate_hard n=22, resize_hard n=23, move_all n=67, all_200 n=200).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Phase 0 — Full-set reproduction (5,677 edits)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Paper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Reproduced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Diff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FID ↓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34.72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35.04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+0.9%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DINOv2 / FDD ↓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478.18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487.82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+2.0%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KD ↓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−1.2%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SUBC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+0.4%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BC / BGC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0.971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−0.4%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WE ↓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−14.5%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MD ↓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9.25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8.50 (exact 8.4993)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−8.1%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Repo defaults, fp32, seed 42. MD stochastic (two runs 8.50/8.55).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Phase 1 — Per-group diagnostic (full set, 5,677 edits)</w:t>
      </w:r>
    </w:p>
    <w:p>
      <w:pPr>
        <w:spacing w:after="40" w:before="140"/>
      </w:pPr>
      <w:r>
        <w:rPr>
          <w:b/>
          <w:i w:val="0"/>
          <w:color w:val="1F3A5F"/>
          <w:sz w:val="21"/>
        </w:rPr>
        <w:t>By difficulty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Group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easy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0.942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0.971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4.85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medium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0.927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6.98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hard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0.865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13.37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By edit type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Group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move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3.75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rotate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0.901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10.43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resize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0.892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9.96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FID/DINOv2/KD omitted per-group (subset-inflated). Approx hard-subgroup MD: hard rotate ≈15.7, hard resize ≈16.5.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Phase 2 / 2b — Balanced-200 controllability sweep (seeded MD)</w:t>
      </w:r>
    </w:p>
    <w:p>
      <w:pPr>
        <w:spacing w:after="40" w:before="140"/>
      </w:pPr>
      <w:r>
        <w:rPr>
          <w:b/>
          <w:i w:val="0"/>
          <w:color w:val="1F3A5F"/>
          <w:sz w:val="21"/>
        </w:rPr>
        <w:t>rotate_hard (n=22)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14.0096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ss25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0.8497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0.9681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15.2464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ss30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0.8519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0.0437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15.9111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0.0398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15.0132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15.0901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0.0425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15.3029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0.0424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14.329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l12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0.8517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14.6813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p7.5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14.5514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p10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14.6852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resize_hard (n=23)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19.4713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ss25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0.8319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0.0658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21.1346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ss30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0.8376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0.0619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20.7004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0.8413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0.0555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20.1565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0.8414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0.0535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18.0894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0.8378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21.6877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21.6105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l12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0.0579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22.453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p7.5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18.3849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p10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17.7459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move_all (n=67)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ss25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0.9542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0.0534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ss30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0.9571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0.0512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0.9605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0.0468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0.0497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0.0496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l12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0.0494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p7.5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0.0496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p10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0.0497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all_200 (n=200)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0"/>
        <w:gridCol w:w="1180"/>
        <w:gridCol w:w="1180"/>
        <w:gridCol w:w="1300"/>
        <w:gridCol w:w="1320"/>
        <w:gridCol w:w="1500"/>
        <w:gridCol w:w="1320"/>
      </w:tblGrid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 ↓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FID_DINO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FID_KD ↓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132.279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1636.8248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0.1285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ss25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0.9113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132.5674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1636.0803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ss30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0.9139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0.9663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0.0513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132.7277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1636.6126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0.1264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0.9166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133.0883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1640.2611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0.1347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ss45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0.9174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0.9641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133.5788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1643.6987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0.1397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0.9152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0.9658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132.4057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1636.8961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0.1264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l8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0.9152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0.9658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0.0491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132.5017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1637.1739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0.1303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l12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0.9152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0.0486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132.8193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1637.5069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0.1276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p7.5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132.3545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1637.8364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0.1273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p10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132.5098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1637.8859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0.1326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Variants: ss=start_step, l=start_layer (model.py fix, live), p=prompt-enabled CFG. g5/g10 empty-prompt CFG verified ≡ baseline (omitted).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B1 — AA-Warp + Adaptive-ES (balanced-200)</w:t>
      </w:r>
    </w:p>
    <w:p>
      <w:pPr>
        <w:spacing w:after="40" w:before="140"/>
      </w:pPr>
      <w:r>
        <w:rPr>
          <w:b/>
          <w:i w:val="0"/>
          <w:color w:val="1F3A5F"/>
          <w:sz w:val="21"/>
        </w:rPr>
        <w:t>rotate_hard (n=22)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14.0096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0.0447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14.5439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es25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14.7356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es50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0.0434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14.9638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esA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0.0434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14.9638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aaw_esA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15.0177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resize_hard (n=23)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19.4713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0.8403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0.0573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19.6664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es25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22.0592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es50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24.4517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esA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24.4517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aaw_esA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20.2972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move_all (n=67)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0.0454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es25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0.0496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es50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esA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0.9646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0.0499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aaw_esA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0.9586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0.0459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all_200 (n=200)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0"/>
        <w:gridCol w:w="1180"/>
        <w:gridCol w:w="1180"/>
        <w:gridCol w:w="1300"/>
        <w:gridCol w:w="1320"/>
        <w:gridCol w:w="1500"/>
        <w:gridCol w:w="1320"/>
      </w:tblGrid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 ↓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FID_DINO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FID_KD ↓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132.279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1636.8248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0.9156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0.9654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0.0486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132.3575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1637.268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0.1297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es25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132.3072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1637.9401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0.125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es50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0.9152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132.5224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1638.5029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0.1307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esA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0.9151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0.9661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132.5459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1638.0476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0.1247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aaw_esA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0.9659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132.6294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1638.4158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0.1255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aaw=AA-Warp; es25/es50=end_scale floor 0.25/0.5; esA=difficulty-adaptive (easy0/med0.25/hard0.5); aaw_esA=combo. AA WRAP_E scored vs AA coarse. esA hard groups ≡ es50 by construction.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B2 — IP-Adapter identity conditioning (balanced-200)</w:t>
      </w:r>
    </w:p>
    <w:p>
      <w:pPr>
        <w:spacing w:after="40" w:before="140"/>
      </w:pPr>
      <w:r>
        <w:rPr>
          <w:b/>
          <w:i w:val="0"/>
          <w:color w:val="1F3A5F"/>
          <w:sz w:val="21"/>
        </w:rPr>
        <w:t>rotate_hard (n=22)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14.0096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ip50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14.6752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ip80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0.8518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14.8623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ip110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0.8512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15.4672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ip140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0.8502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15.228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resize_hard (n=23)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19.4713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ip50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21.4861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ip80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18.7526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ip110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19.4285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ip140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21.5396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move_all (n=67)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ip50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ip80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0.0496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ip110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0.0497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ip140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0.0498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all_200 (n=200)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0"/>
        <w:gridCol w:w="1180"/>
        <w:gridCol w:w="1180"/>
        <w:gridCol w:w="1300"/>
        <w:gridCol w:w="1320"/>
        <w:gridCol w:w="1500"/>
        <w:gridCol w:w="1320"/>
      </w:tblGrid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 ↓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FID_DINO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FID_KD ↓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132.279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1636.8248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ip50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132.0828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1637.4637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0.1321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ip80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132.1062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1637.4597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0.1303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ip110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132.1496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1637.5607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0.1279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ip140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0.9147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0.9655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132.2715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1637.7355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0.1286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ipNN = IP-Adapter scale NN/100. Monotone SUBC degradation on rotate_hard with scale.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B3 — Geometry-Aligned TCA (balanced-200)</w:t>
      </w:r>
    </w:p>
    <w:p>
      <w:pPr>
        <w:spacing w:after="40" w:before="140"/>
      </w:pPr>
      <w:r>
        <w:rPr>
          <w:b/>
          <w:i w:val="0"/>
          <w:color w:val="1F3A5F"/>
          <w:sz w:val="21"/>
        </w:rPr>
        <w:t>rotate_hard (n=22)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14.0096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0.8318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14.2244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0.8269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0.9575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14.6003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g1_warp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0.8438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0.0422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15.4191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g1warp_gate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0.8445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15.2974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0.8495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0.0399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14.8559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resize_hard (n=23)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19.4713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0.8284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0.9561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0.0624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17.9071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0.8257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0.9541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0.0632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19.9736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g1_warp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0.9573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0.0602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22.2831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g1warp_gate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0.8336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0.9571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26.5216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0.8334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0.9557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21.0155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move_all (n=67)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0.9415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0.0572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0.9373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0.9574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0.0589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g1_warp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0.9542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0.0507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g1warp_gate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0.9562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0.956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0.0506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all_200 (n=200)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0"/>
        <w:gridCol w:w="1180"/>
        <w:gridCol w:w="1180"/>
        <w:gridCol w:w="1300"/>
        <w:gridCol w:w="1320"/>
        <w:gridCol w:w="1500"/>
        <w:gridCol w:w="1320"/>
      </w:tblGrid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 ↓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FID_DINO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FID_KD ↓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132.279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1636.8248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0.1273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0.9013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0.9607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0.0546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135.1509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1642.1749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0.1463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g2_l8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0.8979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0.9585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0.0557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135.8088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1644.6477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0.1488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g1_warp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0.9095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0.9598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133.4685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1640.5089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g1warp_gate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0.9106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0.9614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133.5782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1642.8418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0.1336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r2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0.9128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0.9633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0.0487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132.5187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1635.2379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0.1261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g2=correspondence bias (λ); g1_warp=warped K/V; g1warp_gate=+G3 validity gate; r2=R²-TCA warped reference. All lower SUBC vs baseline.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B4 — Refinement preservation (balanced-200)</w:t>
      </w:r>
    </w:p>
    <w:p>
      <w:pPr>
        <w:spacing w:after="40" w:before="140"/>
      </w:pPr>
      <w:r>
        <w:rPr>
          <w:b/>
          <w:i w:val="0"/>
          <w:color w:val="1F3A5F"/>
          <w:sz w:val="21"/>
        </w:rPr>
        <w:t>rotate_hard (n=22)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0.0416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14.0096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0.0397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14.6308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0.0396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14.6929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0.0395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14.7735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0.0395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14.8722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resize_hard (n=23)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0.0585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19.4713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0.8409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0.9605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0.0538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21.7356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0.8404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0.0537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20.1519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0.0537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22.0379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0.9607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0.0537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24.1885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move_all (n=67)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0.0495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0.0468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0.0467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0.0467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0.9614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0.0467</w:t>
            </w:r>
          </w:p>
        </w:tc>
      </w:tr>
    </w:tbl>
    <w:p>
      <w:pPr>
        <w:spacing w:after="40" w:before="140"/>
      </w:pPr>
      <w:r>
        <w:rPr>
          <w:b/>
          <w:i w:val="0"/>
          <w:color w:val="1F3A5F"/>
          <w:sz w:val="21"/>
        </w:rPr>
        <w:t>all_200 (n=200)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0"/>
        <w:gridCol w:w="1180"/>
        <w:gridCol w:w="1180"/>
        <w:gridCol w:w="1300"/>
        <w:gridCol w:w="1320"/>
        <w:gridCol w:w="1500"/>
        <w:gridCol w:w="1320"/>
      </w:tblGrid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WRAP_E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 ↓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FID_DINO ↓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FID_KD ↓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0.9657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132.279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1636.8248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EEF3D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0.1228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0.9175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0.9631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133.1397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1641.7848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0.1391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pres_w05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0.9174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0.9627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133.3756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1643.6384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0.1462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pres_w07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0.9174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0.9625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133.4504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1644.1713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0.1449</w:t>
            </w:r>
          </w:p>
        </w:tc>
      </w:tr>
      <w:tr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pres_w09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0.9174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0.9626</w:t>
            </w:r>
          </w:p>
        </w:tc>
        <w:tc>
          <w:tcPr>
            <w:tcW w:type="dxa" w:w="13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0.0453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133.5082</w:t>
            </w:r>
          </w:p>
        </w:tc>
        <w:tc>
          <w:tcPr>
            <w:tcW w:type="dxa" w:w="15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1644.4654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0.142</w:t>
            </w:r>
          </w:p>
        </w:tc>
      </w:tr>
    </w:tbl>
    <w:p>
      <w:pPr>
        <w:spacing w:after="80" w:before="20"/>
      </w:pPr>
      <w:r>
        <w:rPr>
          <w:i/>
          <w:color w:val="555555"/>
          <w:sz w:val="18"/>
        </w:rPr>
        <w:t xml:space="preserve">pres_wNN = preservation blend strength 0.NN. SUBC flat across w (dose-saturated) → near the perfect-warp ceiling.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4"/>
        </w:rPr>
        <w:t>Measurement &amp; provenance notes</w:t>
      </w:r>
    </w:p>
    <w:p>
      <w:pPr>
        <w:pStyle w:val="ListBullet"/>
        <w:spacing w:after="40" w:line="250" w:lineRule="auto"/>
      </w:pPr>
      <w:r>
        <w:rPr>
          <w:b/>
          <w:sz w:val="20"/>
        </w:rPr>
        <w:t xml:space="preserve">Phase 0/1: </w:t>
      </w:r>
      <w:r>
        <w:rPr>
          <w:b w:val="0"/>
          <w:sz w:val="20"/>
        </w:rPr>
        <w:t xml:space="preserve">full GeoBench-2D (5,677), repo-default unmodified scoring, fp32 seed 42; MD unseeded/stochastic (noise floor ≈0.05 global, ≈0.15 hardest).</w:t>
      </w:r>
    </w:p>
    <w:p>
      <w:pPr>
        <w:pStyle w:val="ListBullet"/>
        <w:spacing w:after="40" w:line="250" w:lineRule="auto"/>
      </w:pPr>
      <w:r>
        <w:rPr>
          <w:b/>
          <w:sz w:val="20"/>
        </w:rPr>
        <w:t xml:space="preserve">Phase 2–B4: </w:t>
      </w:r>
      <w:r>
        <w:rPr>
          <w:b w:val="0"/>
          <w:sz w:val="20"/>
        </w:rPr>
        <w:t xml:space="preserve">balanced-200, seeded MD (seed 42) across baseline and every variant; hard groups small (n=22/23) — treat sub-0.005 SUBC and sub-0.15 MD moves as within range.</w:t>
      </w:r>
    </w:p>
    <w:p>
      <w:pPr>
        <w:pStyle w:val="ListBullet"/>
        <w:spacing w:after="40" w:line="250" w:lineRule="auto"/>
      </w:pPr>
      <w:r>
        <w:rPr>
          <w:b/>
          <w:sz w:val="20"/>
        </w:rPr>
        <w:t xml:space="preserve">FID family: </w:t>
      </w:r>
      <w:r>
        <w:rPr>
          <w:b w:val="0"/>
          <w:sz w:val="20"/>
        </w:rPr>
        <w:t xml:space="preserve">reliable only at full-set scale; the all_200 FID/DINOv2/KD are subset-inflated and carry run-to-run noise (baseline FID_KD varies 0.123–0.129 across runs) — use for trend, not fine claims.</w:t>
      </w:r>
    </w:p>
    <w:p>
      <w:pPr>
        <w:pStyle w:val="ListBullet"/>
        <w:spacing w:after="40" w:line="250" w:lineRule="auto"/>
      </w:pPr>
      <w:r>
        <w:rPr>
          <w:b/>
          <w:sz w:val="20"/>
        </w:rPr>
        <w:t xml:space="preserve">Determinism: </w:t>
      </w:r>
      <w:r>
        <w:rPr>
          <w:b w:val="0"/>
          <w:sz w:val="20"/>
        </w:rPr>
        <w:t xml:space="preserve">SUBC/BGC/WRAP_E are deterministic (reproduce exactly); only MD and the FID-family carry stochastic/subset variation.</w:t>
      </w:r>
    </w:p>
    <w:p>
      <w:pPr>
        <w:spacing w:after="40"/>
      </w:pPr>
    </w:p>
    <w:sectPr w:rsidR="00FC693F" w:rsidRPr="0006063C" w:rsidSect="00034616">
      <w:pgSz w:w="11906" w:h="16838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