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3000000">
      <w:pPr>
        <w:pStyle w:val="Style_2"/>
        <w:rPr>
          <w:rFonts w:ascii="PT Astra Serif" w:hAnsi="PT Astra Serif"/>
        </w:rPr>
      </w:pPr>
    </w:p>
    <w:tbl>
      <w:tblPr>
        <w:tblStyle w:val="Style_3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001"/>
        <w:gridCol w:w="236"/>
        <w:gridCol w:w="5390"/>
      </w:tblGrid>
      <w:tr>
        <w:trPr>
          <w:trHeight w:hRule="atLeast" w:val="3504"/>
        </w:trPr>
        <w:tc>
          <w:tcPr>
            <w:tcW w:type="dxa" w:w="4001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00000">
            <w:pPr>
              <w:pStyle w:val="Style_4"/>
              <w:widowControl w:val="0"/>
              <w:spacing w:after="0" w:before="120"/>
              <w:ind/>
              <w:jc w:val="center"/>
              <w:rPr>
                <w:rFonts w:ascii="PT Astra Serif" w:hAnsi="PT Astra Serif"/>
                <w:b w:val="0"/>
                <w:color w:val="000000"/>
                <w:sz w:val="26"/>
              </w:rPr>
            </w:pPr>
            <w:r>
              <w:rPr>
                <w:rFonts w:ascii="PT Astra Serif" w:hAnsi="PT Astra Serif"/>
                <w:color w:val="000000"/>
                <w:sz w:val="26"/>
              </w:rPr>
              <w:t>МИНИСТЕРСТВО</w:t>
            </w:r>
          </w:p>
          <w:p w14:paraId="05000000">
            <w:pPr>
              <w:pStyle w:val="Style_5"/>
              <w:widowControl w:val="0"/>
              <w:ind/>
              <w:jc w:val="center"/>
              <w:rPr>
                <w:rFonts w:ascii="PT Astra Serif" w:hAnsi="PT Astra Serif"/>
                <w:b w:val="1"/>
                <w:sz w:val="26"/>
              </w:rPr>
            </w:pPr>
            <w:r>
              <w:rPr>
                <w:rFonts w:ascii="PT Astra Serif" w:hAnsi="PT Astra Serif"/>
                <w:b w:val="1"/>
                <w:sz w:val="26"/>
              </w:rPr>
              <w:t>ИМУЩЕСТВЕННЫХ И ЗЕМЕЛЬНЫХ ОТНОШЕНИЙ</w:t>
            </w:r>
          </w:p>
          <w:p w14:paraId="06000000">
            <w:pPr>
              <w:pStyle w:val="Style_5"/>
              <w:widowControl w:val="0"/>
              <w:ind/>
              <w:jc w:val="center"/>
              <w:rPr>
                <w:rFonts w:ascii="PT Astra Serif" w:hAnsi="PT Astra Serif"/>
                <w:b w:val="1"/>
                <w:sz w:val="26"/>
              </w:rPr>
            </w:pPr>
            <w:r>
              <w:rPr>
                <w:rFonts w:ascii="PT Astra Serif" w:hAnsi="PT Astra Serif"/>
                <w:b w:val="1"/>
                <w:sz w:val="26"/>
              </w:rPr>
              <w:t>ТУЛЬСКОЙ ОБЛАСТИ</w:t>
            </w:r>
          </w:p>
          <w:p w14:paraId="07000000">
            <w:pPr>
              <w:pStyle w:val="Style_5"/>
              <w:widowControl w:val="0"/>
              <w:spacing w:after="0" w:before="6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ул. Жаворонкова, 2, г. Тула, 300012</w:t>
            </w:r>
          </w:p>
          <w:p w14:paraId="08000000">
            <w:pPr>
              <w:pStyle w:val="Style_5"/>
              <w:widowControl w:val="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телефон: 24-53-33, факс: 36-14-11</w:t>
            </w:r>
          </w:p>
          <w:p w14:paraId="09000000">
            <w:pPr>
              <w:pStyle w:val="Style_5"/>
              <w:widowControl w:val="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Сайт</w:t>
            </w:r>
            <w:r>
              <w:rPr>
                <w:rFonts w:ascii="PT Astra Serif" w:hAnsi="PT Astra Serif"/>
                <w:sz w:val="20"/>
              </w:rPr>
              <w:t xml:space="preserve">: </w:t>
            </w:r>
            <w:r>
              <w:rPr>
                <w:rFonts w:ascii="PT Astra Serif" w:hAnsi="PT Astra Serif"/>
                <w:sz w:val="20"/>
              </w:rPr>
              <w:fldChar w:fldCharType="begin"/>
            </w:r>
            <w:r>
              <w:rPr>
                <w:rFonts w:ascii="PT Astra Serif" w:hAnsi="PT Astra Serif"/>
                <w:sz w:val="20"/>
              </w:rPr>
              <w:instrText>HYPERLINK "http://mizo.tularegion.ru/"</w:instrText>
            </w:r>
            <w:r>
              <w:rPr>
                <w:rFonts w:ascii="PT Astra Serif" w:hAnsi="PT Astra Serif"/>
                <w:sz w:val="20"/>
              </w:rPr>
              <w:fldChar w:fldCharType="separate"/>
            </w:r>
            <w:r>
              <w:rPr>
                <w:rFonts w:ascii="PT Astra Serif" w:hAnsi="PT Astra Serif"/>
                <w:sz w:val="20"/>
              </w:rPr>
              <w:t>http://mizo.tularegion.ru</w:t>
            </w:r>
            <w:r>
              <w:rPr>
                <w:rFonts w:ascii="PT Astra Serif" w:hAnsi="PT Astra Serif"/>
                <w:sz w:val="20"/>
              </w:rPr>
              <w:fldChar w:fldCharType="end"/>
            </w:r>
          </w:p>
          <w:p w14:paraId="0A000000">
            <w:pPr>
              <w:pStyle w:val="Style_5"/>
              <w:widowControl w:val="0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 xml:space="preserve"> </w:t>
            </w:r>
            <w:r>
              <w:rPr>
                <w:rFonts w:ascii="PT Astra Serif" w:hAnsi="PT Astra Serif"/>
                <w:sz w:val="20"/>
              </w:rPr>
              <w:t xml:space="preserve">E-mail: </w:t>
            </w:r>
            <w:r>
              <w:rPr>
                <w:rFonts w:ascii="PT Astra Serif" w:hAnsi="PT Astra Serif"/>
                <w:sz w:val="20"/>
              </w:rPr>
              <w:fldChar w:fldCharType="begin"/>
            </w:r>
            <w:r>
              <w:rPr>
                <w:rFonts w:ascii="PT Astra Serif" w:hAnsi="PT Astra Serif"/>
                <w:sz w:val="20"/>
              </w:rPr>
              <w:instrText>HYPERLINK "mailto:mizo@tularegion.ru"</w:instrText>
            </w:r>
            <w:r>
              <w:rPr>
                <w:rFonts w:ascii="PT Astra Serif" w:hAnsi="PT Astra Serif"/>
                <w:sz w:val="20"/>
              </w:rPr>
              <w:fldChar w:fldCharType="separate"/>
            </w:r>
            <w:r>
              <w:rPr>
                <w:rFonts w:ascii="PT Astra Serif" w:hAnsi="PT Astra Serif"/>
                <w:sz w:val="20"/>
              </w:rPr>
              <w:t>mizo@tularegion.ru</w:t>
            </w:r>
            <w:r>
              <w:rPr>
                <w:rFonts w:ascii="PT Astra Serif" w:hAnsi="PT Astra Serif"/>
                <w:sz w:val="20"/>
              </w:rPr>
              <w:fldChar w:fldCharType="end"/>
            </w:r>
          </w:p>
          <w:p w14:paraId="0B000000">
            <w:pPr>
              <w:pStyle w:val="Style_5"/>
              <w:widowControl w:val="0"/>
              <w:ind/>
              <w:jc w:val="center"/>
              <w:rPr>
                <w:rFonts w:ascii="PT Astra Serif" w:hAnsi="PT Astra Serif"/>
                <w:b w:val="1"/>
                <w:u w:val="single"/>
              </w:rPr>
            </w:pPr>
            <w:r>
              <w:rPr>
                <w:rFonts w:ascii="PT Astra Serif" w:hAnsi="PT Astra Serif"/>
              </w:rPr>
              <w:t>___________</w:t>
            </w:r>
            <w:r>
              <w:rPr>
                <w:rFonts w:ascii="PT Astra Serif" w:hAnsi="PT Astra Serif"/>
              </w:rPr>
              <w:t xml:space="preserve">__ </w:t>
            </w:r>
            <w:r>
              <w:rPr>
                <w:rFonts w:ascii="PT Astra Serif" w:hAnsi="PT Astra Serif"/>
                <w:b w:val="1"/>
              </w:rPr>
              <w:t>№</w:t>
            </w:r>
            <w:r>
              <w:rPr>
                <w:rFonts w:ascii="PT Astra Serif" w:hAnsi="PT Astra Serif"/>
              </w:rPr>
              <w:t>__б/н_____</w:t>
            </w:r>
          </w:p>
          <w:p w14:paraId="0C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1"/>
              </w:rPr>
            </w:pPr>
          </w:p>
          <w:p w14:paraId="0D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1"/>
              </w:rPr>
            </w:pPr>
          </w:p>
        </w:tc>
        <w:tc>
          <w:tcPr>
            <w:tcW w:type="dxa" w:w="236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color w:val="FFFFFF"/>
              </w:rPr>
            </w:pPr>
          </w:p>
        </w:tc>
        <w:tc>
          <w:tcPr>
            <w:tcW w:type="dxa" w:w="5390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  <w:sz w:val="26"/>
              </w:rPr>
            </w:pPr>
            <w:r>
              <w:rPr>
                <w:rFonts w:ascii="PT Astra Serif" w:hAnsi="PT Astra Serif"/>
                <w:b w:val="1"/>
                <w:sz w:val="26"/>
              </w:rPr>
              <w:t>А</w:t>
            </w:r>
            <w:r>
              <w:rPr>
                <w:rFonts w:ascii="PT Astra Serif" w:hAnsi="PT Astra Serif"/>
                <w:b w:val="0"/>
                <w:sz w:val="26"/>
              </w:rPr>
              <w:t>рбитражный суд Тульской области</w:t>
            </w:r>
          </w:p>
          <w:p w14:paraId="10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  <w:color w:val="FF0000"/>
              </w:rPr>
            </w:pPr>
            <w:r>
              <w:rPr>
                <w:rFonts w:ascii="PT Astra Serif" w:hAnsi="PT Astra Serif"/>
                <w:b w:val="0"/>
              </w:rPr>
              <w:t>300041, г. Тула, Красноармейский пр. 5</w:t>
            </w:r>
          </w:p>
          <w:p w14:paraId="11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  <w:sz w:val="26"/>
                <w:u w:val="single"/>
              </w:rPr>
            </w:pPr>
          </w:p>
          <w:p w14:paraId="12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  <w:sz w:val="26"/>
                <w:u w:val="single"/>
              </w:rPr>
            </w:pPr>
            <w:r>
              <w:rPr>
                <w:rFonts w:ascii="PT Astra Serif" w:hAnsi="PT Astra Serif"/>
                <w:b w:val="0"/>
                <w:sz w:val="26"/>
                <w:u w:val="single"/>
              </w:rPr>
              <w:t>Истец:</w:t>
            </w:r>
          </w:p>
          <w:p w14:paraId="13000000">
            <w:pPr>
              <w:pStyle w:val="Style_5"/>
              <w:widowControl w:val="0"/>
              <w:ind w:firstLine="0" w:left="-108" w:right="-108"/>
              <w:jc w:val="center"/>
              <w:rPr>
                <w:rFonts w:ascii="PT Astra Serif" w:hAnsi="PT Astra Serif"/>
                <w:b w:val="0"/>
              </w:rPr>
            </w:pPr>
            <w:r>
              <w:rPr>
                <w:rFonts w:ascii="PT Astra Serif" w:hAnsi="PT Astra Serif"/>
                <w:b w:val="0"/>
                <w:sz w:val="26"/>
              </w:rPr>
              <w:t>ХХХХ</w:t>
            </w:r>
          </w:p>
          <w:p w14:paraId="14000000">
            <w:pPr>
              <w:pStyle w:val="Style_5"/>
              <w:widowControl w:val="0"/>
              <w:ind w:firstLine="0" w:left="-108" w:right="-108"/>
              <w:jc w:val="center"/>
              <w:rPr>
                <w:rFonts w:ascii="PT Astra Serif" w:hAnsi="PT Astra Serif"/>
                <w:b w:val="0"/>
              </w:rPr>
            </w:pPr>
            <w:r>
              <w:rPr>
                <w:rFonts w:ascii="PT Astra Serif" w:hAnsi="PT Astra Serif"/>
                <w:b w:val="0"/>
              </w:rPr>
              <w:t xml:space="preserve">ИНН: </w:t>
            </w:r>
            <w:r>
              <w:rPr>
                <w:rFonts w:ascii="PT Astra Serif" w:hAnsi="PT Astra Serif"/>
                <w:b w:val="0"/>
                <w:sz w:val="26"/>
              </w:rPr>
              <w:t>ХХХХ</w:t>
            </w:r>
            <w:r>
              <w:rPr>
                <w:rFonts w:ascii="PT Astra Serif" w:hAnsi="PT Astra Serif"/>
                <w:b w:val="0"/>
              </w:rPr>
              <w:t>; ОГРН:</w:t>
            </w:r>
            <w:r>
              <w:rPr>
                <w:rFonts w:ascii="PT Astra Serif" w:hAnsi="PT Astra Serif"/>
                <w:b w:val="0"/>
              </w:rPr>
              <w:t xml:space="preserve"> </w:t>
            </w:r>
            <w:r>
              <w:rPr>
                <w:rFonts w:ascii="PT Astra Serif" w:hAnsi="PT Astra Serif"/>
                <w:b w:val="0"/>
                <w:sz w:val="26"/>
              </w:rPr>
              <w:t>ХХХХ</w:t>
            </w:r>
          </w:p>
          <w:p w14:paraId="15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</w:rPr>
            </w:pPr>
            <w:r>
              <w:rPr>
                <w:rFonts w:ascii="PT Astra Serif" w:hAnsi="PT Astra Serif"/>
                <w:b w:val="0"/>
              </w:rPr>
              <w:t xml:space="preserve">адрес: </w:t>
            </w:r>
            <w:r>
              <w:rPr>
                <w:rFonts w:ascii="PT Astra Serif" w:hAnsi="PT Astra Serif"/>
                <w:b w:val="0"/>
              </w:rPr>
              <w:t>ХХХХ</w:t>
            </w:r>
          </w:p>
          <w:p w14:paraId="16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</w:rPr>
            </w:pPr>
          </w:p>
          <w:p w14:paraId="17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  <w:sz w:val="26"/>
                <w:u w:val="single"/>
              </w:rPr>
            </w:pPr>
            <w:r>
              <w:rPr>
                <w:rFonts w:ascii="PT Astra Serif" w:hAnsi="PT Astra Serif"/>
                <w:b w:val="0"/>
                <w:sz w:val="26"/>
                <w:u w:val="single"/>
              </w:rPr>
              <w:t>Ответчик:</w:t>
            </w:r>
          </w:p>
          <w:p w14:paraId="18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  <w:sz w:val="26"/>
              </w:rPr>
            </w:pPr>
            <w:r>
              <w:rPr>
                <w:rFonts w:ascii="PT Astra Serif" w:hAnsi="PT Astra Serif"/>
                <w:b w:val="0"/>
              </w:rPr>
              <w:t>ХХХХ</w:t>
            </w:r>
          </w:p>
          <w:p w14:paraId="19000000">
            <w:pPr>
              <w:pStyle w:val="Style_5"/>
              <w:widowControl w:val="0"/>
              <w:ind w:firstLine="0" w:left="-108" w:right="-108"/>
              <w:jc w:val="center"/>
              <w:rPr>
                <w:rFonts w:ascii="PT Astra Serif" w:hAnsi="PT Astra Serif"/>
                <w:b w:val="0"/>
              </w:rPr>
            </w:pPr>
            <w:r>
              <w:rPr>
                <w:rFonts w:ascii="PT Astra Serif" w:hAnsi="PT Astra Serif"/>
                <w:b w:val="0"/>
              </w:rPr>
              <w:t xml:space="preserve">ИНН </w:t>
            </w:r>
            <w:bookmarkStart w:id="1" w:name="_GoBack"/>
            <w:bookmarkEnd w:id="1"/>
            <w:r>
              <w:rPr>
                <w:rFonts w:ascii="PT Astra Serif" w:hAnsi="PT Astra Serif"/>
                <w:b w:val="0"/>
              </w:rPr>
              <w:t>ХХХХ</w:t>
            </w:r>
            <w:r>
              <w:rPr>
                <w:rFonts w:ascii="PT Astra Serif" w:hAnsi="PT Astra Serif"/>
                <w:b w:val="0"/>
              </w:rPr>
              <w:t>; ОГРН</w:t>
            </w:r>
            <w:r>
              <w:rPr>
                <w:rFonts w:ascii="PT Astra Serif" w:hAnsi="PT Astra Serif"/>
                <w:b w:val="0"/>
              </w:rPr>
              <w:t xml:space="preserve"> </w:t>
            </w:r>
            <w:r>
              <w:rPr>
                <w:rFonts w:ascii="PT Astra Serif" w:hAnsi="PT Astra Serif"/>
                <w:b w:val="0"/>
              </w:rPr>
              <w:t>ХХХХ</w:t>
            </w:r>
          </w:p>
          <w:p w14:paraId="1A000000">
            <w:pPr>
              <w:pStyle w:val="Style_2"/>
              <w:widowControl w:val="0"/>
              <w:ind/>
              <w:jc w:val="center"/>
              <w:rPr>
                <w:rFonts w:ascii="PT Astra Serif" w:hAnsi="PT Astra Serif"/>
                <w:b w:val="0"/>
              </w:rPr>
            </w:pPr>
            <w:r>
              <w:rPr>
                <w:rFonts w:ascii="PT Astra Serif" w:hAnsi="PT Astra Serif"/>
                <w:b w:val="0"/>
              </w:rPr>
              <w:t xml:space="preserve">адрес: </w:t>
            </w:r>
            <w:r>
              <w:rPr>
                <w:rFonts w:ascii="PT Astra Serif" w:hAnsi="PT Astra Serif"/>
                <w:b w:val="0"/>
              </w:rPr>
              <w:t>ХХХХ</w:t>
            </w:r>
          </w:p>
        </w:tc>
      </w:tr>
    </w:tbl>
    <w:p w14:paraId="1B000000">
      <w:pPr>
        <w:pStyle w:val="Style_5"/>
        <w:ind/>
        <w:jc w:val="center"/>
        <w:rPr>
          <w:rFonts w:ascii="PT Astra Serif" w:hAnsi="PT Astra Serif"/>
          <w:b w:val="1"/>
          <w:sz w:val="25"/>
        </w:rPr>
      </w:pPr>
    </w:p>
    <w:p w14:paraId="1C000000">
      <w:pPr>
        <w:pStyle w:val="Style_5"/>
        <w:ind/>
        <w:jc w:val="center"/>
        <w:rPr>
          <w:rFonts w:ascii="PT Astra Serif" w:hAnsi="PT Astra Serif"/>
          <w:b w:val="1"/>
          <w:sz w:val="25"/>
        </w:rPr>
      </w:pPr>
      <w:r>
        <w:rPr>
          <w:rFonts w:ascii="PT Astra Serif" w:hAnsi="PT Astra Serif"/>
          <w:b w:val="1"/>
          <w:sz w:val="25"/>
        </w:rPr>
        <w:t xml:space="preserve">ИСКОВОЕ ЗАЯВЛЕНИЕ </w:t>
      </w:r>
    </w:p>
    <w:p w14:paraId="1D000000">
      <w:pPr>
        <w:pStyle w:val="Style_5"/>
        <w:ind/>
        <w:jc w:val="center"/>
        <w:rPr>
          <w:rFonts w:ascii="PT Astra Serif" w:hAnsi="PT Astra Serif"/>
          <w:b w:val="1"/>
          <w:sz w:val="25"/>
        </w:rPr>
      </w:pPr>
      <w:r>
        <w:rPr>
          <w:rFonts w:ascii="PT Astra Serif" w:hAnsi="PT Astra Serif"/>
          <w:b w:val="1"/>
          <w:sz w:val="25"/>
        </w:rPr>
        <w:t>о взыскании задолженности по арендной плате, пени</w:t>
      </w:r>
    </w:p>
    <w:p w14:paraId="1E000000">
      <w:pPr>
        <w:pStyle w:val="Style_5"/>
        <w:ind/>
        <w:jc w:val="center"/>
        <w:rPr>
          <w:rFonts w:ascii="PT Astra Serif" w:hAnsi="PT Astra Serif"/>
          <w:b w:val="1"/>
          <w:sz w:val="25"/>
        </w:rPr>
      </w:pPr>
    </w:p>
    <w:p w14:paraId="1F000000">
      <w:pPr>
        <w:pStyle w:val="Style_5"/>
        <w:ind w:firstLine="709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16.10.2009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(далее – Арендодатель) и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(далее –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, Арендатор) на основании постановления администрации МО ленинский район от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№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заключен договор аренды земельного участка №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(далее – Договор).</w:t>
      </w:r>
    </w:p>
    <w:p w14:paraId="20000000">
      <w:pPr>
        <w:pStyle w:val="Style_5"/>
        <w:ind w:firstLine="709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Согласно условиям договора, арендодатель предоставляет, а арендатор принимает в аренду, земельный участок с кадастровым номером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, площадью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кв.м., с местоположением: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, участок поставлен на государственный кадастровый учет и обозначен в прилагаемом к договору кадастровом паспорте земельного участка (п. 1.1. договора). </w:t>
      </w:r>
    </w:p>
    <w:p w14:paraId="21000000">
      <w:pPr>
        <w:pStyle w:val="Style_5"/>
        <w:ind w:firstLine="709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Вид разрешенного использования земельного участка: для организации тренировочной площадки по вождению автомобилей (п. 1.1. договора). </w:t>
      </w:r>
    </w:p>
    <w:p w14:paraId="22000000">
      <w:pPr>
        <w:pStyle w:val="Style_5"/>
        <w:ind w:firstLine="709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Договор заключен сроком на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лет с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по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(п. 2.1 договора) договор считается заключенным и вступает в силу со дня его регистрации, договор зарегистрирован в Управлении Росреестра по Тульской области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>.</w:t>
      </w:r>
    </w:p>
    <w:p w14:paraId="23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между </w:t>
      </w:r>
      <w:r>
        <w:rPr>
          <w:rFonts w:ascii="PT Astra Serif" w:hAnsi="PT Astra Serif"/>
          <w:sz w:val="25"/>
        </w:rPr>
        <w:t>министерство</w:t>
      </w:r>
      <w:r>
        <w:rPr>
          <w:rFonts w:ascii="PT Astra Serif" w:hAnsi="PT Astra Serif"/>
          <w:sz w:val="25"/>
        </w:rPr>
        <w:t>м</w:t>
      </w:r>
      <w:r>
        <w:rPr>
          <w:rFonts w:ascii="PT Astra Serif" w:hAnsi="PT Astra Serif"/>
          <w:sz w:val="25"/>
        </w:rPr>
        <w:t xml:space="preserve"> имущественных и земельных отношений Тульской области (далее – Министерство) </w:t>
      </w:r>
      <w:r>
        <w:rPr>
          <w:rFonts w:ascii="PT Astra Serif" w:hAnsi="PT Astra Serif"/>
          <w:sz w:val="25"/>
        </w:rPr>
        <w:t>и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>подписан акт приема-передачи земельного участка.</w:t>
      </w:r>
    </w:p>
    <w:p w14:paraId="24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Согласно указу губернатора Тульской области от 15.09.2011 № 1                              «О правительстве Тульской области и органах исполнительной власти Тульской области» департамент имущественных и земельных отношений Тульской области был реорганизован в министерство имущественных и земельных отношений Тульской области, которое в настоящее время выступает арендодателем по вышеуказанному Договору.</w:t>
      </w:r>
    </w:p>
    <w:p w14:paraId="25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В связи с вступлением в силу Закона Тульской области от 11.06.2014                                                                       № 2133-ЗТО «Об объединении муниципальных образований, расположенных                        на территории Ленинского района Тульской области, с муниципальным образованием город Тула, о внесении изменений в закон Тульской области «О переименовании «Муниципального образования город Тула Тульской области», установлении границы муниципального образования город Тула и наделении его статусом городского округа», правопреемником администрации муниципального образования Ленинский район, как исполнительно-распорядительного органа местного самоуправления, стала администрация города Тулы.</w:t>
      </w:r>
    </w:p>
    <w:p w14:paraId="26000000">
      <w:pPr>
        <w:pStyle w:val="Style_5"/>
        <w:ind w:firstLine="567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20.11.2014 Тульской областной Думой принят Закон № 2218-ЗТО                                          «О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области» (далее также Закон № 2218-ЗТО), согласно п. 1 ч. 1, п. 2 ст. 5 Закона № 2218-ЗТО с 01.01.2015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участками, государственная собственность на которые не разграничена.  </w:t>
      </w:r>
    </w:p>
    <w:p w14:paraId="27000000">
      <w:pPr>
        <w:pStyle w:val="Style_5"/>
        <w:ind w:firstLine="567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28.11.2019 Тульской областной Думой принят Закон № 118-ЗТО                                      «О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области» (далее - Закон № 118-ЗТО), согласно ст.1 Закона № 118-ЗТО                         с 01.01.2020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участками, государственная собственность на которые не разграничена.</w:t>
      </w:r>
    </w:p>
    <w:p w14:paraId="28000000">
      <w:pPr>
        <w:pStyle w:val="Style_5"/>
        <w:ind w:firstLine="567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Постановлением правительства Тульской области от 13.10.2016                                              № 452 утверждено Положение о министерстве имущественных и земельных отношений Тульской области.</w:t>
      </w:r>
    </w:p>
    <w:p w14:paraId="29000000">
      <w:pPr>
        <w:pStyle w:val="Style_5"/>
        <w:ind w:firstLine="567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5"/>
        </w:rPr>
        <w:t>В соответствии с п. 54 Положения о министерстве имущественных и земельных отношений Тульской области, утвержденного постановлением правительства Тульской области от 13.10.2016 № 452 (ред. от 10.06.2020), Министерство выступает в качестве истца, административного истца, ответчика, административного ответчика, 3-го лица, заинтересованного лица при рассмотрении споров, связанных с владением, пользованием и распоряжением имуществом и земельными участками, находящимися в собственности области, а также земельными участками, государственная собственность на которые не разграничена, расположенных в границах муниципального образования город Тула.</w:t>
      </w:r>
    </w:p>
    <w:p w14:paraId="2A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Согласно пп. 7 п. 1 ст. 1 Земельного кодекса Российской Федерации (далее –             ЗК РФ) любое использование земли осуществляется за плату, за исключением случаев, установленных федеральными законами и законами субъектов Российской Федерации.</w:t>
      </w:r>
    </w:p>
    <w:p w14:paraId="2B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В силу п. 1 ст. 65 ЗК РФ формами платы за использование земли являются земельный налог и арендная плата.</w:t>
      </w:r>
    </w:p>
    <w:p w14:paraId="2C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В соответствии с п. 3 вышеуказанной статьи за земли, переданные в аренду, взимается арендная плата. Порядок определения размера арендной платы, порядок, условия и сроки внесения арендной платы за земли, находящиеся в собственности Российской Федерации, субъектов Российской Федерации или муниципальной собственности, устанавливаются соответственно Правительством Российской Федерации, органами государственной власти субъектов Российской Федерации, органами местного самоуправления.</w:t>
      </w:r>
    </w:p>
    <w:p w14:paraId="2D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Ст. 606 ГК РФ предусмотрено,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пользование.</w:t>
      </w:r>
    </w:p>
    <w:p w14:paraId="2E000000">
      <w:pPr>
        <w:pStyle w:val="Style_2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Арендатор обязан своевременно вносить плату за пользование имуществом (арендную плату). Порядок, условия и сроки внесения арендной платы определяются договором аренды (ст. 614 ГК РФ).</w:t>
      </w:r>
    </w:p>
    <w:p w14:paraId="2F000000">
      <w:pPr>
        <w:pStyle w:val="Style_5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Размер арендной платы </w:t>
      </w:r>
      <w:r>
        <w:rPr>
          <w:rFonts w:ascii="PT Astra Serif" w:hAnsi="PT Astra Serif"/>
          <w:sz w:val="25"/>
        </w:rPr>
        <w:t>н</w:t>
      </w:r>
      <w:r>
        <w:rPr>
          <w:rFonts w:ascii="PT Astra Serif" w:hAnsi="PT Astra Serif"/>
          <w:sz w:val="25"/>
        </w:rPr>
        <w:t xml:space="preserve">а момент заключения договора был определен на основании отчета №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по состоянию на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и составлял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руб. за год, ежемесячная арендная плата составляла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руб. (п. 3.1 Договора).</w:t>
      </w:r>
    </w:p>
    <w:p w14:paraId="30000000">
      <w:pPr>
        <w:pStyle w:val="Style_5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В соответствии с п. 3.3 и 3.4 Договора первый арендный платеж производится до 1 числа месяца, следующего за днем заключения Договора. Последующие платежи исчисляются ежемесячно и уплачиваются за текущий месяц до 10 числа текущего месяца.</w:t>
      </w:r>
    </w:p>
    <w:p w14:paraId="31000000">
      <w:pPr>
        <w:pStyle w:val="Style_5"/>
        <w:ind w:firstLine="426" w:left="0" w:right="282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Годовой размер арендной платы определяется на основании кадастровой стоимости земельного участка по формуле:</w:t>
      </w:r>
    </w:p>
    <w:p w14:paraId="32000000">
      <w:pPr>
        <w:pStyle w:val="Style_5"/>
        <w:ind w:firstLine="426" w:left="0" w:right="282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Аг = КС * Ки, где</w:t>
      </w:r>
    </w:p>
    <w:p w14:paraId="33000000">
      <w:pPr>
        <w:pStyle w:val="Style_5"/>
        <w:ind w:firstLine="426" w:left="0" w:right="282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Аг - годовой размер арендной платы, в рублях;</w:t>
      </w:r>
    </w:p>
    <w:p w14:paraId="34000000">
      <w:pPr>
        <w:pStyle w:val="Style_5"/>
        <w:ind w:firstLine="426" w:left="0" w:right="282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КС - кадастровая стоимость земельного участка, в рублях;</w:t>
      </w:r>
    </w:p>
    <w:p w14:paraId="35000000">
      <w:pPr>
        <w:pStyle w:val="Style_5"/>
        <w:ind w:firstLine="426" w:left="0" w:right="282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Ки - коэффициент вида разрешенного использования земельного участка (далее - коэффициент использования Ки), в процентах.</w:t>
      </w:r>
    </w:p>
    <w:p w14:paraId="36000000">
      <w:pPr>
        <w:pStyle w:val="Style_5"/>
        <w:ind w:firstLine="426" w:left="0" w:right="-1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С 01.01.2021 в связи с изменением кадастровой стоимости земельного участка (Постановление Правительства Тульской области от 05.11.2020 № 670                                   «Об утверждении результатов определения кадастровой стоимости земельных участков в составе земель населенных пунктов Тульской области)» арендная плата по Договору составила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руб. в месяц, о чем арендатор уведомлен публикацией на официальном интернет-портале правовой информации «http://pravo.gov.ru»,«http://mizo.tularegion.ru»,(</w:t>
      </w:r>
      <w:r>
        <w:rPr>
          <w:rFonts w:ascii="PT Astra Serif" w:hAnsi="PT Astra Serif"/>
          <w:sz w:val="25"/>
        </w:rPr>
        <w:fldChar w:fldCharType="begin"/>
      </w:r>
      <w:r>
        <w:rPr>
          <w:rFonts w:ascii="PT Astra Serif" w:hAnsi="PT Astra Serif"/>
          <w:sz w:val="25"/>
        </w:rPr>
        <w:instrText>HYPERLINK "https://mizo.tularegion.ru/press_center/news/vnimaniyu-arendatorov/"</w:instrText>
      </w:r>
      <w:r>
        <w:rPr>
          <w:rFonts w:ascii="PT Astra Serif" w:hAnsi="PT Astra Serif"/>
          <w:sz w:val="25"/>
        </w:rPr>
        <w:fldChar w:fldCharType="separate"/>
      </w:r>
      <w:r>
        <w:rPr>
          <w:rFonts w:ascii="PT Astra Serif" w:hAnsi="PT Astra Serif"/>
          <w:sz w:val="25"/>
        </w:rPr>
        <w:t>https://mizo.tularegion.ru/press_center/news/vnimaniyu-arendatorov/</w:t>
      </w:r>
      <w:r>
        <w:rPr>
          <w:rFonts w:ascii="PT Astra Serif" w:hAnsi="PT Astra Serif"/>
          <w:sz w:val="25"/>
        </w:rPr>
        <w:fldChar w:fldCharType="end"/>
      </w:r>
      <w:r>
        <w:rPr>
          <w:rFonts w:ascii="PT Astra Serif" w:hAnsi="PT Astra Serif"/>
          <w:sz w:val="25"/>
        </w:rPr>
        <w:t>):</w:t>
      </w:r>
    </w:p>
    <w:tbl>
      <w:tblPr>
        <w:tblStyle w:val="Style_3"/>
        <w:tblInd w:type="dxa" w:w="113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19"/>
        <w:gridCol w:w="2701"/>
        <w:gridCol w:w="2180"/>
        <w:gridCol w:w="2699"/>
      </w:tblGrid>
      <w:tr>
        <w:trPr>
          <w:trHeight w:hRule="atLeast" w:val="300"/>
        </w:trPr>
        <w:tc>
          <w:tcPr>
            <w:tcW w:type="dxa" w:w="1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7000000">
            <w:pPr>
              <w:pStyle w:val="Style_5"/>
              <w:widowControl w:val="0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256957</w:t>
            </w:r>
          </w:p>
        </w:tc>
        <w:tc>
          <w:tcPr>
            <w:tcW w:type="dxa" w:w="2701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8000000">
            <w:pPr>
              <w:pStyle w:val="Style_5"/>
              <w:widowControl w:val="0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71:14:030614:373</w:t>
            </w:r>
          </w:p>
        </w:tc>
        <w:tc>
          <w:tcPr>
            <w:tcW w:type="dxa" w:w="2180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9000000">
            <w:pPr>
              <w:pStyle w:val="Style_5"/>
              <w:widowControl w:val="0"/>
              <w:ind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2 492,00</w:t>
            </w:r>
          </w:p>
        </w:tc>
        <w:tc>
          <w:tcPr>
            <w:tcW w:type="dxa" w:w="2699"/>
            <w:tcBorders>
              <w:top w:color="000000" w:sz="4" w:val="single"/>
              <w:bottom w:color="000000" w:sz="4" w:val="single"/>
              <w:right w:color="00000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3A000000">
            <w:pPr>
              <w:pStyle w:val="Style_5"/>
              <w:widowControl w:val="0"/>
              <w:ind/>
              <w:jc w:val="center"/>
              <w:rPr>
                <w:sz w:val="22"/>
              </w:rPr>
            </w:pPr>
            <w:r>
              <w:rPr>
                <w:sz w:val="22"/>
              </w:rPr>
              <w:t>787 907,48</w:t>
            </w:r>
          </w:p>
        </w:tc>
      </w:tr>
    </w:tbl>
    <w:p w14:paraId="3B000000">
      <w:pPr>
        <w:pStyle w:val="Style_5"/>
        <w:ind w:firstLine="708" w:left="0"/>
        <w:jc w:val="center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Аг =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*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=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руб. в год.</w:t>
      </w:r>
    </w:p>
    <w:p w14:paraId="3C000000">
      <w:pPr>
        <w:pStyle w:val="Style_5"/>
        <w:ind w:firstLine="708" w:left="0"/>
        <w:jc w:val="center"/>
        <w:rPr>
          <w:rFonts w:ascii="PT Astra Serif" w:hAnsi="PT Astra Serif"/>
          <w:sz w:val="25"/>
        </w:rPr>
      </w:pP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/12 =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sz w:val="25"/>
        </w:rPr>
        <w:t>руб. в месяц.</w:t>
      </w:r>
    </w:p>
    <w:p w14:paraId="3D000000">
      <w:pPr>
        <w:pStyle w:val="Style_5"/>
        <w:ind w:firstLine="709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Вместе с тем, установленной законодательством РФ и договором обязанности по своевременной уплате арендной платы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не исполнило. В результате чего за ответчиком за период </w:t>
      </w:r>
      <w:r>
        <w:rPr>
          <w:rFonts w:ascii="PT Astra Serif" w:hAnsi="PT Astra Serif"/>
          <w:b w:val="1"/>
          <w:sz w:val="25"/>
        </w:rPr>
        <w:t xml:space="preserve">с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b w:val="1"/>
          <w:sz w:val="25"/>
        </w:rPr>
        <w:t xml:space="preserve"> по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 образовалась задолженность по арендной плате в размере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b w:val="1"/>
          <w:sz w:val="25"/>
        </w:rPr>
        <w:t>руб.</w:t>
      </w:r>
      <w:r>
        <w:rPr>
          <w:rFonts w:ascii="PT Astra Serif" w:hAnsi="PT Astra Serif"/>
          <w:color w:themeColor="text1" w:val="000000"/>
          <w:sz w:val="25"/>
        </w:rPr>
        <w:t xml:space="preserve"> (расчет прилагается).</w:t>
      </w:r>
    </w:p>
    <w:p w14:paraId="3E000000">
      <w:pPr>
        <w:pStyle w:val="Style_5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В соответствии с п. 5.2 Договора в случае неуплаты арендной платы                                в установленный срок ответчик принял на себя обязанность по уплате пени в размере 1/300 действующей ставки рефинансирования ЦБ РФ от суммы задолженности за каждый день просрочки, что составляет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b w:val="1"/>
          <w:sz w:val="25"/>
        </w:rPr>
        <w:t>руб.</w:t>
      </w:r>
    </w:p>
    <w:p w14:paraId="3F000000">
      <w:pPr>
        <w:pStyle w:val="Style_5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Таким образом, за ответчиком числится задолженность по арендной плате и пени в размере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1"/>
          <w:sz w:val="25"/>
        </w:rPr>
        <w:t>руб.</w:t>
      </w:r>
      <w:r>
        <w:rPr>
          <w:rFonts w:ascii="PT Astra Serif" w:hAnsi="PT Astra Serif"/>
          <w:sz w:val="25"/>
        </w:rPr>
        <w:t xml:space="preserve"> </w:t>
      </w:r>
    </w:p>
    <w:p w14:paraId="40000000">
      <w:pPr>
        <w:pStyle w:val="Style_5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В подтверждение соблюдения досудебного порядка урегулирования спора министерством в адрес ответчика направлена претензия от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>№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с требованием о погашении образовавшейся задолженности по арендной плате, причитающихся пени. Данная корреспонденция направлялась ответчику по его адресу, указанному в Договоре и ЕГРЮЛ (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 xml:space="preserve">), которая ответчиком не получена, что подтверждается отчетом об отслеживании отправления с почтовым идентификатором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>ХХХХ</w:t>
      </w:r>
      <w:r>
        <w:rPr>
          <w:rFonts w:ascii="PT Astra Serif" w:hAnsi="PT Astra Serif"/>
          <w:sz w:val="25"/>
        </w:rPr>
        <w:t>.</w:t>
      </w:r>
    </w:p>
    <w:p w14:paraId="41000000">
      <w:pPr>
        <w:pStyle w:val="Style_5"/>
        <w:ind w:firstLine="708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Таким образом, корреспонденция в адрес ответчика направлена в соответствии с пунктами 35, 36 Правил оказания услуг почтовой связи, утвержденных Постановлением Правительства Российской Федерации № 221 от 15.04.2005.</w:t>
      </w:r>
    </w:p>
    <w:p w14:paraId="42000000">
      <w:pPr>
        <w:pStyle w:val="Style_5"/>
        <w:ind w:firstLine="708" w:left="0" w:right="-1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Положение п. 1 ст. 11 ГК РФ устанавливает судебный порядок защиты гражданских прав. </w:t>
      </w:r>
    </w:p>
    <w:p w14:paraId="43000000">
      <w:pPr>
        <w:pStyle w:val="Style_5"/>
        <w:ind w:firstLine="708" w:left="0" w:right="-1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Предъявляя иск о взыскании задолженности по арендной плате и пеней                              по договору аренды земельного участка от </w:t>
      </w:r>
      <w:r>
        <w:rPr>
          <w:rFonts w:ascii="PT Astra Serif" w:hAnsi="PT Astra Serif"/>
          <w:color w:val="000000"/>
          <w:sz w:val="25"/>
        </w:rPr>
        <w:t>16.10.2009 № 201</w:t>
      </w:r>
      <w:r>
        <w:rPr>
          <w:rFonts w:ascii="PT Astra Serif" w:hAnsi="PT Astra Serif"/>
          <w:sz w:val="25"/>
        </w:rPr>
        <w:t>, истец использует предусмотренный законом способ защиты права.</w:t>
      </w:r>
    </w:p>
    <w:p w14:paraId="44000000">
      <w:pPr>
        <w:pStyle w:val="Style_5"/>
        <w:ind w:firstLine="708" w:left="0" w:right="-1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В соответствии с подп. 1.1 п. 1 ст. 333.37 Налогового кодекса Российской Федерации государственные органы, органы местного самоуправления, выступающие в арбитражных судах в качестве истцов или ответчиков, освобождены от уплаты госпошлины.</w:t>
      </w:r>
    </w:p>
    <w:p w14:paraId="45000000">
      <w:pPr>
        <w:pStyle w:val="Style_5"/>
        <w:ind w:firstLine="708" w:left="0" w:right="-1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>На основании вышеизложенного, в соответствии со статьями 11, 309-310, 314, 330, 333, 450, 452, 606, 614, 619  Гражданского кодекса Российской Федерации, статьями 4, 35, 125-126, 176 Арбитражного процессуального кодекса Российской Федерации, подпунктом 1.1 пункта 1 статьи 333.37 Налогового кодекса Российской Федерации</w:t>
      </w:r>
    </w:p>
    <w:p w14:paraId="46000000">
      <w:pPr>
        <w:pStyle w:val="Style_6"/>
        <w:spacing w:line="240" w:lineRule="auto"/>
        <w:ind w:firstLine="540" w:left="720"/>
        <w:jc w:val="center"/>
        <w:rPr>
          <w:rFonts w:ascii="PT Astra Serif" w:hAnsi="PT Astra Serif"/>
          <w:sz w:val="25"/>
        </w:rPr>
      </w:pPr>
      <w:r>
        <w:rPr>
          <w:rFonts w:ascii="PT Astra Serif" w:hAnsi="PT Astra Serif"/>
          <w:b w:val="1"/>
          <w:sz w:val="25"/>
        </w:rPr>
        <w:t>ПРОШУ:</w:t>
      </w:r>
    </w:p>
    <w:p w14:paraId="47000000">
      <w:pPr>
        <w:pStyle w:val="Style_5"/>
        <w:ind w:firstLine="644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- взыскать с ответчика -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в пользу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задолженность по договору аренды земельного участка </w:t>
      </w:r>
      <w:r>
        <w:rPr>
          <w:rFonts w:ascii="PT Astra Serif" w:hAnsi="PT Astra Serif"/>
          <w:color w:themeColor="text1" w:val="000000"/>
          <w:sz w:val="25"/>
        </w:rPr>
        <w:t xml:space="preserve">от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№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за период с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по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включительно в сумме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руб., пени за период с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по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в сумме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руб.,  а также пени в размере 1/300 действующей ставки рефинансирования ЦБ РФ, начисляемые на сумму основного долга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руб. начиная с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5"/>
        </w:rPr>
        <w:t xml:space="preserve"> по день фактического исполнения обязательства.</w:t>
      </w:r>
    </w:p>
    <w:p w14:paraId="48000000">
      <w:pPr>
        <w:pStyle w:val="Style_5"/>
        <w:ind w:firstLine="644" w:left="0"/>
        <w:jc w:val="both"/>
        <w:rPr>
          <w:rFonts w:ascii="PT Astra Serif" w:hAnsi="PT Astra Serif"/>
          <w:sz w:val="26"/>
        </w:rPr>
      </w:pPr>
    </w:p>
    <w:p w14:paraId="49000000">
      <w:pPr>
        <w:pStyle w:val="Style_5"/>
        <w:ind w:firstLine="644" w:left="0"/>
        <w:rPr>
          <w:rFonts w:ascii="PT Astra Serif" w:hAnsi="PT Astra Serif"/>
          <w:color w:themeColor="text1" w:val="000000"/>
          <w:sz w:val="20"/>
        </w:rPr>
      </w:pPr>
      <w:r>
        <w:rPr>
          <w:rFonts w:ascii="PT Astra Serif" w:hAnsi="PT Astra Serif"/>
          <w:color w:themeColor="text1" w:val="000000"/>
          <w:sz w:val="20"/>
        </w:rPr>
        <w:t>Приложение:</w:t>
      </w:r>
    </w:p>
    <w:p w14:paraId="4A000000">
      <w:pPr>
        <w:pStyle w:val="Style_7"/>
        <w:numPr>
          <w:ilvl w:val="0"/>
          <w:numId w:val="1"/>
        </w:numPr>
        <w:ind/>
        <w:jc w:val="both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копия договора аренды от </w:t>
      </w:r>
      <w:r>
        <w:t xml:space="preserve"> ХХХХ </w:t>
      </w:r>
      <w:r>
        <w:rPr>
          <w:rFonts w:ascii="PT Astra Serif" w:hAnsi="PT Astra Serif"/>
          <w:sz w:val="20"/>
        </w:rPr>
        <w:t xml:space="preserve"> с приложениями;</w:t>
      </w:r>
    </w:p>
    <w:p w14:paraId="4B000000">
      <w:pPr>
        <w:pStyle w:val="Style_7"/>
        <w:numPr>
          <w:ilvl w:val="0"/>
          <w:numId w:val="1"/>
        </w:numPr>
        <w:ind/>
        <w:jc w:val="both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копия акта приема-передачи земельного участка от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0"/>
        </w:rPr>
        <w:t>;</w:t>
      </w:r>
    </w:p>
    <w:p w14:paraId="4C000000">
      <w:pPr>
        <w:pStyle w:val="Style_7"/>
        <w:numPr>
          <w:ilvl w:val="0"/>
          <w:numId w:val="1"/>
        </w:numPr>
        <w:ind/>
        <w:jc w:val="both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копия </w:t>
      </w:r>
      <w:r>
        <w:rPr>
          <w:rFonts w:ascii="PT Astra Serif" w:hAnsi="PT Astra Serif"/>
          <w:sz w:val="20"/>
        </w:rPr>
        <w:t>расчет</w:t>
      </w:r>
      <w:r>
        <w:rPr>
          <w:rFonts w:ascii="PT Astra Serif" w:hAnsi="PT Astra Serif"/>
          <w:sz w:val="20"/>
        </w:rPr>
        <w:t>а</w:t>
      </w:r>
      <w:r>
        <w:rPr>
          <w:rFonts w:ascii="PT Astra Serif" w:hAnsi="PT Astra Serif"/>
          <w:sz w:val="20"/>
        </w:rPr>
        <w:t xml:space="preserve"> задолженности </w:t>
      </w:r>
      <w:r>
        <w:rPr>
          <w:rFonts w:ascii="PT Astra Serif" w:hAnsi="PT Astra Serif"/>
          <w:sz w:val="20"/>
        </w:rPr>
        <w:t>и пояснения по порядку начисления</w:t>
      </w:r>
      <w:r>
        <w:rPr>
          <w:rFonts w:ascii="PT Astra Serif" w:hAnsi="PT Astra Serif"/>
          <w:sz w:val="20"/>
        </w:rPr>
        <w:t>;</w:t>
      </w:r>
    </w:p>
    <w:p w14:paraId="4D000000">
      <w:pPr>
        <w:pStyle w:val="Style_7"/>
        <w:numPr>
          <w:ilvl w:val="0"/>
          <w:numId w:val="1"/>
        </w:numPr>
        <w:ind/>
        <w:jc w:val="both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копия претензии от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0"/>
        </w:rPr>
        <w:t xml:space="preserve"> с реестром отправки и отчетом об отслеживании;</w:t>
      </w:r>
    </w:p>
    <w:p w14:paraId="4E000000">
      <w:pPr>
        <w:pStyle w:val="Style_7"/>
        <w:numPr>
          <w:ilvl w:val="0"/>
          <w:numId w:val="1"/>
        </w:numPr>
        <w:ind/>
        <w:jc w:val="both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копия выписки из ЕГРН от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0"/>
        </w:rPr>
        <w:t>;</w:t>
      </w:r>
    </w:p>
    <w:p w14:paraId="4F000000">
      <w:pPr>
        <w:pStyle w:val="Style_7"/>
        <w:numPr>
          <w:ilvl w:val="0"/>
          <w:numId w:val="2"/>
        </w:numPr>
        <w:ind/>
        <w:jc w:val="both"/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>сведения из ЕГРЮЛ в отношении истца и ответчика;</w:t>
      </w:r>
    </w:p>
    <w:p w14:paraId="50000000">
      <w:pPr>
        <w:pStyle w:val="Style_7"/>
        <w:numPr>
          <w:ilvl w:val="0"/>
          <w:numId w:val="2"/>
        </w:numPr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копия распоряжения губернатора Тульской области №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  <w:r>
        <w:rPr>
          <w:rFonts w:ascii="PT Astra Serif" w:hAnsi="PT Astra Serif"/>
          <w:sz w:val="20"/>
        </w:rPr>
        <w:t>;</w:t>
      </w:r>
    </w:p>
    <w:p w14:paraId="51000000">
      <w:pPr>
        <w:pStyle w:val="Style_7"/>
        <w:numPr>
          <w:ilvl w:val="0"/>
          <w:numId w:val="2"/>
        </w:numPr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 xml:space="preserve">доверенность представителя, подписавшего исковое заявление; </w:t>
      </w:r>
    </w:p>
    <w:p w14:paraId="52000000">
      <w:pPr>
        <w:pStyle w:val="Style_7"/>
        <w:numPr>
          <w:ilvl w:val="0"/>
          <w:numId w:val="2"/>
        </w:numPr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>копия диплома;</w:t>
      </w:r>
    </w:p>
    <w:p w14:paraId="53000000">
      <w:pPr>
        <w:pStyle w:val="Style_7"/>
        <w:numPr>
          <w:ilvl w:val="0"/>
          <w:numId w:val="2"/>
        </w:numPr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>копия свидетельства о заключении брака;</w:t>
      </w:r>
    </w:p>
    <w:p w14:paraId="54000000">
      <w:pPr>
        <w:pStyle w:val="Style_7"/>
        <w:numPr>
          <w:ilvl w:val="0"/>
          <w:numId w:val="2"/>
        </w:numPr>
        <w:rPr>
          <w:rFonts w:ascii="PT Astra Serif" w:hAnsi="PT Astra Serif"/>
          <w:sz w:val="20"/>
        </w:rPr>
      </w:pPr>
      <w:r>
        <w:rPr>
          <w:rFonts w:ascii="PT Astra Serif" w:hAnsi="PT Astra Serif"/>
          <w:sz w:val="20"/>
        </w:rPr>
        <w:t>копия реестра отправки иска.</w:t>
      </w:r>
    </w:p>
    <w:p w14:paraId="55000000">
      <w:pPr>
        <w:pStyle w:val="Style_5"/>
        <w:ind/>
        <w:jc w:val="both"/>
        <w:rPr>
          <w:rFonts w:ascii="PT Astra Serif" w:hAnsi="PT Astra Serif"/>
          <w:b w:val="1"/>
        </w:rPr>
      </w:pPr>
    </w:p>
    <w:p w14:paraId="56000000">
      <w:pPr>
        <w:pStyle w:val="Style_5"/>
        <w:ind/>
        <w:jc w:val="both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Представитель министерства </w:t>
      </w:r>
    </w:p>
    <w:p w14:paraId="57000000">
      <w:pPr>
        <w:pStyle w:val="Style_5"/>
        <w:ind/>
        <w:jc w:val="both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Имущественных и земельных отношений </w:t>
      </w:r>
    </w:p>
    <w:p w14:paraId="58000000">
      <w:pPr>
        <w:pStyle w:val="Style_5"/>
        <w:ind/>
        <w:jc w:val="both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Тульской области по доверенности                                                 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</w:p>
    <w:p w14:paraId="59000000">
      <w:pPr>
        <w:pStyle w:val="Style_5"/>
        <w:ind/>
        <w:jc w:val="both"/>
        <w:rPr>
          <w:rFonts w:ascii="PT Astra Serif" w:hAnsi="PT Astra Serif"/>
          <w:b w:val="1"/>
          <w:sz w:val="26"/>
        </w:rPr>
      </w:pPr>
    </w:p>
    <w:p w14:paraId="5A000000">
      <w:pPr>
        <w:pStyle w:val="Style_5"/>
        <w:ind/>
        <w:jc w:val="both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</w:rPr>
        <w:t xml:space="preserve">Телефон: 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</w:p>
    <w:p w14:paraId="5B000000">
      <w:pPr>
        <w:pStyle w:val="Style_5"/>
        <w:ind w:firstLine="0" w:left="0" w:right="282"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E-mail: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b w:val="0"/>
        </w:rPr>
        <w:t xml:space="preserve">ХХХХ </w:t>
      </w:r>
    </w:p>
    <w:sectPr>
      <w:footerReference r:id="rId1" w:type="default"/>
      <w:type w:val="nextPage"/>
      <w:pgSz w:h="16838" w:orient="portrait" w:w="11906"/>
      <w:pgMar w:bottom="1134" w:footer="709" w:gutter="0" w:header="0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644" w:val="left"/>
        </w:tabs>
        <w:ind w:hanging="360" w:left="644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tabs>
          <w:tab w:leader="none" w:pos="644" w:val="left"/>
        </w:tabs>
        <w:ind w:hanging="360" w:left="644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pPr>
      <w:widowControl w:val="1"/>
      <w:spacing w:after="0" w:before="0" w:line="240" w:lineRule="auto"/>
      <w:ind/>
      <w:jc w:val="left"/>
    </w:pPr>
    <w:rPr>
      <w:rFonts w:ascii="Times New Roman" w:hAnsi="Times New Roman"/>
      <w:color w:val="000000"/>
      <w:sz w:val="24"/>
    </w:rPr>
  </w:style>
  <w:style w:default="1" w:styleId="Style_5_ch" w:type="character">
    <w:name w:val="Normal"/>
    <w:link w:val="Style_5"/>
    <w:rPr>
      <w:rFonts w:ascii="Times New Roman" w:hAnsi="Times New Roman"/>
      <w:color w:val="000000"/>
      <w:sz w:val="24"/>
    </w:rPr>
  </w:style>
  <w:style w:styleId="Style_8" w:type="paragraph">
    <w:name w:val="Текст выноски Знак"/>
    <w:basedOn w:val="Style_9"/>
    <w:link w:val="Style_8_ch"/>
    <w:rPr>
      <w:rFonts w:ascii="Tahoma" w:hAnsi="Tahoma"/>
      <w:sz w:val="16"/>
    </w:rPr>
  </w:style>
  <w:style w:styleId="Style_8_ch" w:type="character">
    <w:name w:val="Текст выноски Знак"/>
    <w:basedOn w:val="Style_9_ch"/>
    <w:link w:val="Style_8"/>
    <w:rPr>
      <w:rFonts w:ascii="Tahoma" w:hAnsi="Tahoma"/>
      <w:sz w:val="16"/>
    </w:rPr>
  </w:style>
  <w:style w:styleId="Style_10" w:type="paragraph">
    <w:name w:val="toc 2"/>
    <w:next w:val="Style_5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toc 4"/>
    <w:next w:val="Style_5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toc 6"/>
    <w:next w:val="Style_5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Верхний колонтитул Знак"/>
    <w:basedOn w:val="Style_9"/>
    <w:link w:val="Style_13_ch"/>
  </w:style>
  <w:style w:styleId="Style_13_ch" w:type="character">
    <w:name w:val="Верхний колонтитул Знак"/>
    <w:basedOn w:val="Style_9_ch"/>
    <w:link w:val="Style_13"/>
  </w:style>
  <w:style w:styleId="Style_14" w:type="paragraph">
    <w:name w:val="toc 7"/>
    <w:next w:val="Style_5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Body Text Indent"/>
    <w:basedOn w:val="Style_5"/>
    <w:link w:val="Style_15_ch"/>
    <w:pPr>
      <w:spacing w:after="0" w:before="20"/>
      <w:ind w:firstLine="720" w:left="0"/>
    </w:pPr>
    <w:rPr>
      <w:sz w:val="21"/>
    </w:rPr>
  </w:style>
  <w:style w:styleId="Style_15_ch" w:type="character">
    <w:name w:val="Body Text Indent"/>
    <w:basedOn w:val="Style_5_ch"/>
    <w:link w:val="Style_15"/>
    <w:rPr>
      <w:sz w:val="21"/>
    </w:rPr>
  </w:style>
  <w:style w:styleId="Style_16" w:type="paragraph">
    <w:name w:val="Основной текст Знак"/>
    <w:basedOn w:val="Style_9"/>
    <w:link w:val="Style_16_ch"/>
  </w:style>
  <w:style w:styleId="Style_16_ch" w:type="character">
    <w:name w:val="Основной текст Знак"/>
    <w:basedOn w:val="Style_9_ch"/>
    <w:link w:val="Style_16"/>
  </w:style>
  <w:style w:styleId="Style_6" w:type="paragraph">
    <w:name w:val="Body Text"/>
    <w:basedOn w:val="Style_5"/>
    <w:link w:val="Style_6_ch"/>
    <w:pPr>
      <w:spacing w:after="120" w:before="0" w:line="276" w:lineRule="auto"/>
      <w:ind/>
    </w:pPr>
    <w:rPr>
      <w:rFonts w:asciiTheme="minorAscii" w:hAnsiTheme="minorHAnsi"/>
      <w:sz w:val="22"/>
    </w:rPr>
  </w:style>
  <w:style w:styleId="Style_6_ch" w:type="character">
    <w:name w:val="Body Text"/>
    <w:basedOn w:val="Style_5_ch"/>
    <w:link w:val="Style_6"/>
    <w:rPr>
      <w:rFonts w:asciiTheme="minorAscii" w:hAnsiTheme="minorHAnsi"/>
      <w:sz w:val="22"/>
    </w:rPr>
  </w:style>
  <w:style w:styleId="Style_17" w:type="paragraph">
    <w:name w:val="End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Endnote"/>
    <w:link w:val="Style_17"/>
    <w:rPr>
      <w:rFonts w:ascii="XO Thames" w:hAnsi="XO Thames"/>
      <w:sz w:val="22"/>
    </w:rPr>
  </w:style>
  <w:style w:styleId="Style_4" w:type="paragraph">
    <w:name w:val="heading 3"/>
    <w:basedOn w:val="Style_5"/>
    <w:next w:val="Style_5"/>
    <w:link w:val="Style_4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</w:rPr>
  </w:style>
  <w:style w:styleId="Style_4_ch" w:type="character">
    <w:name w:val="heading 3"/>
    <w:basedOn w:val="Style_5_ch"/>
    <w:link w:val="Style_4"/>
    <w:rPr>
      <w:rFonts w:asciiTheme="majorAscii" w:hAnsiTheme="majorHAnsi"/>
      <w:b w:val="1"/>
      <w:color w:themeColor="accent1" w:val="4F81BD"/>
    </w:rPr>
  </w:style>
  <w:style w:styleId="Style_18" w:type="paragraph">
    <w:name w:val="Caption"/>
    <w:basedOn w:val="Style_5"/>
    <w:link w:val="Style_18_ch"/>
    <w:pPr>
      <w:spacing w:after="120" w:before="120"/>
      <w:ind/>
    </w:pPr>
    <w:rPr>
      <w:i w:val="1"/>
      <w:sz w:val="24"/>
    </w:rPr>
  </w:style>
  <w:style w:styleId="Style_18_ch" w:type="character">
    <w:name w:val="Caption"/>
    <w:basedOn w:val="Style_5_ch"/>
    <w:link w:val="Style_18"/>
    <w:rPr>
      <w:i w:val="1"/>
      <w:sz w:val="24"/>
    </w:rPr>
  </w:style>
  <w:style w:styleId="Style_19" w:type="paragraph">
    <w:name w:val="Заголовок 3 Знак"/>
    <w:basedOn w:val="Style_9"/>
    <w:link w:val="Style_19_ch"/>
    <w:rPr>
      <w:rFonts w:asciiTheme="majorAscii" w:hAnsiTheme="majorHAnsi"/>
      <w:b w:val="1"/>
      <w:color w:themeColor="accent1" w:val="4F81BD"/>
      <w:sz w:val="24"/>
    </w:rPr>
  </w:style>
  <w:style w:styleId="Style_19_ch" w:type="character">
    <w:name w:val="Заголовок 3 Знак"/>
    <w:basedOn w:val="Style_9_ch"/>
    <w:link w:val="Style_19"/>
    <w:rPr>
      <w:rFonts w:asciiTheme="majorAscii" w:hAnsiTheme="majorHAnsi"/>
      <w:b w:val="1"/>
      <w:color w:themeColor="accent1" w:val="4F81BD"/>
      <w:sz w:val="24"/>
    </w:rPr>
  </w:style>
  <w:style w:styleId="Style_20" w:type="paragraph">
    <w:name w:val="Указатель"/>
    <w:basedOn w:val="Style_5"/>
    <w:link w:val="Style_20_ch"/>
  </w:style>
  <w:style w:styleId="Style_20_ch" w:type="character">
    <w:name w:val="Указатель"/>
    <w:basedOn w:val="Style_5_ch"/>
    <w:link w:val="Style_20"/>
  </w:style>
  <w:style w:styleId="Style_2" w:type="paragraph">
    <w:name w:val="No Spacing"/>
    <w:link w:val="Style_2_ch"/>
    <w:pPr>
      <w:widowControl w:val="1"/>
      <w:spacing w:after="0" w:before="0" w:line="240" w:lineRule="auto"/>
      <w:ind/>
      <w:jc w:val="left"/>
    </w:pPr>
    <w:rPr>
      <w:rFonts w:asciiTheme="minorAscii" w:hAnsiTheme="minorHAnsi"/>
      <w:color w:val="000000"/>
      <w:sz w:val="22"/>
    </w:rPr>
  </w:style>
  <w:style w:styleId="Style_2_ch" w:type="character">
    <w:name w:val="No Spacing"/>
    <w:link w:val="Style_2"/>
    <w:rPr>
      <w:rFonts w:asciiTheme="minorAscii" w:hAnsiTheme="minorHAnsi"/>
      <w:color w:val="000000"/>
      <w:sz w:val="22"/>
    </w:rPr>
  </w:style>
  <w:style w:styleId="Style_21" w:type="paragraph">
    <w:name w:val="Заголовок 1 Знак"/>
    <w:basedOn w:val="Style_9"/>
    <w:link w:val="Style_21_ch"/>
    <w:rPr>
      <w:rFonts w:ascii="Times New Roman" w:hAnsi="Times New Roman"/>
      <w:b w:val="1"/>
      <w:sz w:val="24"/>
    </w:rPr>
  </w:style>
  <w:style w:styleId="Style_21_ch" w:type="character">
    <w:name w:val="Заголовок 1 Знак"/>
    <w:basedOn w:val="Style_9_ch"/>
    <w:link w:val="Style_21"/>
    <w:rPr>
      <w:rFonts w:ascii="Times New Roman" w:hAnsi="Times New Roman"/>
      <w:b w:val="1"/>
      <w:sz w:val="24"/>
    </w:rPr>
  </w:style>
  <w:style w:styleId="Style_22" w:type="paragraph">
    <w:name w:val="Header"/>
    <w:basedOn w:val="Style_5"/>
    <w:link w:val="Style_22_ch"/>
    <w:pPr>
      <w:tabs>
        <w:tab w:leader="none" w:pos="708" w:val="clear"/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2_ch" w:type="character">
    <w:name w:val="Header"/>
    <w:basedOn w:val="Style_5_ch"/>
    <w:link w:val="Style_22"/>
    <w:rPr>
      <w:rFonts w:asciiTheme="minorAscii" w:hAnsiTheme="minorHAnsi"/>
      <w:sz w:val="22"/>
    </w:rPr>
  </w:style>
  <w:style w:styleId="Style_23" w:type="paragraph">
    <w:name w:val="toc 3"/>
    <w:next w:val="Style_5"/>
    <w:link w:val="Style_2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3_ch" w:type="character">
    <w:name w:val="toc 3"/>
    <w:link w:val="Style_23"/>
    <w:rPr>
      <w:rFonts w:ascii="XO Thames" w:hAnsi="XO Thames"/>
      <w:sz w:val="28"/>
    </w:rPr>
  </w:style>
  <w:style w:styleId="Style_24" w:type="paragraph">
    <w:name w:val="heading 5"/>
    <w:next w:val="Style_5"/>
    <w:link w:val="Style_24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4_ch" w:type="character">
    <w:name w:val="heading 5"/>
    <w:link w:val="Style_24"/>
    <w:rPr>
      <w:rFonts w:ascii="XO Thames" w:hAnsi="XO Thames"/>
      <w:b w:val="1"/>
      <w:sz w:val="22"/>
    </w:rPr>
  </w:style>
  <w:style w:styleId="Style_7" w:type="paragraph">
    <w:name w:val="List Paragraph"/>
    <w:basedOn w:val="Style_5"/>
    <w:link w:val="Style_7_ch"/>
    <w:pPr>
      <w:spacing w:after="0" w:before="0"/>
      <w:ind w:firstLine="0" w:left="720"/>
      <w:contextualSpacing w:val="1"/>
    </w:pPr>
  </w:style>
  <w:style w:styleId="Style_7_ch" w:type="character">
    <w:name w:val="List Paragraph"/>
    <w:basedOn w:val="Style_5_ch"/>
    <w:link w:val="Style_7"/>
  </w:style>
  <w:style w:styleId="Style_25" w:type="paragraph">
    <w:name w:val="heading 1"/>
    <w:basedOn w:val="Style_5"/>
    <w:next w:val="Style_5"/>
    <w:link w:val="Style_25_ch"/>
    <w:uiPriority w:val="9"/>
    <w:qFormat/>
    <w:pPr>
      <w:keepNext w:val="1"/>
      <w:ind/>
      <w:jc w:val="center"/>
      <w:outlineLvl w:val="0"/>
    </w:pPr>
    <w:rPr>
      <w:b w:val="1"/>
    </w:rPr>
  </w:style>
  <w:style w:styleId="Style_25_ch" w:type="character">
    <w:name w:val="heading 1"/>
    <w:basedOn w:val="Style_5_ch"/>
    <w:link w:val="Style_25"/>
    <w:rPr>
      <w:b w:val="1"/>
    </w:rPr>
  </w:style>
  <w:style w:styleId="Style_26" w:type="paragraph">
    <w:name w:val="Нижний колонтитул Знак"/>
    <w:basedOn w:val="Style_9"/>
    <w:link w:val="Style_26_ch"/>
  </w:style>
  <w:style w:styleId="Style_26_ch" w:type="character">
    <w:name w:val="Нижний колонтитул Знак"/>
    <w:basedOn w:val="Style_9_ch"/>
    <w:link w:val="Style_26"/>
  </w:style>
  <w:style w:styleId="Style_27" w:type="paragraph">
    <w:name w:val="Верхний и нижний колонтитулы"/>
    <w:basedOn w:val="Style_5"/>
    <w:link w:val="Style_27_ch"/>
  </w:style>
  <w:style w:styleId="Style_27_ch" w:type="character">
    <w:name w:val="Верхний и нижний колонтитулы"/>
    <w:basedOn w:val="Style_5_ch"/>
    <w:link w:val="Style_27"/>
  </w:style>
  <w:style w:styleId="Style_28" w:type="paragraph">
    <w:name w:val="Hyperlink"/>
    <w:link w:val="Style_28_ch"/>
    <w:rPr>
      <w:color w:val="0000FF"/>
      <w:u w:val="single"/>
    </w:rPr>
  </w:style>
  <w:style w:styleId="Style_28_ch" w:type="character">
    <w:name w:val="Hyperlink"/>
    <w:link w:val="Style_28"/>
    <w:rPr>
      <w:color w:val="0000FF"/>
      <w:u w:val="single"/>
    </w:rPr>
  </w:style>
  <w:style w:styleId="Style_29" w:type="paragraph">
    <w:name w:val="Footnote"/>
    <w:link w:val="Style_29_ch"/>
    <w:pPr>
      <w:ind w:firstLine="851" w:left="0"/>
      <w:jc w:val="both"/>
    </w:pPr>
    <w:rPr>
      <w:rFonts w:ascii="XO Thames" w:hAnsi="XO Thames"/>
      <w:sz w:val="22"/>
    </w:rPr>
  </w:style>
  <w:style w:styleId="Style_29_ch" w:type="character">
    <w:name w:val="Footnote"/>
    <w:link w:val="Style_29"/>
    <w:rPr>
      <w:rFonts w:ascii="XO Thames" w:hAnsi="XO Thames"/>
      <w:sz w:val="22"/>
    </w:rPr>
  </w:style>
  <w:style w:styleId="Style_1" w:type="paragraph">
    <w:name w:val="Footer"/>
    <w:basedOn w:val="Style_5"/>
    <w:link w:val="Style_1_ch"/>
    <w:pPr>
      <w:tabs>
        <w:tab w:leader="none" w:pos="708" w:val="clear"/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_ch" w:type="character">
    <w:name w:val="Footer"/>
    <w:basedOn w:val="Style_5_ch"/>
    <w:link w:val="Style_1"/>
    <w:rPr>
      <w:rFonts w:asciiTheme="minorAscii" w:hAnsiTheme="minorHAnsi"/>
      <w:sz w:val="22"/>
    </w:rPr>
  </w:style>
  <w:style w:styleId="Style_30" w:type="paragraph">
    <w:name w:val="toc 1"/>
    <w:next w:val="Style_5"/>
    <w:link w:val="Style_3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0_ch" w:type="character">
    <w:name w:val="toc 1"/>
    <w:link w:val="Style_30"/>
    <w:rPr>
      <w:rFonts w:ascii="XO Thames" w:hAnsi="XO Thames"/>
      <w:b w:val="1"/>
      <w:sz w:val="28"/>
    </w:rPr>
  </w:style>
  <w:style w:styleId="Style_31" w:type="paragraph">
    <w:name w:val="Header and Footer"/>
    <w:link w:val="Style_31_ch"/>
    <w:pPr>
      <w:spacing w:line="240" w:lineRule="auto"/>
      <w:ind/>
      <w:jc w:val="both"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toc 9"/>
    <w:next w:val="Style_5"/>
    <w:link w:val="Style_3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2_ch" w:type="character">
    <w:name w:val="toc 9"/>
    <w:link w:val="Style_32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33" w:type="paragraph">
    <w:name w:val="toc 8"/>
    <w:next w:val="Style_5"/>
    <w:link w:val="Style_3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3_ch" w:type="character">
    <w:name w:val="toc 8"/>
    <w:link w:val="Style_33"/>
    <w:rPr>
      <w:rFonts w:ascii="XO Thames" w:hAnsi="XO Thames"/>
      <w:sz w:val="28"/>
    </w:rPr>
  </w:style>
  <w:style w:styleId="Style_34" w:type="paragraph">
    <w:name w:val="Основной текст с отступом Знак"/>
    <w:basedOn w:val="Style_9"/>
    <w:link w:val="Style_34_ch"/>
    <w:rPr>
      <w:rFonts w:ascii="Times New Roman" w:hAnsi="Times New Roman"/>
      <w:sz w:val="21"/>
    </w:rPr>
  </w:style>
  <w:style w:styleId="Style_34_ch" w:type="character">
    <w:name w:val="Основной текст с отступом Знак"/>
    <w:basedOn w:val="Style_9_ch"/>
    <w:link w:val="Style_34"/>
    <w:rPr>
      <w:rFonts w:ascii="Times New Roman" w:hAnsi="Times New Roman"/>
      <w:sz w:val="21"/>
    </w:rPr>
  </w:style>
  <w:style w:styleId="Style_35" w:type="paragraph">
    <w:name w:val="Заголовок"/>
    <w:basedOn w:val="Style_5"/>
    <w:next w:val="Style_6"/>
    <w:link w:val="Style_35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35_ch" w:type="character">
    <w:name w:val="Заголовок"/>
    <w:basedOn w:val="Style_5_ch"/>
    <w:link w:val="Style_35"/>
    <w:rPr>
      <w:rFonts w:ascii="Liberation Sans" w:hAnsi="Liberation Sans"/>
      <w:sz w:val="28"/>
    </w:rPr>
  </w:style>
  <w:style w:styleId="Style_36" w:type="paragraph">
    <w:name w:val="List"/>
    <w:basedOn w:val="Style_6"/>
    <w:link w:val="Style_36_ch"/>
  </w:style>
  <w:style w:styleId="Style_36_ch" w:type="character">
    <w:name w:val="List"/>
    <w:basedOn w:val="Style_6_ch"/>
    <w:link w:val="Style_36"/>
  </w:style>
  <w:style w:styleId="Style_37" w:type="paragraph">
    <w:name w:val="toc 5"/>
    <w:next w:val="Style_5"/>
    <w:link w:val="Style_3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7_ch" w:type="character">
    <w:name w:val="toc 5"/>
    <w:link w:val="Style_37"/>
    <w:rPr>
      <w:rFonts w:ascii="XO Thames" w:hAnsi="XO Thames"/>
      <w:sz w:val="28"/>
    </w:rPr>
  </w:style>
  <w:style w:styleId="Style_38" w:type="paragraph">
    <w:name w:val="Balloon Text"/>
    <w:basedOn w:val="Style_5"/>
    <w:link w:val="Style_38_ch"/>
    <w:rPr>
      <w:rFonts w:ascii="Tahoma" w:hAnsi="Tahoma"/>
      <w:sz w:val="16"/>
    </w:rPr>
  </w:style>
  <w:style w:styleId="Style_38_ch" w:type="character">
    <w:name w:val="Balloon Text"/>
    <w:basedOn w:val="Style_5_ch"/>
    <w:link w:val="Style_38"/>
    <w:rPr>
      <w:rFonts w:ascii="Tahoma" w:hAnsi="Tahoma"/>
      <w:sz w:val="16"/>
    </w:rPr>
  </w:style>
  <w:style w:styleId="Style_39" w:type="paragraph">
    <w:name w:val="Интернет-ссылка"/>
    <w:basedOn w:val="Style_9"/>
    <w:link w:val="Style_39_ch"/>
    <w:rPr>
      <w:color w:themeColor="hyperlink" w:val="0000FF"/>
      <w:u w:val="single"/>
    </w:rPr>
  </w:style>
  <w:style w:styleId="Style_39_ch" w:type="character">
    <w:name w:val="Интернет-ссылка"/>
    <w:basedOn w:val="Style_9_ch"/>
    <w:link w:val="Style_39"/>
    <w:rPr>
      <w:color w:themeColor="hyperlink" w:val="0000FF"/>
      <w:u w:val="single"/>
    </w:rPr>
  </w:style>
  <w:style w:styleId="Style_40" w:type="paragraph">
    <w:name w:val="Subtitle"/>
    <w:next w:val="Style_5"/>
    <w:link w:val="Style_4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0_ch" w:type="character">
    <w:name w:val="Subtitle"/>
    <w:link w:val="Style_40"/>
    <w:rPr>
      <w:rFonts w:ascii="XO Thames" w:hAnsi="XO Thames"/>
      <w:i w:val="1"/>
      <w:sz w:val="24"/>
    </w:rPr>
  </w:style>
  <w:style w:styleId="Style_41" w:type="paragraph">
    <w:name w:val="Title"/>
    <w:next w:val="Style_5"/>
    <w:link w:val="Style_4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1_ch" w:type="character">
    <w:name w:val="Title"/>
    <w:link w:val="Style_41"/>
    <w:rPr>
      <w:rFonts w:ascii="XO Thames" w:hAnsi="XO Thames"/>
      <w:b w:val="1"/>
      <w:caps w:val="1"/>
      <w:sz w:val="40"/>
    </w:rPr>
  </w:style>
  <w:style w:styleId="Style_42" w:type="paragraph">
    <w:name w:val="heading 4"/>
    <w:next w:val="Style_5"/>
    <w:link w:val="Style_4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2_ch" w:type="character">
    <w:name w:val="heading 4"/>
    <w:link w:val="Style_42"/>
    <w:rPr>
      <w:rFonts w:ascii="XO Thames" w:hAnsi="XO Thames"/>
      <w:b w:val="1"/>
      <w:sz w:val="24"/>
    </w:rPr>
  </w:style>
  <w:style w:styleId="Style_43" w:type="paragraph">
    <w:name w:val="heading 2"/>
    <w:next w:val="Style_5"/>
    <w:link w:val="Style_4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43_ch" w:type="character">
    <w:name w:val="heading 2"/>
    <w:link w:val="Style_43"/>
    <w:rPr>
      <w:rFonts w:ascii="XO Thames" w:hAnsi="XO Thames"/>
      <w:b w:val="1"/>
      <w:sz w:val="28"/>
    </w:rPr>
  </w:style>
  <w:style w:default="1" w:styleId="Style_3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  <w:style w:styleId="Style_44" w:type="table">
    <w:name w:val="Table Grid"/>
    <w:basedOn w:val="Style_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MyOffice-CoreFramework-Linux/30-1057.739.7955.691.1@6f967f4b4ae0ae6f94b7d59183011075308df4f8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2023-11-09T09:43:59Z</dcterms:modified>
</cp:coreProperties>
</file>