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Style_3"/>
        <w:tblW w:w="98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86"/>
        <w:gridCol w:w="5880"/>
      </w:tblGrid>
      <w:tr>
        <w:trPr>
          <w:trHeight w:val="3783" w:hRule="atLeast"/>
        </w:trPr>
        <w:tc>
          <w:tcPr>
            <w:tcW w:w="3986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right="0" w:hanging="0"/>
              <w:jc w:val="center"/>
              <w:outlineLvl w:val="2"/>
              <w:rPr>
                <w:rFonts w:ascii="PT Astra Serif" w:hAnsi="PT Astra Serif"/>
                <w:b/>
                <w:b/>
                <w:sz w:val="24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4"/>
                <w:szCs w:val="20"/>
              </w:rPr>
              <w:t>МИНИСТЕРСТВО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4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4"/>
                <w:szCs w:val="20"/>
              </w:rPr>
              <w:t>ИМУЩЕСТВЕННЫХ И ЗЕМЕЛЬНЫХ ОТНОШЕНИЙ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4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4"/>
                <w:szCs w:val="20"/>
              </w:rPr>
              <w:t>ТУЛЬСКОЙ ОБЛАСТИ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0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0"/>
                <w:szCs w:val="20"/>
              </w:rPr>
              <w:t>ул. Жаворонкова, д.2, г. Тула, 300012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0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0"/>
                <w:szCs w:val="20"/>
              </w:rPr>
              <w:t>телефон: 24-53-33, факс: 36-14-11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0"/>
                <w:u w:val="single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0"/>
                <w:szCs w:val="20"/>
              </w:rPr>
              <w:t>E-mail: mizo@tularegion.ru</w:t>
            </w:r>
            <w:r>
              <w:rPr>
                <w:rFonts w:ascii="PT Astra Serif" w:hAnsi="PT Astra Serif"/>
                <w:b/>
                <w:spacing w:val="0"/>
                <w:kern w:val="0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0"/>
                <w:u w:val="single"/>
              </w:rPr>
            </w:pPr>
            <w:r>
              <w:rPr>
                <w:rFonts w:ascii="PT Astra Serif" w:hAnsi="PT Astra Serif"/>
                <w:spacing w:val="0"/>
                <w:kern w:val="0"/>
                <w:sz w:val="20"/>
                <w:szCs w:val="20"/>
                <w:u w:val="none"/>
              </w:rPr>
              <w:t>__21.07.2023__</w:t>
            </w:r>
            <w:r>
              <w:rPr>
                <w:rFonts w:ascii="PT Astra Serif" w:hAnsi="PT Astra Serif"/>
                <w:spacing w:val="0"/>
                <w:kern w:val="0"/>
                <w:sz w:val="20"/>
                <w:szCs w:val="20"/>
              </w:rPr>
              <w:t xml:space="preserve"> №_____б/н_____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4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2"/>
                <w:szCs w:val="20"/>
              </w:rPr>
            </w:r>
          </w:p>
        </w:tc>
        <w:tc>
          <w:tcPr>
            <w:tcW w:w="58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34" w:hanging="0"/>
              <w:jc w:val="center"/>
              <w:rPr>
                <w:rFonts w:ascii="PT Astra Serif" w:hAnsi="PT Astra Serif"/>
                <w:b/>
                <w:b/>
                <w:sz w:val="24"/>
              </w:rPr>
            </w:pPr>
            <w:r>
              <w:rPr>
                <w:rFonts w:ascii="PT Astra Serif" w:hAnsi="PT Astra Serif"/>
                <w:b/>
                <w:color w:val="000000"/>
                <w:spacing w:val="0"/>
                <w:kern w:val="0"/>
                <w:sz w:val="24"/>
                <w:szCs w:val="20"/>
              </w:rPr>
              <w:t>Привокзальный</w:t>
            </w:r>
            <w:r>
              <w:rPr>
                <w:rFonts w:ascii="PT Astra Serif" w:hAnsi="PT Astra Serif"/>
                <w:b/>
                <w:spacing w:val="0"/>
                <w:kern w:val="0"/>
                <w:sz w:val="24"/>
                <w:szCs w:val="20"/>
              </w:rPr>
              <w:t xml:space="preserve"> районный суд г.Тулы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pacing w:val="0"/>
                <w:kern w:val="0"/>
                <w:sz w:val="20"/>
                <w:szCs w:val="20"/>
              </w:rPr>
              <w:t>300041, г. Тула, ул. Болдина, д. 50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6"/>
              </w:rPr>
            </w:pPr>
            <w:r>
              <w:rPr>
                <w:rFonts w:ascii="PT Astra Serif" w:hAnsi="PT Astra Serif"/>
                <w:spacing w:val="0"/>
                <w:kern w:val="0"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4"/>
                <w:u w:val="single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4"/>
                <w:szCs w:val="20"/>
                <w:u w:val="single"/>
              </w:rPr>
              <w:t xml:space="preserve">Истец: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kern w:val="0"/>
                <w:sz w:val="24"/>
                <w:szCs w:val="20"/>
              </w:rPr>
              <w:t>ХХХХ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kern w:val="0"/>
                <w:sz w:val="24"/>
                <w:szCs w:val="20"/>
              </w:rPr>
              <w:t>ИНН ХХХХ, ОГРН ХХХХ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pacing w:val="0"/>
                <w:kern w:val="0"/>
                <w:sz w:val="20"/>
                <w:szCs w:val="20"/>
              </w:rPr>
              <w:t>300012, г. Тула, ул. Жаворонкова, 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pacing w:val="0"/>
                <w:kern w:val="0"/>
                <w:sz w:val="22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4"/>
                <w:u w:val="single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4"/>
                <w:szCs w:val="20"/>
                <w:u w:val="single"/>
              </w:rPr>
              <w:t xml:space="preserve">Представитель истца по доверенности 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kern w:val="0"/>
                <w:sz w:val="24"/>
                <w:szCs w:val="20"/>
              </w:rPr>
              <w:t>ХХХХ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kern w:val="0"/>
                <w:sz w:val="24"/>
                <w:szCs w:val="20"/>
              </w:rPr>
              <w:t>(СНИЛС ХХХХ)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pacing w:val="0"/>
                <w:kern w:val="0"/>
                <w:sz w:val="20"/>
                <w:szCs w:val="20"/>
              </w:rPr>
              <w:t>300012, г. Тула, ул. Жаворонкова, 2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4"/>
                <w:u w:val="single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2"/>
                <w:szCs w:val="20"/>
                <w:u w:val="singl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b/>
                <w:b/>
                <w:sz w:val="24"/>
                <w:u w:val="single"/>
              </w:rPr>
            </w:pPr>
            <w:r>
              <w:rPr>
                <w:rFonts w:ascii="PT Astra Serif" w:hAnsi="PT Astra Serif"/>
                <w:b/>
                <w:spacing w:val="0"/>
                <w:kern w:val="0"/>
                <w:sz w:val="24"/>
                <w:szCs w:val="20"/>
                <w:u w:val="single"/>
              </w:rPr>
              <w:t xml:space="preserve">Ответчик: 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kern w:val="0"/>
                <w:sz w:val="24"/>
                <w:szCs w:val="20"/>
              </w:rPr>
              <w:t>ХХХХ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pacing w:val="0"/>
                <w:kern w:val="0"/>
                <w:sz w:val="24"/>
                <w:szCs w:val="20"/>
              </w:rPr>
              <w:t>(ХХХХ года рождения, место рождения: ХХХХ, паспорт серии ХХХХ, выдан ХХХХ)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35" w:leader="none"/>
                <w:tab w:val="center" w:pos="2832" w:leader="none"/>
              </w:tabs>
              <w:spacing w:lineRule="auto" w:line="240" w:before="0" w:after="0"/>
              <w:ind w:left="0" w:right="0" w:hanging="0"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pacing w:val="0"/>
                <w:kern w:val="0"/>
                <w:sz w:val="20"/>
                <w:szCs w:val="20"/>
              </w:rPr>
              <w:t>ХХХХ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35" w:leader="none"/>
                <w:tab w:val="center" w:pos="2832" w:leader="none"/>
              </w:tabs>
              <w:spacing w:lineRule="auto" w:line="240" w:before="0" w:after="0"/>
              <w:ind w:left="0" w:right="0" w:hanging="0"/>
              <w:jc w:val="both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pacing w:val="0"/>
                <w:kern w:val="0"/>
                <w:sz w:val="22"/>
                <w:szCs w:val="20"/>
              </w:rPr>
            </w:r>
          </w:p>
        </w:tc>
      </w:tr>
    </w:tbl>
    <w:p>
      <w:pPr>
        <w:pStyle w:val="Normal"/>
        <w:tabs>
          <w:tab w:val="clear" w:pos="708"/>
          <w:tab w:val="left" w:pos="615" w:leader="none"/>
          <w:tab w:val="center" w:pos="4536" w:leader="none"/>
          <w:tab w:val="left" w:pos="9180" w:leader="none"/>
        </w:tabs>
        <w:spacing w:lineRule="auto" w:line="240" w:before="0" w:after="0"/>
        <w:ind w:left="0" w:right="282" w:hanging="0"/>
        <w:rPr>
          <w:rFonts w:ascii="PT Astra Serif" w:hAnsi="PT Astra Serif"/>
          <w:b/>
          <w:b/>
          <w:sz w:val="26"/>
        </w:rPr>
      </w:pPr>
      <w:r>
        <w:rPr>
          <w:rFonts w:ascii="PT Astra Serif" w:hAnsi="PT Astra Serif"/>
          <w:b/>
          <w:sz w:val="24"/>
        </w:rPr>
        <w:tab/>
        <w:tab/>
      </w:r>
      <w:r>
        <w:rPr>
          <w:rFonts w:ascii="PT Astra Serif" w:hAnsi="PT Astra Serif"/>
          <w:b/>
          <w:sz w:val="26"/>
        </w:rPr>
        <w:t>ИСКОВОЕ ЗАЯВЛЕНИЕ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о взыскании задолженности, пеней по арендной плате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по договору аренды, обязании вступить в договор аренды  земельного участка</w:t>
      </w:r>
    </w:p>
    <w:p>
      <w:pPr>
        <w:pStyle w:val="Normal"/>
        <w:spacing w:lineRule="auto" w:line="240" w:before="0" w:after="0"/>
        <w:ind w:left="0" w:right="-1" w:hanging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16.05.20019 между министерством имущественных и земельных отношений Тульской области (далее - Министерство, арендодатель) и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(далее – </w:t>
      </w:r>
      <w:r>
        <w:rPr>
          <w:rFonts w:ascii="PT Astra Serif" w:hAnsi="PT Astra Serif"/>
          <w:color w:val="000000" w:themeColor="text1"/>
          <w:sz w:val="26"/>
        </w:rPr>
        <w:t>XXXXX</w:t>
      </w:r>
      <w:r>
        <w:rPr>
          <w:rFonts w:ascii="PT Astra Serif" w:hAnsi="PT Astra Serif"/>
          <w:color w:val="000000" w:themeColor="text1"/>
          <w:sz w:val="26"/>
        </w:rPr>
        <w:t xml:space="preserve">) заключен договор аренды земельного участка №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(далее - Договор).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Согласно условиям договора, арендодатель предоставляет, а арендатор принимает в аренду земельный участок (далее - Участок) с К№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, общей площадью 1 124 кв.м., расположенный по адресу: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>. (п. 1.1 Договора).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На земельном участке расположены объекты капитального строительства с кададстровыми номерами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,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,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(п. 1.3 Долговора).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В соответствии с п. 2.1 Договора Участок предоставляется для эксплуатации жилого дома (разрешенное использование: блокированная застройка).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Согласно п. 3.1 Договор был заключен на срок 49 лет. В настоящий момент договор действующий.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Постановлением правительства Тульской области от 13.10.2016 № 452 утверждено Положение о министерстве имущественных и земельных отношений Тульской области (далее - Министерство).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В соответствии с пп. 59 п. 5 Положения о министерстве от 13.10.2016 Министерство выступает в качестве арендодателя при заключении договоров аренды земельных участков, находящихся в собственности Тульской области, а также земельных участков, государственная собственность на которые не разграничена, расположенных в границах муниципального образования город Тула, в том числе по действующим и вновь заключаемым договорам аренды, а также по прекращенным договорам аренды, обязательства по которым не исполнены.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Согласно сведениям из ЕГРН на земельном участке с К№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расположены объекты недвижимости (здания) с кадастровыми номерами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,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,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и сооружение канализации с К№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>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Согласно сведениям Единого государственного реестра недвижимости, 05.12.2019 право собственности на вышеуказанные объекты недвижимости с кадастровыми номерами 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,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перешло от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к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>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А также на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зарегистрировано право собственности на помещение с К№ 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, которое расположено в жилом доме с К№ 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>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В соответствии со статьей 35 Земельного кодекса Российской Федерации (далее – ЗК РФ) при переходе права собственности на здание, сооружение, находящиеся на чужом земельном участке, к другому лицу оно приобретает право на использование соответствующей части земельного участка, занятой зданием, сооружением и необходимой для их использования, на тех же условиях и в том же объеме, что и прежний их собственник.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В силу положения п. 1 ст. 382 ГК РФ право (требование), принадлежащее кредитору на основании обязательства, может быть передано им другому лицу по сделке (уступка требования) или перейти к другому лицу на основании закона.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Согласно п. 1 ст. 387 ГК РФ права кредитора по обязательству переходят                          к другому лицу на основании закона и наступления указанных в нем обстоятельств:                в результате универсального правопреемства в правах кредитора; по решению суда                   о переводе прав кредитора на другое лицо, когда возможность такого перевода предусмотрена законом; вследствие исполнения обязательства должника его поручителем или залогодателем, не являющимся должником по этому обязательству; при суброгации страховщику прав кредитора к должнику, ответственному за наступление страхового случая; в других случаях, предусмотренных законом.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Размер арендной платы определяется в соответствии с действующем законодательством за данный вид использования земли (п. 4.3 договора). В каждом случае изменения кадастровой стоимости, корректирующих коэффициентов и нормативных правовых актов Российской Федерации, Тульской области, регулирующих исчисление размера арендной платы Арендодатель вправе изменить размер арендной платы, сроки уплаты в одностороннем порядке (п. 4.6 договора).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Платежи исчисляются ежегодно и уплачиваются не позднее 15 числа сентября за текущий год. (п. 4.1 договора).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Возникшие между сторонами отношения регулируются главой 34 Гражданского кодекса Российской Федерации (далее – ГК РФ), определяющей правоотношения по договору аренды.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Согласно статье 606 ГК РФ по договору аренды (имущественного найма) арендодатель (наймодатель) обязуется предоставить арендатору (нанимателю) имущество за плату во временное владение и пользование или во временное пользование.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В соответствии со ст. 552 ГК РФ по договору продажи здания, сооружения или другой недвижимости покупателю одновременно с передачей права собственности на такую недвижимость передаются права на земельный участок, занятый такой недвижимостью и необходимый для ее использования.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Согласно статье 614 ГК РФ арендатор обязан своевременно вносить плату за пользование имуществом (арендную плату). Порядок, условия и сроки внесения арендной платы определяются договором аренды.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Статьей 330 ГК РФ предусмотрено, что 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Вместе с тем, установленной законодательством РФ и договором обязанности по своевременной уплате арендной платы должник не исполнила. В результате чего за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за период с 01.01.2021 по 31.12.2022 образовалась задолженность по арендной плате в размере 9 961,60 руб. (расчет и пояснения по расчету  прилагаются).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Пунктом 8.1 договора предусмотрено, что за нарушение срока уплаты арендной платы арендатор уплачивает пеню в размере 1%  от общей суммы задолженности. Пеня начисляется ежегодно 16 сентября от общей суммы задолженности, имеющейся на это число и прибавляется к ранее начисленной и непогашенной задолженности  по пене. В результате чего за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за период с 01.01.2021 по 31.12.2022 образовалась задолженность по пени в размере 149,42 руб.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Как следует п. 1, п. 8 ст. 39.20 ЗК РФ уполномоченный орган вправе обратиться в суд с иском о понуждении правообладателей здания, сооружения или помещений в них заключить договор аренды земельного участка, на котором расположены такие здание, сооружение, если ни один из указанных правообладателей не обратился с заявлением о приобретении права на земельный участок.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Согласно положениям ст. 552 ГК РФ, ст. 35 ЗК РФ, </w:t>
      </w:r>
      <w:r>
        <w:rPr>
          <w:rFonts w:ascii="PT Astra Serif" w:hAnsi="PT Astra Serif"/>
          <w:sz w:val="24"/>
        </w:rPr>
        <w:t xml:space="preserve">ХХХХ </w:t>
      </w:r>
      <w:r>
        <w:rPr>
          <w:rFonts w:ascii="PT Astra Serif" w:hAnsi="PT Astra Serif"/>
          <w:color w:val="000000" w:themeColor="text1"/>
          <w:sz w:val="26"/>
        </w:rPr>
        <w:t xml:space="preserve">обязан вступить в договор аренды №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от 16.05.2019 и с указанной даты обязана вносить арендные платежи по Договору.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В подтверждение соблюдения досудебного порядка урегулирования спора министерством в адрес должника направлена претензия от 28.03.2023 №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с требованием о погашении образовавшейся задолженности по арендной плате, причитающейся пени, обязании вступить в договор аренды земельного участка. Данная корреспонденция направлялась должнику по адресу регистрации, указанная претензия, не получена должником (почтовый идентификатор 30099181062847). Претензия министерства оставлена должником без ответа и без удовлетворения.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 xml:space="preserve">Таким образом, корреспонденция в адрес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 w:themeColor="text1"/>
          <w:sz w:val="26"/>
        </w:rPr>
        <w:t xml:space="preserve"> направлена в соответствии с пунктами 35, 36 Правил оказания услуг почтовой связи, утвержденных Постановлением Правительства Российской Федерации № 221 от 15.04.2005.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Оитветчик обязан был обеспечить получение направляемой ему по надлежащему адресу корреспонденции, в связи с чем, несет риск негативных последствий неполучения документов.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При этом уклонение должника от получения поступающей в его адрес почтовой корреспонденции не может возлагать на министерство какие-либо дополнительные обязанности по розыску арендатора и вручению ему соответствующих уведомлений.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Положение п.1 ст. 11 ГК РФ устанавливает судебный порядок защиты гражданских прав.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Предъявляя требования о взыскании задолженности по арендной плате и пеней и обязании вступить в договор, Министерство использует предусмотренный законом способ защиты права.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В соответствии с подп. 19 п. 1 ст. 333.36 Налогового кодекса Российской Федерации государственные органы, органы местного самоуправления, выступающие в судах общей юрисдикции в качестве истцов или ответчиков, освобождены от уплаты госпошлины.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  <w:t>На основании вышеизложенного, руководствуясь статьями 309, 330, 614, 622  Гражданского кодекса РФ, статьями 60, 62, 76 Земельного кодекса РФ,  статьями 23, 122 - 124 Гражданского процессуального кодекса РФ,</w:t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 w:themeColor="text1"/>
          <w:sz w:val="26"/>
        </w:rPr>
      </w:pPr>
      <w:r>
        <w:rPr>
          <w:rFonts w:ascii="PT Astra Serif" w:hAnsi="PT Astra Serif"/>
          <w:color w:val="000000" w:themeColor="text1"/>
          <w:sz w:val="26"/>
        </w:rPr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/>
          <w:b/>
          <w:color w:val="000000"/>
          <w:sz w:val="26"/>
        </w:rPr>
      </w:pPr>
      <w:r>
        <w:rPr>
          <w:rFonts w:ascii="PT Astra Serif" w:hAnsi="PT Astra Serif"/>
          <w:b/>
          <w:color w:val="000000"/>
          <w:sz w:val="26"/>
        </w:rPr>
        <w:t>ПРОШУ:</w:t>
      </w:r>
    </w:p>
    <w:p>
      <w:pPr>
        <w:pStyle w:val="Normal"/>
        <w:spacing w:lineRule="auto" w:line="240" w:before="0" w:after="0"/>
        <w:ind w:left="0" w:right="0" w:firstLine="709"/>
        <w:rPr>
          <w:rFonts w:ascii="PT Astra Serif" w:hAnsi="PT Astra Serif"/>
          <w:color w:val="000000"/>
          <w:sz w:val="26"/>
        </w:rPr>
      </w:pPr>
      <w:r>
        <w:rPr>
          <w:rFonts w:ascii="PT Astra Serif" w:hAnsi="PT Astra Serif"/>
          <w:color w:val="000000"/>
          <w:sz w:val="26"/>
        </w:rPr>
      </w:r>
    </w:p>
    <w:p>
      <w:pPr>
        <w:pStyle w:val="Normal"/>
        <w:spacing w:lineRule="auto" w:line="240" w:before="0" w:after="0"/>
        <w:ind w:left="0" w:right="0" w:firstLine="709"/>
        <w:jc w:val="both"/>
        <w:rPr>
          <w:rFonts w:ascii="PT Astra Serif" w:hAnsi="PT Astra Serif"/>
          <w:color w:val="000000"/>
          <w:sz w:val="26"/>
        </w:rPr>
      </w:pPr>
      <w:r>
        <w:rPr>
          <w:rFonts w:ascii="PT Astra Serif" w:hAnsi="PT Astra Serif"/>
          <w:color w:val="000000"/>
          <w:sz w:val="26"/>
        </w:rPr>
        <w:t xml:space="preserve">- обязать ответчика -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/>
          <w:sz w:val="26"/>
        </w:rPr>
        <w:t xml:space="preserve"> </w:t>
      </w:r>
      <w:r>
        <w:rPr>
          <w:rFonts w:ascii="PT Astra Serif" w:hAnsi="PT Astra Serif"/>
          <w:sz w:val="24"/>
        </w:rPr>
        <w:t>(ХХХХ года рождения, место рождения: ХХХХ, паспорт серии ХХХХ, выдан ХХХХ)</w:t>
      </w:r>
      <w:r>
        <w:rPr>
          <w:rFonts w:ascii="PT Astra Serif" w:hAnsi="PT Astra Serif"/>
          <w:color w:val="000000"/>
          <w:sz w:val="26"/>
        </w:rPr>
        <w:t xml:space="preserve"> заключить договор аренды земельного участка путем вступления в договор аренды от 16.05.2019 № ХХХХ земельного участка с К№ ХХХХ, общей площадью 1 124 кв.м., расположенный по адресу: ХХХХ</w:t>
      </w:r>
      <w:r>
        <w:rPr>
          <w:rFonts w:ascii="PT Astra Serif" w:hAnsi="PT Astra Serif"/>
          <w:color w:val="000000" w:themeColor="text1"/>
          <w:sz w:val="26"/>
        </w:rPr>
        <w:t xml:space="preserve">, </w:t>
      </w:r>
      <w:r>
        <w:rPr>
          <w:rFonts w:ascii="PT Astra Serif" w:hAnsi="PT Astra Serif"/>
          <w:color w:val="000000"/>
          <w:sz w:val="26"/>
        </w:rPr>
        <w:t xml:space="preserve">на условиях договора от от 16.05.2019 № ХХХХ. </w:t>
      </w:r>
    </w:p>
    <w:p>
      <w:pPr>
        <w:pStyle w:val="Normal"/>
        <w:spacing w:lineRule="auto" w:line="240" w:before="0" w:after="0"/>
        <w:ind w:left="0" w:right="0" w:firstLine="709"/>
        <w:jc w:val="both"/>
        <w:rPr/>
      </w:pPr>
      <w:r>
        <w:rPr>
          <w:rFonts w:ascii="PT Astra Serif" w:hAnsi="PT Astra Serif"/>
          <w:color w:val="000000"/>
          <w:sz w:val="26"/>
        </w:rPr>
        <w:t xml:space="preserve">- взыскать с ответчика – </w:t>
      </w:r>
      <w:r>
        <w:rPr>
          <w:rFonts w:ascii="PT Astra Serif" w:hAnsi="PT Astra Serif"/>
          <w:sz w:val="24"/>
        </w:rPr>
        <w:t>ХХХХ</w:t>
      </w:r>
      <w:r>
        <w:rPr>
          <w:rFonts w:ascii="PT Astra Serif" w:hAnsi="PT Astra Serif"/>
          <w:color w:val="000000"/>
          <w:sz w:val="26"/>
        </w:rPr>
        <w:t xml:space="preserve"> </w:t>
      </w:r>
      <w:r>
        <w:rPr>
          <w:rFonts w:ascii="PT Astra Serif" w:hAnsi="PT Astra Serif"/>
          <w:sz w:val="24"/>
        </w:rPr>
        <w:t>(ХХХХ года рождения, место рождения: ХХХХ, паспорт серии ХХХХ, выдан ХХХХ)</w:t>
      </w:r>
      <w:r>
        <w:rPr>
          <w:rFonts w:ascii="PT Astra Serif" w:hAnsi="PT Astra Serif"/>
          <w:color w:val="000000"/>
          <w:sz w:val="26"/>
        </w:rPr>
        <w:t xml:space="preserve"> в пользу министерства имущественных и земельных отношений Тульской области (ИНН ХХХХ; ОГРН ХХХХ) задолженность по договору аренды земельного участка от 16.05.2019 № ХХХХ за период с  01.01.2021 по 31.12.2022 включительно по арендной плате в размере 9 961,60 руб. и пени за период с 01.01.2021 по 31.12.2022  включительно в размере 149,42 руб., с последующим начислением пеней по день фактического исполнения обязательства.</w:t>
      </w:r>
    </w:p>
    <w:p>
      <w:pPr>
        <w:pStyle w:val="Normal"/>
        <w:tabs>
          <w:tab w:val="clear" w:pos="708"/>
          <w:tab w:val="left" w:pos="993" w:leader="none"/>
        </w:tabs>
        <w:spacing w:lineRule="auto" w:line="240" w:before="0" w:after="0"/>
        <w:ind w:left="0" w:right="0" w:firstLine="709"/>
        <w:jc w:val="center"/>
        <w:rPr>
          <w:rFonts w:ascii="PT Astra Serif" w:hAnsi="PT Astra Serif"/>
          <w:b/>
          <w:b/>
          <w:color w:val="000000" w:themeColor="text1"/>
          <w:sz w:val="26"/>
        </w:rPr>
      </w:pPr>
      <w:r>
        <w:rPr>
          <w:rFonts w:ascii="PT Astra Serif" w:hAnsi="PT Astra Serif"/>
          <w:b/>
          <w:color w:val="000000" w:themeColor="text1"/>
          <w:sz w:val="26"/>
        </w:rPr>
      </w:r>
    </w:p>
    <w:p>
      <w:pPr>
        <w:pStyle w:val="Normal"/>
        <w:spacing w:lineRule="auto" w:line="240" w:before="0" w:after="0"/>
        <w:rPr>
          <w:rFonts w:ascii="PT Astra Serif" w:hAnsi="PT Astra Serif"/>
        </w:rPr>
      </w:pPr>
      <w:r>
        <w:rPr>
          <w:rFonts w:ascii="PT Astra Serif" w:hAnsi="PT Astra Serif"/>
          <w:sz w:val="24"/>
        </w:rPr>
        <w:t xml:space="preserve"> </w:t>
      </w:r>
      <w:r>
        <w:rPr>
          <w:rFonts w:ascii="PT Astra Serif" w:hAnsi="PT Astra Serif"/>
          <w:sz w:val="22"/>
        </w:rPr>
        <w:t>Приложения: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копия договора аренды от 16.05.2019 № ХХХХ с приложениями;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расчет задолженности и пояснения по порядку начисления;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выписка из ЕГРН  на земельный участок;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выписка из ЕГРН на объект 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 xml:space="preserve">копия претензии от </w:t>
      </w:r>
      <w:r>
        <w:rPr>
          <w:rFonts w:ascii="PT Astra Serif" w:hAnsi="PT Astra Serif"/>
          <w:color w:val="000000"/>
          <w:sz w:val="22"/>
        </w:rPr>
        <w:t xml:space="preserve">28.03.2023 </w:t>
      </w:r>
      <w:r>
        <w:rPr>
          <w:rFonts w:ascii="PT Astra Serif" w:hAnsi="PT Astra Serif"/>
          <w:sz w:val="22"/>
        </w:rPr>
        <w:t>с подтверждением отправки и отчетом об отслеживании;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копия адресной справки;</w:t>
      </w:r>
    </w:p>
    <w:p>
      <w:pPr>
        <w:pStyle w:val="ListParagraph1"/>
        <w:numPr>
          <w:ilvl w:val="0"/>
          <w:numId w:val="1"/>
        </w:numPr>
        <w:ind w:left="644" w:right="0" w:hanging="360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копия распоряжения губернатора Тульской области от 23.09.2021 № 580-рг;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копия доверенности представителя министерства;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копия реестра отправки  заявления лицам, участвующим в деле;</w:t>
      </w:r>
    </w:p>
    <w:p>
      <w:pPr>
        <w:pStyle w:val="ListParagraph1"/>
        <w:numPr>
          <w:ilvl w:val="0"/>
          <w:numId w:val="1"/>
        </w:numPr>
        <w:ind w:left="644" w:right="0" w:hanging="360"/>
        <w:jc w:val="both"/>
        <w:rPr>
          <w:rFonts w:ascii="PT Astra Serif" w:hAnsi="PT Astra Serif"/>
        </w:rPr>
      </w:pPr>
      <w:r>
        <w:rPr>
          <w:rFonts w:ascii="PT Astra Serif" w:hAnsi="PT Astra Serif"/>
          <w:sz w:val="22"/>
        </w:rPr>
        <w:t>копия определения Центрального районного суда г.Тулы от 23.06.2023.</w:t>
      </w:r>
    </w:p>
    <w:p>
      <w:pPr>
        <w:pStyle w:val="ListParagraph1"/>
        <w:spacing w:lineRule="auto" w:line="240" w:before="0" w:after="0"/>
        <w:ind w:left="284" w:right="0" w:hanging="0"/>
        <w:contextualSpacing/>
        <w:jc w:val="both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</w:r>
    </w:p>
    <w:p>
      <w:pPr>
        <w:pStyle w:val="Normal"/>
        <w:spacing w:lineRule="auto" w:line="240" w:before="0" w:after="0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 xml:space="preserve">Одновременно сообщаем контактные телефоны: </w:t>
      </w:r>
    </w:p>
    <w:p>
      <w:pPr>
        <w:pStyle w:val="Normal"/>
        <w:spacing w:lineRule="auto" w:line="240" w:before="0" w:after="0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24-51-04, доб. 54-58</w:t>
      </w:r>
    </w:p>
    <w:p>
      <w:pPr>
        <w:pStyle w:val="Normal"/>
        <w:spacing w:lineRule="auto" w:line="240" w:before="0" w:after="0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Сайт: http://mizo.tularegion.ru</w:t>
      </w:r>
    </w:p>
    <w:p>
      <w:pPr>
        <w:pStyle w:val="Normal"/>
        <w:spacing w:lineRule="auto" w:line="240" w:before="0" w:after="0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E-mail: ХХХХ</w:t>
      </w:r>
    </w:p>
    <w:p>
      <w:pPr>
        <w:pStyle w:val="Normal"/>
        <w:spacing w:lineRule="auto" w:line="240" w:before="0" w:after="0"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</w:r>
    </w:p>
    <w:p>
      <w:pPr>
        <w:pStyle w:val="Normal"/>
        <w:spacing w:lineRule="auto" w:line="240" w:before="0" w:after="0"/>
        <w:rPr>
          <w:rFonts w:ascii="PT Astra Serif" w:hAnsi="PT Astra Serif"/>
          <w:b/>
          <w:b/>
          <w:sz w:val="26"/>
        </w:rPr>
      </w:pPr>
      <w:r>
        <w:rPr>
          <w:rFonts w:ascii="PT Astra Serif" w:hAnsi="PT Astra Serif"/>
          <w:b/>
          <w:sz w:val="26"/>
        </w:rPr>
        <w:t xml:space="preserve">Представитель министерства </w:t>
      </w:r>
    </w:p>
    <w:p>
      <w:pPr>
        <w:pStyle w:val="Normal"/>
        <w:spacing w:lineRule="auto" w:line="240" w:before="0" w:after="0"/>
        <w:rPr>
          <w:rFonts w:ascii="PT Astra Serif" w:hAnsi="PT Astra Serif"/>
          <w:b/>
          <w:b/>
          <w:sz w:val="26"/>
        </w:rPr>
      </w:pPr>
      <w:r>
        <w:rPr>
          <w:rFonts w:ascii="PT Astra Serif" w:hAnsi="PT Astra Serif"/>
          <w:b/>
          <w:sz w:val="26"/>
        </w:rPr>
        <w:t xml:space="preserve">имущественных и земельных отношений </w:t>
      </w:r>
    </w:p>
    <w:p>
      <w:pPr>
        <w:pStyle w:val="Normal"/>
        <w:spacing w:lineRule="auto" w:line="240" w:before="0" w:after="0"/>
        <w:rPr>
          <w:rFonts w:ascii="PT Astra Serif" w:hAnsi="PT Astra Serif"/>
          <w:b/>
          <w:b/>
          <w:sz w:val="26"/>
        </w:rPr>
      </w:pPr>
      <w:r>
        <w:rPr>
          <w:rFonts w:ascii="PT Astra Serif" w:hAnsi="PT Astra Serif"/>
          <w:b/>
          <w:sz w:val="26"/>
        </w:rPr>
        <w:t>Тульской области по доверенности                                                  ХХХХ</w:t>
      </w:r>
    </w:p>
    <w:p>
      <w:pPr>
        <w:pStyle w:val="Normal"/>
        <w:spacing w:lineRule="auto" w:line="240" w:before="0" w:after="0"/>
        <w:rPr>
          <w:rFonts w:ascii="PT Astra Serif" w:hAnsi="PT Astra Serif"/>
          <w:b/>
          <w:b/>
          <w:sz w:val="26"/>
        </w:rPr>
      </w:pPr>
      <w:r>
        <w:rPr>
          <w:rFonts w:ascii="PT Astra Serif" w:hAnsi="PT Astra Serif"/>
          <w:b/>
          <w:sz w:val="26"/>
        </w:rPr>
      </w:r>
    </w:p>
    <w:p>
      <w:pPr>
        <w:pStyle w:val="Normal"/>
        <w:tabs>
          <w:tab w:val="clear" w:pos="708"/>
          <w:tab w:val="left" w:pos="567" w:leader="none"/>
          <w:tab w:val="left" w:pos="709" w:leader="none"/>
        </w:tabs>
        <w:jc w:val="center"/>
        <w:rPr>
          <w:rFonts w:ascii="PT Astra Serif" w:hAnsi="PT Astra Serif"/>
        </w:rPr>
      </w:pPr>
      <w:r>
        <w:rPr>
          <w:rFonts w:ascii="PT Astra Serif" w:hAnsi="PT Astra Serif"/>
        </w:rPr>
      </w:r>
    </w:p>
    <w:p>
      <w:pPr>
        <w:pStyle w:val="Normal"/>
        <w:tabs>
          <w:tab w:val="clear" w:pos="708"/>
          <w:tab w:val="left" w:pos="567" w:leader="none"/>
          <w:tab w:val="left" w:pos="709" w:leader="none"/>
        </w:tabs>
        <w:jc w:val="center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 xml:space="preserve">Реквизиты для оплаты за земельные участки, государственная собственность которых не разграничена и которые расположены в границах муниципального образования город Тула </w:t>
      </w:r>
      <w:r>
        <w:rPr>
          <w:rFonts w:ascii="PT Astra Serif" w:hAnsi="PT Astra Serif"/>
          <w:b w:val="false"/>
          <w:sz w:val="26"/>
          <w:u w:val="single"/>
        </w:rPr>
        <w:t xml:space="preserve">с  01.01.2021 года </w:t>
      </w:r>
    </w:p>
    <w:p>
      <w:pPr>
        <w:pStyle w:val="Style33"/>
        <w:tabs>
          <w:tab w:val="clear" w:pos="4677"/>
          <w:tab w:val="clear" w:pos="9355"/>
          <w:tab w:val="left" w:pos="567" w:leader="none"/>
          <w:tab w:val="left" w:pos="709" w:leader="none"/>
          <w:tab w:val="center" w:pos="4153" w:leader="none"/>
          <w:tab w:val="right" w:pos="8306" w:leader="none"/>
        </w:tabs>
        <w:jc w:val="both"/>
        <w:rPr>
          <w:rFonts w:ascii="PT Astra Serif" w:hAnsi="PT Astra Serif"/>
          <w:b w:val="false"/>
          <w:b w:val="false"/>
          <w:sz w:val="26"/>
        </w:rPr>
      </w:pPr>
      <w:r>
        <w:rPr>
          <w:rFonts w:ascii="PT Astra Serif" w:hAnsi="PT Astra Serif"/>
          <w:b w:val="false"/>
          <w:sz w:val="26"/>
        </w:rPr>
      </w:r>
    </w:p>
    <w:p>
      <w:pPr>
        <w:pStyle w:val="Style33"/>
        <w:tabs>
          <w:tab w:val="clear" w:pos="4677"/>
          <w:tab w:val="clear" w:pos="9355"/>
          <w:tab w:val="left" w:pos="567" w:leader="none"/>
          <w:tab w:val="left" w:pos="709" w:leader="none"/>
          <w:tab w:val="center" w:pos="4153" w:leader="none"/>
          <w:tab w:val="right" w:pos="8306" w:leader="none"/>
        </w:tabs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Получатель: УФК по Тульской области (Министерство имущественных и земельных отношений  Тульской области)</w:t>
      </w:r>
    </w:p>
    <w:p>
      <w:pPr>
        <w:pStyle w:val="Style33"/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ИНН: 7106058814</w:t>
      </w:r>
    </w:p>
    <w:p>
      <w:pPr>
        <w:pStyle w:val="Style33"/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КПП: 710601001</w:t>
      </w:r>
    </w:p>
    <w:p>
      <w:pPr>
        <w:pStyle w:val="Style33"/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Расчетный счет: 03100643000000016600</w:t>
      </w:r>
    </w:p>
    <w:p>
      <w:pPr>
        <w:pStyle w:val="Style33"/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КОРСЧЕТ: 40102810445370000059</w:t>
      </w:r>
    </w:p>
    <w:p>
      <w:pPr>
        <w:pStyle w:val="Style33"/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Банк получателя: ОТДЕЛЕНИЕ ТУЛА БАНКА РОССИИ//УФК по Тульской области г. Тула</w:t>
      </w:r>
    </w:p>
    <w:p>
      <w:pPr>
        <w:pStyle w:val="Normal"/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БИК: 017003983</w:t>
      </w:r>
    </w:p>
    <w:p>
      <w:pPr>
        <w:pStyle w:val="Style33"/>
        <w:tabs>
          <w:tab w:val="clear" w:pos="4677"/>
          <w:tab w:val="clear" w:pos="9355"/>
          <w:tab w:val="left" w:pos="709" w:leader="none"/>
          <w:tab w:val="center" w:pos="4153" w:leader="none"/>
          <w:tab w:val="right" w:pos="8306" w:leader="none"/>
        </w:tabs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Код ОКТМО: 70701000</w:t>
      </w:r>
    </w:p>
    <w:p>
      <w:pPr>
        <w:pStyle w:val="Normal"/>
        <w:rPr>
          <w:b w:val="false"/>
          <w:b w:val="false"/>
          <w:sz w:val="26"/>
        </w:rPr>
      </w:pPr>
      <w:r>
        <w:rPr>
          <w:b w:val="false"/>
          <w:sz w:val="26"/>
        </w:rPr>
      </w:r>
    </w:p>
    <w:p>
      <w:pPr>
        <w:pStyle w:val="Normal"/>
        <w:jc w:val="center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 xml:space="preserve">        </w:t>
      </w:r>
      <w:r>
        <w:rPr>
          <w:rFonts w:ascii="PT Astra Serif" w:hAnsi="PT Astra Serif"/>
          <w:b w:val="false"/>
          <w:sz w:val="26"/>
        </w:rPr>
        <w:t>Коды бюджетной классификации:</w:t>
      </w:r>
    </w:p>
    <w:p>
      <w:pPr>
        <w:pStyle w:val="Normal"/>
        <w:tabs>
          <w:tab w:val="clear" w:pos="708"/>
          <w:tab w:val="left" w:pos="709" w:leader="none"/>
        </w:tabs>
        <w:jc w:val="both"/>
        <w:rPr/>
      </w:pPr>
      <w:r>
        <w:rPr>
          <w:rFonts w:ascii="PT Astra Serif" w:hAnsi="PT Astra Serif"/>
          <w:b w:val="false"/>
          <w:sz w:val="26"/>
        </w:rPr>
        <w:t>82311105012040000120 – арендная плата по договору аренды земельного участка;</w:t>
      </w:r>
    </w:p>
    <w:p>
      <w:pPr>
        <w:pStyle w:val="Normal"/>
        <w:tabs>
          <w:tab w:val="clear" w:pos="708"/>
          <w:tab w:val="left" w:pos="709" w:leader="none"/>
        </w:tabs>
        <w:jc w:val="both"/>
        <w:rPr/>
      </w:pPr>
      <w:r>
        <w:rPr>
          <w:rFonts w:ascii="PT Astra Serif" w:hAnsi="PT Astra Serif"/>
          <w:b w:val="false"/>
          <w:sz w:val="26"/>
        </w:rPr>
        <w:t>82311607090040000140 – пени по договору аренды земельного участка;</w:t>
      </w:r>
    </w:p>
    <w:p>
      <w:pPr>
        <w:pStyle w:val="Normal"/>
        <w:tabs>
          <w:tab w:val="clear" w:pos="708"/>
          <w:tab w:val="left" w:pos="709" w:leader="none"/>
        </w:tabs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82311105012040000120 – неосновательное обогащение;</w:t>
      </w:r>
    </w:p>
    <w:p>
      <w:pPr>
        <w:pStyle w:val="Normal"/>
        <w:tabs>
          <w:tab w:val="clear" w:pos="708"/>
          <w:tab w:val="left" w:pos="709" w:leader="none"/>
        </w:tabs>
        <w:jc w:val="both"/>
        <w:rPr>
          <w:rFonts w:ascii="PT Astra Serif" w:hAnsi="PT Astra Serif"/>
        </w:rPr>
      </w:pPr>
      <w:r>
        <w:rPr>
          <w:rFonts w:ascii="PT Astra Serif" w:hAnsi="PT Astra Serif"/>
          <w:b w:val="false"/>
          <w:sz w:val="26"/>
        </w:rPr>
        <w:t>82311607090040000140 – проценты за пользование денежными средствами</w:t>
      </w:r>
    </w:p>
    <w:p>
      <w:pPr>
        <w:pStyle w:val="Normal"/>
        <w:spacing w:lineRule="auto" w:line="240" w:before="0" w:after="0"/>
        <w:jc w:val="center"/>
        <w:rPr>
          <w:rFonts w:ascii="PT Astra Serif" w:hAnsi="PT Astra Serif"/>
          <w:b w:val="false"/>
          <w:b w:val="false"/>
          <w:sz w:val="26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850" w:gutter="0" w:header="708" w:top="1134" w:footer="708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PT Astra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</w:r>
  </w:p>
  <w:p>
    <w:pPr>
      <w:pStyle w:val="Style26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jc w:val="center"/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</w:r>
    <w:r>
      <mc:AlternateContent>
        <mc:Choice Requires="wps">
          <w:drawing>
            <wp:anchor behindDoc="0" distT="0" distB="0" distL="0" distR="0" simplePos="0" locked="0" layoutInCell="0" allowOverlap="1" relativeHeight="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170815"/>
              <wp:effectExtent l="0" t="0" r="0" b="0"/>
              <wp:wrapSquare wrapText="bothSides"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755" cy="17081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Normal"/>
                            <w:pBdr/>
                            <w:spacing w:before="0" w:after="20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.65pt;height:13.45pt;mso-wrap-distance-left:0pt;mso-wrap-distance-right:0pt;mso-wrap-distance-top:0pt;mso-wrap-distance-bottom:0pt;margin-top:0.05pt;mso-position-vertical-relative:text;margin-left:231.0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Normal"/>
                      <w:pBdr/>
                      <w:spacing w:before="0" w:after="20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>
    <w:pPr>
      <w:pStyle w:val="Style3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ahoma" w:cs="Noto Sans Devanagari" w:asciiTheme="minorAscii" w:hAnsiTheme="minorHAnsi"/>
        <w:color w:val="000000"/>
        <w:sz w:val="22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4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link w:val="Style_4_ch"/>
    <w:uiPriority w:val="0"/>
    <w:qFormat/>
    <w:pPr>
      <w:widowControl/>
      <w:bidi w:val="0"/>
      <w:spacing w:lineRule="auto" w:line="276" w:before="0" w:after="200"/>
      <w:ind w:left="0" w:right="0" w:hanging="0"/>
      <w:jc w:val="left"/>
    </w:pPr>
    <w:rPr>
      <w:rFonts w:ascii="Calibri" w:hAnsi="Calibri" w:asciiTheme="minorAscii" w:hAnsiTheme="minorHAnsi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">
    <w:name w:val="Heading 1"/>
    <w:next w:val="Normal"/>
    <w:link w:val="Style_26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Tahoma" w:cs="Noto Sans Devanagari"/>
      <w:b/>
      <w:color w:val="000000"/>
      <w:spacing w:val="0"/>
      <w:kern w:val="0"/>
      <w:sz w:val="32"/>
      <w:szCs w:val="20"/>
      <w:lang w:val="ru-RU" w:eastAsia="zh-CN" w:bidi="hi-IN"/>
    </w:rPr>
  </w:style>
  <w:style w:type="paragraph" w:styleId="2">
    <w:name w:val="Heading 2"/>
    <w:next w:val="Normal"/>
    <w:link w:val="Style_45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3">
    <w:name w:val="Heading 3"/>
    <w:next w:val="Normal"/>
    <w:link w:val="Style_16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Tahoma" w:cs="Noto Sans Devanagari"/>
      <w:b/>
      <w:color w:val="000000"/>
      <w:spacing w:val="0"/>
      <w:kern w:val="0"/>
      <w:sz w:val="26"/>
      <w:szCs w:val="20"/>
      <w:lang w:val="ru-RU" w:eastAsia="zh-CN" w:bidi="hi-IN"/>
    </w:rPr>
  </w:style>
  <w:style w:type="paragraph" w:styleId="4">
    <w:name w:val="Heading 4"/>
    <w:next w:val="Normal"/>
    <w:link w:val="Style_43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Tahoma" w:cs="Noto Sans Devanagari"/>
      <w:b/>
      <w:color w:val="000000"/>
      <w:spacing w:val="0"/>
      <w:kern w:val="0"/>
      <w:sz w:val="24"/>
      <w:szCs w:val="20"/>
      <w:lang w:val="ru-RU" w:eastAsia="zh-CN" w:bidi="hi-IN"/>
    </w:rPr>
  </w:style>
  <w:style w:type="paragraph" w:styleId="5">
    <w:name w:val="Heading 5"/>
    <w:next w:val="Normal"/>
    <w:link w:val="Style_25_ch"/>
    <w:uiPriority w:val="9"/>
    <w:qFormat/>
    <w:pPr>
      <w:widowControl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Tahoma" w:cs="Noto Sans Devanagari"/>
      <w:b/>
      <w:color w:val="000000"/>
      <w:spacing w:val="0"/>
      <w:kern w:val="0"/>
      <w:sz w:val="22"/>
      <w:szCs w:val="20"/>
      <w:lang w:val="ru-RU" w:eastAsia="zh-CN" w:bidi="hi-IN"/>
    </w:rPr>
  </w:style>
  <w:style w:type="character" w:styleId="Contents2">
    <w:name w:val="Contents 2"/>
    <w:link w:val="Style_6"/>
    <w:qFormat/>
    <w:rPr>
      <w:rFonts w:ascii="XO Thames" w:hAnsi="XO Thames"/>
      <w:sz w:val="28"/>
    </w:rPr>
  </w:style>
  <w:style w:type="character" w:styleId="Contents4">
    <w:name w:val="Contents 4"/>
    <w:link w:val="Style_7"/>
    <w:qFormat/>
    <w:rPr>
      <w:rFonts w:ascii="XO Thames" w:hAnsi="XO Thames"/>
      <w:sz w:val="28"/>
    </w:rPr>
  </w:style>
  <w:style w:type="character" w:styleId="Caaieiaie1">
    <w:name w:val="caaieiaie 1"/>
    <w:basedOn w:val="Iauiue"/>
    <w:link w:val="Style_8"/>
    <w:qFormat/>
    <w:rPr>
      <w:rFonts w:ascii="Arial" w:hAnsi="Arial"/>
      <w:b/>
    </w:rPr>
  </w:style>
  <w:style w:type="character" w:styleId="Style9">
    <w:name w:val="Верхний колонтитул Знак"/>
    <w:basedOn w:val="DefaultParagraphFont"/>
    <w:link w:val="Style_10"/>
    <w:qFormat/>
    <w:rPr/>
  </w:style>
  <w:style w:type="character" w:styleId="DefaultParagraphFont">
    <w:name w:val="Default Paragraph Font"/>
    <w:link w:val="Style_11"/>
    <w:qFormat/>
    <w:rPr/>
  </w:style>
  <w:style w:type="character" w:styleId="Contents6">
    <w:name w:val="Contents 6"/>
    <w:link w:val="Style_12"/>
    <w:qFormat/>
    <w:rPr>
      <w:rFonts w:ascii="XO Thames" w:hAnsi="XO Thames"/>
      <w:sz w:val="28"/>
    </w:rPr>
  </w:style>
  <w:style w:type="character" w:styleId="Contents7">
    <w:name w:val="Contents 7"/>
    <w:link w:val="Style_13"/>
    <w:qFormat/>
    <w:rPr>
      <w:rFonts w:ascii="XO Thames" w:hAnsi="XO Thames"/>
      <w:sz w:val="28"/>
    </w:rPr>
  </w:style>
  <w:style w:type="character" w:styleId="Textbody">
    <w:name w:val="Text body"/>
    <w:link w:val="Style_14"/>
    <w:qFormat/>
    <w:rPr>
      <w:rFonts w:ascii="Calibri" w:hAnsi="Calibri"/>
    </w:rPr>
  </w:style>
  <w:style w:type="character" w:styleId="Endnote">
    <w:name w:val="Endnote"/>
    <w:link w:val="Style_15"/>
    <w:qFormat/>
    <w:rPr>
      <w:rFonts w:ascii="XO Thames" w:hAnsi="XO Thames"/>
      <w:sz w:val="22"/>
    </w:rPr>
  </w:style>
  <w:style w:type="character" w:styleId="Heading3">
    <w:name w:val="Heading 3"/>
    <w:link w:val="Style_16"/>
    <w:qFormat/>
    <w:rPr>
      <w:rFonts w:ascii="XO Thames" w:hAnsi="XO Thames"/>
      <w:b/>
      <w:sz w:val="26"/>
    </w:rPr>
  </w:style>
  <w:style w:type="character" w:styleId="Style10">
    <w:name w:val="Основной текст_"/>
    <w:link w:val="Style_17"/>
    <w:qFormat/>
    <w:rPr/>
  </w:style>
  <w:style w:type="character" w:styleId="11">
    <w:name w:val="Основной текст1"/>
    <w:link w:val="Style_18"/>
    <w:qFormat/>
    <w:rPr/>
  </w:style>
  <w:style w:type="character" w:styleId="Preformat">
    <w:name w:val="Preformat"/>
    <w:link w:val="Style_19"/>
    <w:qFormat/>
    <w:rPr>
      <w:rFonts w:ascii="Courier New" w:hAnsi="Courier New"/>
      <w:color w:val="000000"/>
      <w:sz w:val="20"/>
    </w:rPr>
  </w:style>
  <w:style w:type="character" w:styleId="Style11">
    <w:name w:val="Заголовок"/>
    <w:link w:val="Style_20"/>
    <w:qFormat/>
    <w:rPr>
      <w:rFonts w:ascii="Liberation Sans" w:hAnsi="Liberation Sans"/>
      <w:sz w:val="28"/>
    </w:rPr>
  </w:style>
  <w:style w:type="character" w:styleId="Footer">
    <w:name w:val="Footer"/>
    <w:link w:val="Style_2"/>
    <w:qFormat/>
    <w:rPr/>
  </w:style>
  <w:style w:type="character" w:styleId="Caption">
    <w:name w:val="Caption"/>
    <w:link w:val="Style_21"/>
    <w:qFormat/>
    <w:rPr>
      <w:i/>
      <w:sz w:val="24"/>
    </w:rPr>
  </w:style>
  <w:style w:type="character" w:styleId="Style12">
    <w:name w:val="Верхний и нижний колонтитулы"/>
    <w:link w:val="Style_22"/>
    <w:qFormat/>
    <w:rPr/>
  </w:style>
  <w:style w:type="character" w:styleId="Style13">
    <w:name w:val="Текст выноски Знак"/>
    <w:basedOn w:val="DefaultParagraphFont"/>
    <w:link w:val="Style_23"/>
    <w:qFormat/>
    <w:rPr>
      <w:rFonts w:ascii="Arial" w:hAnsi="Arial"/>
      <w:sz w:val="16"/>
    </w:rPr>
  </w:style>
  <w:style w:type="character" w:styleId="Contents3">
    <w:name w:val="Contents 3"/>
    <w:link w:val="Style_24"/>
    <w:qFormat/>
    <w:rPr>
      <w:rFonts w:ascii="XO Thames" w:hAnsi="XO Thames"/>
      <w:sz w:val="28"/>
    </w:rPr>
  </w:style>
  <w:style w:type="character" w:styleId="Iauiue">
    <w:name w:val="Iau?iue"/>
    <w:link w:val="Style_9"/>
    <w:qFormat/>
    <w:rPr>
      <w:rFonts w:ascii="Times New Roman" w:hAnsi="Times New Roman"/>
      <w:color w:val="000000"/>
      <w:sz w:val="28"/>
    </w:rPr>
  </w:style>
  <w:style w:type="character" w:styleId="Heading5">
    <w:name w:val="Heading 5"/>
    <w:link w:val="Style_25"/>
    <w:qFormat/>
    <w:rPr>
      <w:rFonts w:ascii="XO Thames" w:hAnsi="XO Thames"/>
      <w:b/>
      <w:sz w:val="22"/>
    </w:rPr>
  </w:style>
  <w:style w:type="character" w:styleId="ListParagraph">
    <w:name w:val="List Paragraph"/>
    <w:link w:val="Style_5"/>
    <w:qFormat/>
    <w:rPr/>
  </w:style>
  <w:style w:type="character" w:styleId="Heading1">
    <w:name w:val="Heading 1"/>
    <w:link w:val="Style_26"/>
    <w:qFormat/>
    <w:rPr>
      <w:rFonts w:ascii="XO Thames" w:hAnsi="XO Thames"/>
      <w:b/>
      <w:sz w:val="32"/>
    </w:rPr>
  </w:style>
  <w:style w:type="character" w:styleId="Style14">
    <w:name w:val="Указатель"/>
    <w:link w:val="Style_27"/>
    <w:qFormat/>
    <w:rPr/>
  </w:style>
  <w:style w:type="character" w:styleId="Style15">
    <w:name w:val="Интернет-ссылка"/>
    <w:basedOn w:val="DefaultParagraphFont"/>
    <w:link w:val="Style_32"/>
    <w:rPr>
      <w:color w:val="0000FF" w:themeColor="hyperlink"/>
      <w:u w:val="single"/>
    </w:rPr>
  </w:style>
  <w:style w:type="character" w:styleId="Footnote">
    <w:name w:val="Footnote"/>
    <w:link w:val="Style_29"/>
    <w:qFormat/>
    <w:rPr>
      <w:rFonts w:ascii="XO Thames" w:hAnsi="XO Thames"/>
      <w:sz w:val="22"/>
    </w:rPr>
  </w:style>
  <w:style w:type="character" w:styleId="Contents1">
    <w:name w:val="Contents 1"/>
    <w:link w:val="Style_30"/>
    <w:qFormat/>
    <w:rPr>
      <w:rFonts w:ascii="XO Thames" w:hAnsi="XO Thames"/>
      <w:b/>
      <w:sz w:val="28"/>
    </w:rPr>
  </w:style>
  <w:style w:type="character" w:styleId="HeaderandFooter">
    <w:name w:val="Header and Footer"/>
    <w:link w:val="Style_31"/>
    <w:qFormat/>
    <w:rPr>
      <w:rFonts w:ascii="XO Thames" w:hAnsi="XO Thames"/>
      <w:sz w:val="20"/>
    </w:rPr>
  </w:style>
  <w:style w:type="character" w:styleId="Contents9">
    <w:name w:val="Contents 9"/>
    <w:link w:val="Style_33"/>
    <w:qFormat/>
    <w:rPr>
      <w:rFonts w:ascii="XO Thames" w:hAnsi="XO Thames"/>
      <w:sz w:val="28"/>
    </w:rPr>
  </w:style>
  <w:style w:type="character" w:styleId="Style16">
    <w:name w:val="Основной текст Знак"/>
    <w:basedOn w:val="DefaultParagraphFont"/>
    <w:link w:val="Style_34"/>
    <w:qFormat/>
    <w:rPr>
      <w:rFonts w:ascii="Calibri" w:hAnsi="Calibri"/>
    </w:rPr>
  </w:style>
  <w:style w:type="character" w:styleId="ConsPlusNormal">
    <w:name w:val="ConsPlusNormal"/>
    <w:link w:val="Style_35"/>
    <w:qFormat/>
    <w:rPr>
      <w:rFonts w:ascii="Arial" w:hAnsi="Arial"/>
      <w:color w:val="000000"/>
      <w:sz w:val="20"/>
    </w:rPr>
  </w:style>
  <w:style w:type="character" w:styleId="Contents8">
    <w:name w:val="Contents 8"/>
    <w:link w:val="Style_36"/>
    <w:qFormat/>
    <w:rPr>
      <w:rFonts w:ascii="XO Thames" w:hAnsi="XO Thames"/>
      <w:sz w:val="28"/>
    </w:rPr>
  </w:style>
  <w:style w:type="character" w:styleId="Style17">
    <w:name w:val="Нижний колонтитул Знак"/>
    <w:basedOn w:val="DefaultParagraphFont"/>
    <w:link w:val="Style_37"/>
    <w:qFormat/>
    <w:rPr/>
  </w:style>
  <w:style w:type="character" w:styleId="Contents5">
    <w:name w:val="Contents 5"/>
    <w:link w:val="Style_38"/>
    <w:qFormat/>
    <w:rPr>
      <w:rFonts w:ascii="XO Thames" w:hAnsi="XO Thames"/>
      <w:sz w:val="28"/>
    </w:rPr>
  </w:style>
  <w:style w:type="character" w:styleId="List">
    <w:name w:val="List"/>
    <w:basedOn w:val="Textbody"/>
    <w:link w:val="Style_39"/>
    <w:qFormat/>
    <w:rPr/>
  </w:style>
  <w:style w:type="character" w:styleId="BalloonText">
    <w:name w:val="Balloon Text"/>
    <w:link w:val="Style_40"/>
    <w:qFormat/>
    <w:rPr>
      <w:rFonts w:ascii="Arial" w:hAnsi="Arial"/>
      <w:sz w:val="16"/>
    </w:rPr>
  </w:style>
  <w:style w:type="character" w:styleId="Subtitle">
    <w:name w:val="Subtitle"/>
    <w:link w:val="Style_41"/>
    <w:qFormat/>
    <w:rPr>
      <w:rFonts w:ascii="XO Thames" w:hAnsi="XO Thames"/>
      <w:i/>
      <w:sz w:val="24"/>
    </w:rPr>
  </w:style>
  <w:style w:type="character" w:styleId="Title">
    <w:name w:val="Title"/>
    <w:link w:val="Style_42"/>
    <w:qFormat/>
    <w:rPr>
      <w:rFonts w:ascii="XO Thames" w:hAnsi="XO Thames"/>
      <w:b/>
      <w:caps/>
      <w:sz w:val="40"/>
    </w:rPr>
  </w:style>
  <w:style w:type="character" w:styleId="Heading4">
    <w:name w:val="Heading 4"/>
    <w:link w:val="Style_43"/>
    <w:qFormat/>
    <w:rPr>
      <w:rFonts w:ascii="XO Thames" w:hAnsi="XO Thames"/>
      <w:b/>
      <w:sz w:val="24"/>
    </w:rPr>
  </w:style>
  <w:style w:type="character" w:styleId="Default">
    <w:name w:val="Default"/>
    <w:link w:val="Style_44"/>
    <w:qFormat/>
    <w:rPr>
      <w:rFonts w:ascii="Times New Roman" w:hAnsi="Times New Roman"/>
      <w:color w:val="000000"/>
      <w:sz w:val="24"/>
    </w:rPr>
  </w:style>
  <w:style w:type="character" w:styleId="Heading2">
    <w:name w:val="Heading 2"/>
    <w:link w:val="Style_45"/>
    <w:qFormat/>
    <w:rPr>
      <w:rFonts w:ascii="XO Thames" w:hAnsi="XO Thames"/>
      <w:b/>
      <w:sz w:val="28"/>
    </w:rPr>
  </w:style>
  <w:style w:type="character" w:styleId="Header">
    <w:name w:val="Header"/>
    <w:link w:val="Style_1"/>
    <w:qFormat/>
    <w:rPr/>
  </w:style>
  <w:style w:type="paragraph" w:styleId="Style18">
    <w:name w:val="Заголовок"/>
    <w:basedOn w:val="Normal"/>
    <w:next w:val="Style19"/>
    <w:link w:val="Style_20_ch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Style19">
    <w:name w:val="Body Text"/>
    <w:basedOn w:val="Normal"/>
    <w:link w:val="Style_14_ch"/>
    <w:pPr>
      <w:spacing w:before="0" w:after="120"/>
    </w:pPr>
    <w:rPr>
      <w:rFonts w:ascii="Calibri" w:hAnsi="Calibri"/>
    </w:rPr>
  </w:style>
  <w:style w:type="paragraph" w:styleId="Style20">
    <w:name w:val="List"/>
    <w:basedOn w:val="Style19"/>
    <w:link w:val="Style_39_ch"/>
    <w:pPr/>
    <w:rPr/>
  </w:style>
  <w:style w:type="paragraph" w:styleId="Style21">
    <w:name w:val="Caption"/>
    <w:basedOn w:val="Normal"/>
    <w:link w:val="Style_21_ch"/>
    <w:qFormat/>
    <w:pPr>
      <w:spacing w:before="120" w:after="120"/>
    </w:pPr>
    <w:rPr>
      <w:i/>
      <w:sz w:val="24"/>
    </w:rPr>
  </w:style>
  <w:style w:type="paragraph" w:styleId="Style22">
    <w:name w:val="Указатель"/>
    <w:basedOn w:val="Normal"/>
    <w:link w:val="Style_27_ch"/>
    <w:qFormat/>
    <w:pPr/>
    <w:rPr/>
  </w:style>
  <w:style w:type="paragraph" w:styleId="21">
    <w:name w:val="TOC 2"/>
    <w:next w:val="Normal"/>
    <w:link w:val="Style_6_ch"/>
    <w:uiPriority w:val="39"/>
    <w:pPr>
      <w:widowControl/>
      <w:bidi w:val="0"/>
      <w:spacing w:lineRule="auto" w:line="240" w:before="0" w:after="0"/>
      <w:ind w:left="2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41">
    <w:name w:val="TOC 4"/>
    <w:next w:val="Normal"/>
    <w:link w:val="Style_7_ch"/>
    <w:uiPriority w:val="39"/>
    <w:pPr>
      <w:widowControl/>
      <w:bidi w:val="0"/>
      <w:spacing w:lineRule="auto" w:line="240" w:before="0" w:after="0"/>
      <w:ind w:left="6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Caaieiaie11">
    <w:name w:val="caaieiaie 1"/>
    <w:basedOn w:val="Iauiue1"/>
    <w:next w:val="Iauiue1"/>
    <w:link w:val="Style_8_ch"/>
    <w:qFormat/>
    <w:pPr>
      <w:keepNext w:val="true"/>
      <w:spacing w:lineRule="auto" w:line="240" w:before="240" w:after="60"/>
      <w:ind w:left="0" w:right="0" w:hanging="0"/>
      <w:jc w:val="left"/>
    </w:pPr>
    <w:rPr>
      <w:rFonts w:ascii="Arial" w:hAnsi="Arial"/>
      <w:b/>
    </w:rPr>
  </w:style>
  <w:style w:type="paragraph" w:styleId="Style23">
    <w:name w:val="Верхний колонтитул Знак"/>
    <w:basedOn w:val="DefaultParagraphFont1"/>
    <w:link w:val="Style_10_ch"/>
    <w:qFormat/>
    <w:pPr/>
    <w:rPr/>
  </w:style>
  <w:style w:type="paragraph" w:styleId="DefaultParagraphFont1">
    <w:name w:val="Default Paragraph Font"/>
    <w:link w:val="Style_11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Noto Sans Devanagari" w:asciiTheme="minorAscii" w:hAnsiTheme="minorHAnsi"/>
      <w:color w:val="000000"/>
      <w:spacing w:val="0"/>
      <w:kern w:val="0"/>
      <w:sz w:val="22"/>
      <w:szCs w:val="20"/>
      <w:lang w:val="ru-RU" w:eastAsia="zh-CN" w:bidi="hi-IN"/>
    </w:rPr>
  </w:style>
  <w:style w:type="paragraph" w:styleId="6">
    <w:name w:val="TOC 6"/>
    <w:next w:val="Normal"/>
    <w:link w:val="Style_12_ch"/>
    <w:uiPriority w:val="39"/>
    <w:pPr>
      <w:widowControl/>
      <w:bidi w:val="0"/>
      <w:spacing w:lineRule="auto" w:line="240" w:before="0" w:after="0"/>
      <w:ind w:left="10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7">
    <w:name w:val="TOC 7"/>
    <w:next w:val="Normal"/>
    <w:link w:val="Style_13_ch"/>
    <w:uiPriority w:val="39"/>
    <w:pPr>
      <w:widowControl/>
      <w:bidi w:val="0"/>
      <w:spacing w:lineRule="auto" w:line="240" w:before="0" w:after="0"/>
      <w:ind w:left="12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Endnote1">
    <w:name w:val="Endnote"/>
    <w:link w:val="Style_15_ch"/>
    <w:qFormat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Style24">
    <w:name w:val="Основной текст_"/>
    <w:link w:val="Style_17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Noto Sans Devanagari" w:asciiTheme="minorAscii" w:hAnsiTheme="minorHAnsi"/>
      <w:color w:val="000000"/>
      <w:spacing w:val="0"/>
      <w:kern w:val="0"/>
      <w:sz w:val="22"/>
      <w:szCs w:val="20"/>
      <w:highlight w:val="white"/>
      <w:lang w:val="ru-RU" w:eastAsia="zh-CN" w:bidi="hi-IN"/>
    </w:rPr>
  </w:style>
  <w:style w:type="paragraph" w:styleId="12">
    <w:name w:val="Основной текст1"/>
    <w:basedOn w:val="Normal"/>
    <w:link w:val="Style_18_ch"/>
    <w:qFormat/>
    <w:pPr>
      <w:widowControl w:val="false"/>
      <w:spacing w:lineRule="exact" w:line="413" w:before="300" w:after="0"/>
      <w:jc w:val="center"/>
    </w:pPr>
    <w:rPr/>
  </w:style>
  <w:style w:type="paragraph" w:styleId="Preformat1">
    <w:name w:val="Preformat"/>
    <w:link w:val="Style_19_ch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Tahoma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5">
    <w:name w:val="Верхний и нижний колонтитулы"/>
    <w:link w:val="Style_31_ch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Tahoma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Style26">
    <w:name w:val="Footer"/>
    <w:basedOn w:val="Normal"/>
    <w:link w:val="Style_2_ch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Текст выноски Знак"/>
    <w:basedOn w:val="DefaultParagraphFont1"/>
    <w:link w:val="Style_23_ch"/>
    <w:qFormat/>
    <w:pPr/>
    <w:rPr>
      <w:rFonts w:ascii="Arial" w:hAnsi="Arial"/>
      <w:sz w:val="16"/>
    </w:rPr>
  </w:style>
  <w:style w:type="paragraph" w:styleId="31">
    <w:name w:val="TOC 3"/>
    <w:next w:val="Normal"/>
    <w:link w:val="Style_24_ch"/>
    <w:uiPriority w:val="39"/>
    <w:pPr>
      <w:widowControl/>
      <w:bidi w:val="0"/>
      <w:spacing w:lineRule="auto" w:line="240" w:before="0" w:after="0"/>
      <w:ind w:left="4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Iauiue1">
    <w:name w:val="Iau?iue"/>
    <w:link w:val="Style_9_ch"/>
    <w:qFormat/>
    <w:pPr>
      <w:widowControl/>
      <w:bidi w:val="0"/>
      <w:spacing w:lineRule="atLeast" w:line="360" w:before="120" w:after="120"/>
      <w:ind w:left="567" w:right="0" w:firstLine="720"/>
      <w:jc w:val="both"/>
    </w:pPr>
    <w:rPr>
      <w:rFonts w:ascii="Times New Roman" w:hAnsi="Times New Roman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ListParagraph1">
    <w:name w:val="List Paragraph"/>
    <w:basedOn w:val="Normal"/>
    <w:link w:val="Style_5_ch"/>
    <w:qFormat/>
    <w:pPr>
      <w:spacing w:before="0" w:after="200"/>
      <w:ind w:left="720" w:right="0" w:hanging="0"/>
      <w:contextualSpacing/>
    </w:pPr>
    <w:rPr/>
  </w:style>
  <w:style w:type="paragraph" w:styleId="Internetlink">
    <w:name w:val="Hyperlink"/>
    <w:link w:val="Style_28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Tahoma" w:cs="Noto Sans Devanagari"/>
      <w:color w:val="0000FF"/>
      <w:spacing w:val="0"/>
      <w:kern w:val="0"/>
      <w:sz w:val="22"/>
      <w:szCs w:val="20"/>
      <w:u w:val="single"/>
      <w:lang w:val="ru-RU" w:eastAsia="zh-CN" w:bidi="hi-IN"/>
    </w:rPr>
  </w:style>
  <w:style w:type="paragraph" w:styleId="Footnote1">
    <w:name w:val="Footnote"/>
    <w:link w:val="Style_29_ch"/>
    <w:qFormat/>
    <w:pPr>
      <w:widowControl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Tahoma" w:cs="Noto Sans Devanagari"/>
      <w:color w:val="000000"/>
      <w:spacing w:val="0"/>
      <w:kern w:val="0"/>
      <w:sz w:val="22"/>
      <w:szCs w:val="20"/>
      <w:lang w:val="ru-RU" w:eastAsia="zh-CN" w:bidi="hi-IN"/>
    </w:rPr>
  </w:style>
  <w:style w:type="paragraph" w:styleId="13">
    <w:name w:val="TOC 1"/>
    <w:next w:val="Normal"/>
    <w:link w:val="Style_30_ch"/>
    <w:uiPriority w:val="39"/>
    <w:pPr>
      <w:widowControl/>
      <w:bidi w:val="0"/>
      <w:spacing w:lineRule="auto" w:line="240" w:before="0" w:after="0"/>
      <w:ind w:left="0" w:right="0" w:hanging="0"/>
      <w:jc w:val="left"/>
    </w:pPr>
    <w:rPr>
      <w:rFonts w:ascii="XO Thames" w:hAnsi="XO Thames" w:eastAsia="Tahoma" w:cs="Noto Sans Devanagari"/>
      <w:b/>
      <w:color w:val="000000"/>
      <w:spacing w:val="0"/>
      <w:kern w:val="0"/>
      <w:sz w:val="28"/>
      <w:szCs w:val="20"/>
      <w:lang w:val="ru-RU" w:eastAsia="zh-CN" w:bidi="hi-IN"/>
    </w:rPr>
  </w:style>
  <w:style w:type="paragraph" w:styleId="Style28">
    <w:name w:val="Интернет-ссылка"/>
    <w:basedOn w:val="DefaultParagraphFont1"/>
    <w:link w:val="Style_32_ch"/>
    <w:qFormat/>
    <w:pPr/>
    <w:rPr>
      <w:color w:val="0000FF" w:themeColor="hyperlink"/>
      <w:u w:val="single"/>
    </w:rPr>
  </w:style>
  <w:style w:type="paragraph" w:styleId="9">
    <w:name w:val="TOC 9"/>
    <w:next w:val="Normal"/>
    <w:link w:val="Style_33_ch"/>
    <w:uiPriority w:val="39"/>
    <w:pPr>
      <w:widowControl/>
      <w:bidi w:val="0"/>
      <w:spacing w:lineRule="auto" w:line="240" w:before="0" w:after="0"/>
      <w:ind w:left="16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29">
    <w:name w:val="Основной текст Знак"/>
    <w:basedOn w:val="DefaultParagraphFont1"/>
    <w:link w:val="Style_34_ch"/>
    <w:qFormat/>
    <w:pPr/>
    <w:rPr>
      <w:rFonts w:ascii="Calibri" w:hAnsi="Calibri"/>
    </w:rPr>
  </w:style>
  <w:style w:type="paragraph" w:styleId="ConsPlusNormal1">
    <w:name w:val="ConsPlusNormal"/>
    <w:link w:val="Style_35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Arial" w:hAnsi="Arial" w:eastAsia="Tahoma" w:cs="Noto Sans Devanagari"/>
      <w:color w:val="000000"/>
      <w:spacing w:val="0"/>
      <w:kern w:val="0"/>
      <w:sz w:val="20"/>
      <w:szCs w:val="20"/>
      <w:lang w:val="ru-RU" w:eastAsia="zh-CN" w:bidi="hi-IN"/>
    </w:rPr>
  </w:style>
  <w:style w:type="paragraph" w:styleId="8">
    <w:name w:val="TOC 8"/>
    <w:next w:val="Normal"/>
    <w:link w:val="Style_36_ch"/>
    <w:uiPriority w:val="39"/>
    <w:pPr>
      <w:widowControl/>
      <w:bidi w:val="0"/>
      <w:spacing w:lineRule="auto" w:line="240" w:before="0" w:after="0"/>
      <w:ind w:left="14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Style30">
    <w:name w:val="Нижний колонтитул Знак"/>
    <w:basedOn w:val="DefaultParagraphFont1"/>
    <w:link w:val="Style_37_ch"/>
    <w:qFormat/>
    <w:pPr/>
    <w:rPr/>
  </w:style>
  <w:style w:type="paragraph" w:styleId="51">
    <w:name w:val="TOC 5"/>
    <w:next w:val="Normal"/>
    <w:link w:val="Style_38_ch"/>
    <w:uiPriority w:val="39"/>
    <w:pPr>
      <w:widowControl/>
      <w:bidi w:val="0"/>
      <w:spacing w:lineRule="auto" w:line="240" w:before="0" w:after="0"/>
      <w:ind w:left="800" w:right="0" w:hanging="0"/>
      <w:jc w:val="left"/>
    </w:pPr>
    <w:rPr>
      <w:rFonts w:ascii="XO Thames" w:hAnsi="XO Thames" w:eastAsia="Tahoma" w:cs="Noto Sans Devanagari"/>
      <w:color w:val="000000"/>
      <w:spacing w:val="0"/>
      <w:kern w:val="0"/>
      <w:sz w:val="28"/>
      <w:szCs w:val="20"/>
      <w:lang w:val="ru-RU" w:eastAsia="zh-CN" w:bidi="hi-IN"/>
    </w:rPr>
  </w:style>
  <w:style w:type="paragraph" w:styleId="BalloonText1">
    <w:name w:val="Balloon Text"/>
    <w:basedOn w:val="Normal"/>
    <w:link w:val="Style_40_ch"/>
    <w:qFormat/>
    <w:pPr>
      <w:spacing w:lineRule="auto" w:line="240" w:before="0" w:after="0"/>
    </w:pPr>
    <w:rPr>
      <w:rFonts w:ascii="Arial" w:hAnsi="Arial"/>
      <w:sz w:val="16"/>
    </w:rPr>
  </w:style>
  <w:style w:type="paragraph" w:styleId="Style31">
    <w:name w:val="Subtitle"/>
    <w:next w:val="Normal"/>
    <w:link w:val="Style_41_ch"/>
    <w:uiPriority w:val="11"/>
    <w:qFormat/>
    <w:pPr>
      <w:widowControl/>
      <w:bidi w:val="0"/>
      <w:spacing w:lineRule="auto" w:line="240" w:before="0" w:after="0"/>
      <w:ind w:left="0" w:right="0" w:hanging="0"/>
      <w:jc w:val="both"/>
    </w:pPr>
    <w:rPr>
      <w:rFonts w:ascii="XO Thames" w:hAnsi="XO Thames" w:eastAsia="Tahoma" w:cs="Noto Sans Devanagari"/>
      <w:i/>
      <w:color w:val="000000"/>
      <w:spacing w:val="0"/>
      <w:kern w:val="0"/>
      <w:sz w:val="24"/>
      <w:szCs w:val="20"/>
      <w:lang w:val="ru-RU" w:eastAsia="zh-CN" w:bidi="hi-IN"/>
    </w:rPr>
  </w:style>
  <w:style w:type="paragraph" w:styleId="Style32">
    <w:name w:val="Title"/>
    <w:next w:val="Normal"/>
    <w:link w:val="Style_42_ch"/>
    <w:uiPriority w:val="10"/>
    <w:qFormat/>
    <w:pPr>
      <w:widowControl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Tahoma" w:cs="Noto Sans Devanagari"/>
      <w:b/>
      <w:caps/>
      <w:color w:val="000000"/>
      <w:spacing w:val="0"/>
      <w:kern w:val="0"/>
      <w:sz w:val="40"/>
      <w:szCs w:val="20"/>
      <w:lang w:val="ru-RU" w:eastAsia="zh-CN" w:bidi="hi-IN"/>
    </w:rPr>
  </w:style>
  <w:style w:type="paragraph" w:styleId="Default1">
    <w:name w:val="Default"/>
    <w:link w:val="Style_44_ch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ahoma" w:cs="Noto Sans Devanagari"/>
      <w:color w:val="000000"/>
      <w:spacing w:val="0"/>
      <w:kern w:val="0"/>
      <w:sz w:val="24"/>
      <w:szCs w:val="20"/>
      <w:lang w:val="ru-RU" w:eastAsia="zh-CN" w:bidi="hi-IN"/>
    </w:rPr>
  </w:style>
  <w:style w:type="paragraph" w:styleId="Style33">
    <w:name w:val="Header"/>
    <w:basedOn w:val="Normal"/>
    <w:link w:val="Style_1_ch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34">
    <w:name w:val="Содержимое врезки"/>
    <w:basedOn w:val="Normal"/>
    <w:qFormat/>
    <w:pPr/>
    <w:rPr/>
  </w:style>
  <w:style w:type="table" w:default="1" w:styleId="Style_3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LibreOffice/7.2.0.4$Linux_X86_64 LibreOffice_project/9a9c6381e3f7a62afc1329bd359cc48accb6435b</Application>
  <AppVersion>15.0000</AppVersion>
  <Pages>5</Pages>
  <Words>1473</Words>
  <Characters>9644</Characters>
  <CharactersWithSpaces>11169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2023-11-13T13:20:27Z</dcterms:modified>
  <cp:revision>1</cp:revision>
  <dc:subject/>
  <dc:title/>
</cp:coreProperties>
</file>