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019"/>
        <w:gridCol w:w="120"/>
        <w:gridCol w:w="5860"/>
      </w:tblGrid>
      <w:tr>
        <w:trPr>
          <w:trHeight w:hRule="atLeast" w:val="4568"/>
        </w:trPr>
        <w:tc>
          <w:tcPr>
            <w:tcW w:type="dxa" w:w="4019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sz w:val="26"/>
              </w:rPr>
            </w:pPr>
            <w:r>
              <w:rPr>
                <w:rFonts w:ascii="PT Astra Serif" w:hAnsi="PT Astra Serif"/>
                <w:b w:val="1"/>
                <w:sz w:val="26"/>
              </w:rPr>
              <w:t>МИНИСТЕРСТВО</w:t>
            </w:r>
          </w:p>
          <w:p w14:paraId="04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b w:val="1"/>
                <w:sz w:val="26"/>
              </w:rPr>
            </w:pPr>
            <w:r>
              <w:rPr>
                <w:rFonts w:ascii="PT Astra Serif" w:hAnsi="PT Astra Serif"/>
                <w:b w:val="1"/>
                <w:sz w:val="26"/>
              </w:rPr>
              <w:t>ИМУЩЕСТВЕННЫХ И ЗЕМЕЛЬНЫХ ОТНОШЕНИЙ</w:t>
            </w:r>
          </w:p>
          <w:p w14:paraId="05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b w:val="1"/>
                <w:sz w:val="26"/>
              </w:rPr>
            </w:pPr>
            <w:r>
              <w:rPr>
                <w:rFonts w:ascii="PT Astra Serif" w:hAnsi="PT Astra Serif"/>
                <w:b w:val="1"/>
                <w:sz w:val="26"/>
              </w:rPr>
              <w:t>ТУЛЬСКОЙ ОБЛАСТИ</w:t>
            </w:r>
          </w:p>
          <w:p w14:paraId="06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ул. Жаворонкова, 2, г. Тула, 300012</w:t>
            </w:r>
          </w:p>
          <w:p w14:paraId="07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телефон: 24-53-33, факс: 36-14-11</w:t>
            </w:r>
          </w:p>
          <w:p w14:paraId="08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Сайт</w:t>
            </w:r>
            <w:r>
              <w:rPr>
                <w:rFonts w:ascii="PT Astra Serif" w:hAnsi="PT Astra Serif"/>
                <w:sz w:val="20"/>
              </w:rPr>
              <w:t xml:space="preserve">: </w:t>
            </w:r>
            <w:r>
              <w:rPr>
                <w:rFonts w:ascii="PT Astra Serif" w:hAnsi="PT Astra Serif"/>
                <w:sz w:val="20"/>
              </w:rPr>
              <w:fldChar w:fldCharType="begin"/>
            </w:r>
            <w:r>
              <w:rPr>
                <w:rFonts w:ascii="PT Astra Serif" w:hAnsi="PT Astra Serif"/>
                <w:sz w:val="20"/>
              </w:rPr>
              <w:instrText>HYPERLINK "http://mizo.tularegion.ru/"</w:instrText>
            </w:r>
            <w:r>
              <w:rPr>
                <w:rFonts w:ascii="PT Astra Serif" w:hAnsi="PT Astra Serif"/>
                <w:sz w:val="20"/>
              </w:rPr>
              <w:fldChar w:fldCharType="separate"/>
            </w:r>
            <w:r>
              <w:rPr>
                <w:rFonts w:ascii="PT Astra Serif" w:hAnsi="PT Astra Serif"/>
                <w:sz w:val="20"/>
              </w:rPr>
              <w:t>http://mizo.tularegion.ru</w:t>
            </w:r>
            <w:r>
              <w:rPr>
                <w:rFonts w:ascii="PT Astra Serif" w:hAnsi="PT Astra Serif"/>
                <w:sz w:val="20"/>
              </w:rPr>
              <w:fldChar w:fldCharType="end"/>
            </w:r>
            <w:r>
              <w:rPr>
                <w:rFonts w:ascii="PT Astra Serif" w:hAnsi="PT Astra Serif"/>
                <w:sz w:val="20"/>
              </w:rPr>
              <w:t xml:space="preserve"> </w:t>
            </w:r>
          </w:p>
          <w:p w14:paraId="09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 xml:space="preserve"> </w:t>
            </w:r>
            <w:r>
              <w:rPr>
                <w:rFonts w:ascii="PT Astra Serif" w:hAnsi="PT Astra Serif"/>
                <w:sz w:val="20"/>
              </w:rPr>
              <w:t xml:space="preserve">E-mail: </w:t>
            </w:r>
            <w:r>
              <w:rPr>
                <w:rFonts w:ascii="PT Astra Serif" w:hAnsi="PT Astra Serif"/>
                <w:sz w:val="20"/>
              </w:rPr>
              <w:fldChar w:fldCharType="begin"/>
            </w:r>
            <w:r>
              <w:rPr>
                <w:rFonts w:ascii="PT Astra Serif" w:hAnsi="PT Astra Serif"/>
                <w:sz w:val="20"/>
              </w:rPr>
              <w:instrText>HYPERLINK "mailto:mizo@tularegion.ru"</w:instrText>
            </w:r>
            <w:r>
              <w:rPr>
                <w:rFonts w:ascii="PT Astra Serif" w:hAnsi="PT Astra Serif"/>
                <w:sz w:val="20"/>
              </w:rPr>
              <w:fldChar w:fldCharType="separate"/>
            </w:r>
            <w:r>
              <w:rPr>
                <w:rFonts w:ascii="PT Astra Serif" w:hAnsi="PT Astra Serif"/>
                <w:sz w:val="20"/>
              </w:rPr>
              <w:t>mizo@tularegion.ru</w:t>
            </w:r>
            <w:r>
              <w:rPr>
                <w:rFonts w:ascii="PT Astra Serif" w:hAnsi="PT Astra Serif"/>
                <w:sz w:val="20"/>
              </w:rPr>
              <w:fldChar w:fldCharType="end"/>
            </w:r>
            <w:r>
              <w:rPr>
                <w:rFonts w:ascii="PT Astra Serif" w:hAnsi="PT Astra Serif"/>
                <w:sz w:val="20"/>
              </w:rPr>
              <w:t xml:space="preserve"> </w:t>
            </w:r>
          </w:p>
          <w:p w14:paraId="0A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b w:val="1"/>
                <w:sz w:val="26"/>
              </w:rPr>
            </w:pPr>
            <w:r>
              <w:rPr>
                <w:rFonts w:ascii="PT Astra Serif" w:hAnsi="PT Astra Serif"/>
                <w:sz w:val="26"/>
              </w:rPr>
              <w:t>___</w:t>
            </w:r>
            <w:r>
              <w:rPr>
                <w:rFonts w:ascii="PT Astra Serif" w:hAnsi="PT Astra Serif"/>
                <w:color w:val="000000"/>
                <w:sz w:val="26"/>
              </w:rPr>
              <w:t>28.06.2023</w:t>
            </w:r>
            <w:r>
              <w:rPr>
                <w:rFonts w:ascii="PT Astra Serif" w:hAnsi="PT Astra Serif"/>
                <w:sz w:val="26"/>
              </w:rPr>
              <w:t xml:space="preserve">___ </w:t>
            </w:r>
            <w:r>
              <w:rPr>
                <w:rFonts w:ascii="PT Astra Serif" w:hAnsi="PT Astra Serif"/>
                <w:b w:val="1"/>
                <w:sz w:val="26"/>
              </w:rPr>
              <w:t>№ ___</w:t>
            </w:r>
            <w:r>
              <w:rPr>
                <w:rFonts w:ascii="PT Astra Serif" w:hAnsi="PT Astra Serif"/>
                <w:sz w:val="26"/>
              </w:rPr>
              <w:t>б/н</w:t>
            </w:r>
            <w:r>
              <w:rPr>
                <w:rFonts w:ascii="PT Astra Serif" w:hAnsi="PT Astra Serif"/>
                <w:b w:val="1"/>
                <w:sz w:val="26"/>
              </w:rPr>
              <w:t>___</w:t>
            </w:r>
          </w:p>
          <w:p w14:paraId="0B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b w:val="1"/>
              </w:rPr>
            </w:pPr>
          </w:p>
          <w:p w14:paraId="0C000000">
            <w:pPr>
              <w:pStyle w:val="Style_3"/>
              <w:widowControl w:val="0"/>
              <w:spacing w:after="0" w:before="0" w:line="240" w:lineRule="auto"/>
              <w:ind w:firstLine="0" w:left="-397" w:right="0"/>
              <w:jc w:val="center"/>
              <w:rPr>
                <w:rFonts w:ascii="PT Astra Serif" w:hAnsi="PT Astra Serif"/>
                <w:b w:val="1"/>
              </w:rPr>
            </w:pPr>
            <w:bookmarkStart w:id="1" w:name="_GoBack"/>
            <w:bookmarkEnd w:id="1"/>
          </w:p>
        </w:tc>
        <w:tc>
          <w:tcPr>
            <w:tcW w:type="dxa" w:w="120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00000">
            <w:pPr>
              <w:pStyle w:val="Style_3"/>
              <w:widowControl w:val="0"/>
              <w:ind/>
              <w:jc w:val="center"/>
              <w:rPr>
                <w:rFonts w:ascii="PT Astra Serif" w:hAnsi="PT Astra Serif"/>
                <w:color w:val="FFFFFF"/>
              </w:rPr>
            </w:pPr>
          </w:p>
        </w:tc>
        <w:tc>
          <w:tcPr>
            <w:tcW w:type="dxa" w:w="5860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spacing w:after="0" w:line="240" w:lineRule="auto"/>
              <w:ind w:right="34"/>
              <w:jc w:val="center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z w:val="24"/>
              </w:rPr>
              <w:t>Ленинский  районный суд ТО</w:t>
            </w:r>
          </w:p>
          <w:p w14:paraId="0F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sz w:val="20"/>
              </w:rPr>
              <w:t>ХХХХ</w:t>
            </w:r>
          </w:p>
          <w:p w14:paraId="10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</w:p>
          <w:p w14:paraId="11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z w:val="24"/>
                <w:u w:val="single"/>
              </w:rPr>
              <w:t xml:space="preserve">Истец: </w:t>
            </w:r>
          </w:p>
          <w:p w14:paraId="12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>ХХХХ</w:t>
            </w:r>
          </w:p>
          <w:p w14:paraId="13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 xml:space="preserve">ИНН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 xml:space="preserve">, ОГРН </w:t>
            </w:r>
            <w:r>
              <w:rPr>
                <w:rFonts w:ascii="PT Astra Serif" w:hAnsi="PT Astra Serif"/>
                <w:sz w:val="24"/>
              </w:rPr>
              <w:t>ХХХХ</w:t>
            </w:r>
          </w:p>
          <w:p w14:paraId="14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300012, г. Тула, ул. Жаворонкова, 2</w:t>
            </w:r>
          </w:p>
          <w:p w14:paraId="15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</w:p>
          <w:p w14:paraId="16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z w:val="24"/>
                <w:u w:val="single"/>
              </w:rPr>
              <w:t>Представитель истца по доверенности :</w:t>
            </w:r>
            <w:r>
              <w:rPr>
                <w:rFonts w:ascii="PT Astra Serif" w:hAnsi="PT Astra Serif"/>
                <w:b w:val="1"/>
                <w:sz w:val="24"/>
                <w:u w:val="single"/>
              </w:rPr>
              <w:t xml:space="preserve"> </w:t>
            </w:r>
          </w:p>
          <w:p w14:paraId="17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>ХХХХ</w:t>
            </w:r>
          </w:p>
          <w:p w14:paraId="18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 xml:space="preserve">(СНИЛС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>)</w:t>
            </w:r>
          </w:p>
          <w:p w14:paraId="19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300012, г. Тула, ул. Жаворонкова, 2</w:t>
            </w:r>
          </w:p>
          <w:p w14:paraId="1A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</w:p>
          <w:p w14:paraId="1B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z w:val="24"/>
                <w:u w:val="single"/>
              </w:rPr>
              <w:t xml:space="preserve">Ответчик: </w:t>
            </w:r>
          </w:p>
          <w:p w14:paraId="1C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>ХХХХ</w:t>
            </w:r>
          </w:p>
          <w:p w14:paraId="1D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>(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 xml:space="preserve"> года рождения, место рождения: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 xml:space="preserve">, паспорт серии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 xml:space="preserve">, выдан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>)</w:t>
            </w:r>
          </w:p>
          <w:p w14:paraId="1E000000">
            <w:pPr>
              <w:pStyle w:val="Style_4"/>
              <w:widowControl w:val="0"/>
              <w:tabs>
                <w:tab w:leader="none" w:pos="708" w:val="clear"/>
                <w:tab w:leader="none" w:pos="735" w:val="left"/>
                <w:tab w:leader="none" w:pos="2832" w:val="center"/>
              </w:tabs>
              <w:spacing w:after="0" w:before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ХХХХ</w:t>
            </w:r>
          </w:p>
        </w:tc>
      </w:tr>
    </w:tbl>
    <w:p w14:paraId="1F000000">
      <w:pPr>
        <w:pStyle w:val="Style_4"/>
        <w:ind/>
        <w:jc w:val="center"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 xml:space="preserve">ИСКОВОЕ </w:t>
      </w:r>
      <w:r>
        <w:rPr>
          <w:rFonts w:ascii="PT Astra Serif" w:hAnsi="PT Astra Serif"/>
          <w:b w:val="1"/>
          <w:sz w:val="26"/>
        </w:rPr>
        <w:t>ЗАЯВЛЕНИ</w:t>
      </w:r>
      <w:r>
        <w:rPr>
          <w:rFonts w:ascii="PT Astra Serif" w:hAnsi="PT Astra Serif"/>
          <w:b w:val="1"/>
          <w:sz w:val="26"/>
        </w:rPr>
        <w:t>Е</w:t>
      </w:r>
      <w:r>
        <w:rPr>
          <w:rFonts w:ascii="PT Astra Serif" w:hAnsi="PT Astra Serif"/>
          <w:b w:val="1"/>
          <w:sz w:val="26"/>
        </w:rPr>
        <w:t xml:space="preserve"> </w:t>
      </w:r>
    </w:p>
    <w:p w14:paraId="20000000">
      <w:pPr>
        <w:pStyle w:val="Style_4"/>
        <w:ind/>
        <w:jc w:val="center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>о взыскании задолженности по арендной плате, пени</w:t>
      </w:r>
    </w:p>
    <w:p w14:paraId="21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</w:p>
    <w:p w14:paraId="22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09.04.2013 между Управлением архитектуры, земельных и имущественных отношений администрации муниципального образования Ленинский район и ХХХХ был заключен договор аренды земельного участка № 43 (далее - договор). Договор зарегистрирован 12.07.2013 управлением Федеральной службы госу</w:t>
      </w: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Договор расторгнут решением Ленинского районного суда Тульской области от 26.02.2020 по делу № ХХХХ с 03.04.2020.</w:t>
      </w:r>
    </w:p>
    <w:p w14:paraId="23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В связи с вступлением в силу Закона Тульской области от 11.06.2014 № 2133-ЗТО «Об объединении муниципальных образований, расположенных на территории Ленинского района Тульской области, с муниципальным образованием город Тула, о внесении изменений в закон Тульской области «О переименовании «Муниципального образования город Тула Тульской области», установлении границы муниципального образования город Тула и наделении его статусом городского округа», правопреемником администрации муниципального образования Ленинский район, как исполнительно-распорядительного органа местного самоуправления, стала администрация города Тулы.</w:t>
      </w:r>
    </w:p>
    <w:p w14:paraId="24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Согласно указу губернатора Тульской области от 15.09.2011 № 1                                «О правительстве Тульской области и органах исполнительной власти Тульской области» департамент имущественных и земельных отношений Тульской области был реорганизован в министерство имущественных и земельных отношений Тульской области, которое в настоящее время выступает арендодателем по договору аренды земельного участка № 10В2241 от 04.04.2010.</w:t>
      </w:r>
    </w:p>
    <w:p w14:paraId="25000000">
      <w:pPr>
        <w:pStyle w:val="Style_4"/>
        <w:ind w:firstLine="708" w:left="0"/>
        <w:jc w:val="both"/>
        <w:rPr>
          <w:sz w:val="26"/>
        </w:rPr>
      </w:pPr>
      <w:r>
        <w:rPr>
          <w:rFonts w:ascii="PT Astra Serif" w:hAnsi="PT Astra Serif"/>
          <w:sz w:val="26"/>
        </w:rPr>
        <w:t>Постановлением правительства Тульской области от 13.10.2016 № 452 утверждено Положение о министерстве имущественных и земельных отношений Тульской области (далее - Министерство).</w:t>
      </w:r>
    </w:p>
    <w:p w14:paraId="26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>В соответствии с пп. 59 п. 5 Положения о министерстве от 13.10.2016 Министерство выступает в качестве арендодателя при заключении договоров аренды земельных участков, находящихся в собственности Тульской области, а также земельных участков, государственная собственность на которые не разграничена, расположенных в границах муниципального образования город Тула, в том числе по действующим и вновь заключаемым договорам аренды, а также по прекращенным договорам аренды, обязательства по которым не исполнены.</w:t>
      </w:r>
    </w:p>
    <w:p w14:paraId="27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08.10.2020 между министерством имущественных и земельных отношений Тульской области и ХХХХ подписан акт приема-передачи земельного участка.</w:t>
      </w:r>
    </w:p>
    <w:p w14:paraId="28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 xml:space="preserve">Согласно условиям данного договора арендодатель предоставляет в аренду земельный участок из земель населенных пунктов с </w:t>
      </w:r>
      <w:r>
        <w:rPr>
          <w:rFonts w:ascii="PT Astra Serif" w:hAnsi="PT Astra Serif"/>
          <w:b w:val="0"/>
          <w:sz w:val="26"/>
        </w:rPr>
        <w:t>К</w:t>
      </w:r>
      <w:r>
        <w:rPr>
          <w:rFonts w:ascii="PT Astra Serif" w:hAnsi="PT Astra Serif"/>
          <w:b w:val="0"/>
          <w:sz w:val="26"/>
        </w:rPr>
        <w:t>№ ХХХХ, местоположение: ХХХХ, для ведения личного подсобного хозяйства, общей площадью 10 000 кв.м. (далее – участок).</w:t>
      </w:r>
    </w:p>
    <w:p w14:paraId="29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Срок действия Договора – 10 лет (пп. 2.1 договора).</w:t>
      </w:r>
    </w:p>
    <w:p w14:paraId="2A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Размер арендной платы определяется в соответствии с действующем законодательством. В каждом случае изменения кадастровой стоимости, корректирующих коэффициентов и нормативных правовых актов Российской Федерации, Тульской области, МО Ленинский район, регулирующих исчисление размера арендной платы Арендодатель вправе изменить размер арендной платы, сроки уплаты в одностороннем порядке без внесения изменений и дополнений в договор и без уведомления Арендатора с даты принятия соответствующего изменения, но не чаще одного раза в год (п. 3.4 договора).</w:t>
      </w:r>
    </w:p>
    <w:p w14:paraId="2B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Платежи исчисляются ежеквартально и уплачиваются до 15 числа текущего квартала. (п. 3.3 договора).</w:t>
      </w:r>
    </w:p>
    <w:p w14:paraId="2C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Пунктом 5.2 договора предусмотрено, что за нарушение срока уплаты арендной платы арендатор уплачивает пеню в размере одной трехсотой действующей ставки рефинансирования Центрального банка Российской Федерации за каждый день просрочки.</w:t>
      </w:r>
    </w:p>
    <w:p w14:paraId="2D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На дату подписания соглашения размер арендной платы определен в соответствии с Законом Тульской области от 29.06.2011 № 1586-ЗТО «О порядке определения размера арендной платы, порядке, условиях и сроках ее внесения за использование земельных участков, находящихся в собственности Тульской области, а также земельных участков, государственная собственность на которые не разграничена» (далее – Закон № 1586-ЗТО) и постановления правительства Тульской области от 20.12.2011 №259 (пп. 3.2 соглашения от 30.10.2017 г.).</w:t>
      </w:r>
    </w:p>
    <w:p w14:paraId="2E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 xml:space="preserve">Согласно пп. 3.3 соглашения от 30.10.2017 г. платежи исчисляются ежегодно и уплачиваются за текущий год до 15 числа сентября текущего года. </w:t>
      </w:r>
    </w:p>
    <w:p w14:paraId="2F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>Возникшие между сторонами отношения регулируются главой 34 Гражданского кодекса Российской Федерации (далее – ГК РФ), определяющей правоотношения по договору аренды.</w:t>
      </w:r>
    </w:p>
    <w:p w14:paraId="30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Согласно статье 606 ГК РФ по договору аренды (имущественного найма) арендодатель (наймодатель) обязуется предоставить арендатору (нанимателю) имущество за плату во временное владение и пользование или во временное пользование.</w:t>
      </w:r>
    </w:p>
    <w:p w14:paraId="31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Согласно статье 614 ГК РФ арендатор обязан своевременно вносить плату за пользование имуществом (арендную плату). Порядок, условия и сроки внесения арендной платы определяются договором аренды.</w:t>
      </w:r>
    </w:p>
    <w:p w14:paraId="32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 xml:space="preserve">Статьей 330 ГК РФ предусмотрено, что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</w:t>
      </w:r>
    </w:p>
    <w:p w14:paraId="33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 xml:space="preserve">Вместе с тем, установленной законодательством РФ и договором обязанности по своевременной уплате арендной платы ответчик не исполнил. В результате чего за ХХХХ за период </w:t>
      </w:r>
      <w:r>
        <w:rPr>
          <w:rFonts w:ascii="PT Astra Serif" w:hAnsi="PT Astra Serif"/>
          <w:b w:val="0"/>
          <w:sz w:val="26"/>
        </w:rPr>
        <w:t>03.04.2020</w:t>
      </w:r>
      <w:r>
        <w:rPr>
          <w:rFonts w:ascii="PT Astra Serif" w:hAnsi="PT Astra Serif"/>
          <w:b w:val="0"/>
          <w:sz w:val="26"/>
        </w:rPr>
        <w:t xml:space="preserve"> по 07.10.2020 (до </w:t>
      </w:r>
      <w:r>
        <w:rPr>
          <w:rFonts w:ascii="PT Astra Serif" w:hAnsi="PT Astra Serif"/>
          <w:b w:val="0"/>
          <w:sz w:val="26"/>
        </w:rPr>
        <w:t>подписания акта приема-передачи участка</w:t>
      </w:r>
      <w:r>
        <w:rPr>
          <w:rFonts w:ascii="PT Astra Serif" w:hAnsi="PT Astra Serif"/>
          <w:b w:val="0"/>
          <w:sz w:val="26"/>
        </w:rPr>
        <w:t xml:space="preserve">) образовалась задолженность по арендной плате в размере </w:t>
      </w:r>
      <w:r>
        <w:rPr>
          <w:rFonts w:ascii="PT Astra Serif" w:hAnsi="PT Astra Serif"/>
          <w:b w:val="0"/>
          <w:sz w:val="26"/>
        </w:rPr>
        <w:t>54 325,47</w:t>
      </w:r>
      <w:r>
        <w:rPr>
          <w:rFonts w:ascii="PT Astra Serif" w:hAnsi="PT Astra Serif"/>
          <w:b w:val="0"/>
          <w:sz w:val="26"/>
        </w:rPr>
        <w:t xml:space="preserve"> руб. (расчет и пояснения по расчету прилагаются).</w:t>
      </w:r>
    </w:p>
    <w:p w14:paraId="34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 xml:space="preserve">В соответствии с п. 7.1 Дополнительного соглашения за нарушение срока вненсения арендной платы Арендатор выплачивает Арендодателю пеню в размере      1 % от общей суммы задолженности, пеня начисляется и прибавляется к ранее начисленной и непогашенной задолженности пор пене и за период </w:t>
      </w:r>
      <w:r>
        <w:rPr>
          <w:rFonts w:ascii="PT Astra Serif" w:hAnsi="PT Astra Serif"/>
          <w:b w:val="0"/>
          <w:sz w:val="26"/>
        </w:rPr>
        <w:t>03.04.2020</w:t>
      </w:r>
      <w:r>
        <w:rPr>
          <w:rFonts w:ascii="PT Astra Serif" w:hAnsi="PT Astra Serif"/>
          <w:b w:val="0"/>
          <w:sz w:val="26"/>
        </w:rPr>
        <w:t xml:space="preserve"> по 07.10.2020 составляет </w:t>
      </w:r>
      <w:r>
        <w:rPr>
          <w:rFonts w:ascii="PT Astra Serif" w:hAnsi="PT Astra Serif"/>
          <w:b w:val="0"/>
          <w:sz w:val="26"/>
        </w:rPr>
        <w:t>543,25</w:t>
      </w:r>
      <w:r>
        <w:rPr>
          <w:rFonts w:ascii="PT Astra Serif" w:hAnsi="PT Astra Serif"/>
          <w:b w:val="0"/>
          <w:sz w:val="26"/>
        </w:rPr>
        <w:t xml:space="preserve"> руб. (расчет прилагается).</w:t>
      </w:r>
    </w:p>
    <w:p w14:paraId="35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 xml:space="preserve">В подтверждение соблюдения досудебного порядка урегулирования спора министерство представляет копию претензии от </w:t>
      </w:r>
      <w:r>
        <w:rPr>
          <w:rFonts w:ascii="PT Astra Serif" w:hAnsi="PT Astra Serif"/>
          <w:b w:val="0"/>
          <w:sz w:val="26"/>
        </w:rPr>
        <w:t>18.04.2023</w:t>
      </w:r>
      <w:r>
        <w:rPr>
          <w:rFonts w:ascii="PT Astra Serif" w:hAnsi="PT Astra Serif"/>
          <w:b w:val="0"/>
          <w:sz w:val="26"/>
        </w:rPr>
        <w:t xml:space="preserve"> с требованием о погашении задолженности по арендной плате. Данная корреспонденция направлялась ответчику по его </w:t>
      </w:r>
      <w:r>
        <w:rPr>
          <w:rFonts w:ascii="PT Astra Serif" w:hAnsi="PT Astra Serif"/>
          <w:b w:val="0"/>
          <w:sz w:val="26"/>
        </w:rPr>
        <w:t>месту отбывания наказания</w:t>
      </w:r>
      <w:r>
        <w:rPr>
          <w:rFonts w:ascii="PT Astra Serif" w:hAnsi="PT Astra Serif"/>
          <w:b w:val="0"/>
          <w:sz w:val="26"/>
        </w:rPr>
        <w:t xml:space="preserve">. Претензия министерства оставлена </w:t>
      </w:r>
      <w:r>
        <w:rPr>
          <w:rFonts w:ascii="PT Astra Serif" w:hAnsi="PT Astra Serif"/>
          <w:b w:val="0"/>
          <w:sz w:val="26"/>
        </w:rPr>
        <w:t>должником</w:t>
      </w:r>
      <w:r>
        <w:rPr>
          <w:rFonts w:ascii="PT Astra Serif" w:hAnsi="PT Astra Serif"/>
          <w:b w:val="0"/>
          <w:sz w:val="26"/>
        </w:rPr>
        <w:t xml:space="preserve"> без ответа и без удовлетворения.</w:t>
      </w:r>
    </w:p>
    <w:p w14:paraId="36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Таким образом, корреспонденция в адрес ответчика направлена в соответствии с пунктами 35, 36 Правил оказания услуг почтовой связи, утвержденных Постановлением Правительства Российской Федерации № 221 от 15.04.2005.</w:t>
      </w:r>
    </w:p>
    <w:p w14:paraId="37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Ответчик обязан был обеспечить получение направляемой ему по надлежащему адресу корреспонденции, в связи с чем несет риск негативных последствий неполучения документов.</w:t>
      </w:r>
    </w:p>
    <w:p w14:paraId="38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 xml:space="preserve">При этом уклонение </w:t>
      </w:r>
      <w:r>
        <w:rPr>
          <w:rFonts w:ascii="PT Astra Serif" w:hAnsi="PT Astra Serif"/>
          <w:b w:val="0"/>
          <w:sz w:val="26"/>
        </w:rPr>
        <w:t>должника</w:t>
      </w:r>
      <w:r>
        <w:rPr>
          <w:rFonts w:ascii="PT Astra Serif" w:hAnsi="PT Astra Serif"/>
          <w:b w:val="0"/>
          <w:sz w:val="26"/>
        </w:rPr>
        <w:t xml:space="preserve"> от получения поступающей в его адрес почтовой корреспонденции не может возлагать на министерство какие-либо дополнительные обязанности по розыску арендатора и вручению ему соответствующих уведомлений.</w:t>
      </w:r>
    </w:p>
    <w:p w14:paraId="39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Положение п.1 ст. 11 ГК РФ устанавливает судебный порядок защиты гражданских прав.</w:t>
      </w:r>
    </w:p>
    <w:p w14:paraId="3A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 xml:space="preserve">Предъявляя требования о взыскании задолженности по арендной плате и пеней по договору аренды земельного участка от </w:t>
      </w:r>
      <w:r>
        <w:rPr>
          <w:rFonts w:ascii="PT Astra Serif" w:hAnsi="PT Astra Serif"/>
          <w:b w:val="0"/>
          <w:sz w:val="26"/>
        </w:rPr>
        <w:t>09.04.2013 № 43</w:t>
      </w:r>
      <w:r>
        <w:rPr>
          <w:rFonts w:ascii="PT Astra Serif" w:hAnsi="PT Astra Serif"/>
          <w:b w:val="0"/>
          <w:sz w:val="26"/>
        </w:rPr>
        <w:t>, Министерство использует предусмотренный законом способ защиты права.</w:t>
      </w:r>
    </w:p>
    <w:p w14:paraId="3B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В соответствии с подп. 19 п. 1 ст. 333.36 Налогового кодекса Российской Федерации государственные органы, органы местного самоуправления, выступающие в судах общей юрисдикции в качестве истцов или ответчиков, освобождены от уплаты госпошлины.</w:t>
      </w:r>
    </w:p>
    <w:p w14:paraId="3C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  <w:r>
        <w:rPr>
          <w:rFonts w:ascii="PT Astra Serif" w:hAnsi="PT Astra Serif"/>
          <w:b w:val="0"/>
          <w:sz w:val="26"/>
        </w:rPr>
        <w:t>На основании вышеизложенного, руководствуясь статьями 309, 330, 614, 622  Гражданского кодекса РФ, статьями 60, 62, 76 Земельного кодекса РФ,  статьями 23, 122 - 124 Гражданского процессуального кодекса РФ,</w:t>
      </w:r>
    </w:p>
    <w:p w14:paraId="3D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</w:p>
    <w:p w14:paraId="3E000000">
      <w:pPr>
        <w:pStyle w:val="Style_4"/>
        <w:ind/>
        <w:jc w:val="center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>ПРОШУ:</w:t>
      </w:r>
    </w:p>
    <w:p w14:paraId="3F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</w:p>
    <w:p w14:paraId="40000000">
      <w:pPr>
        <w:pStyle w:val="Style_4"/>
        <w:numPr>
          <w:numId w:val="1"/>
        </w:numPr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color w:val="000000"/>
          <w:sz w:val="26"/>
        </w:rPr>
        <w:t>взыскать с ответчика - ХХХХ</w:t>
      </w:r>
      <w:r>
        <w:rPr>
          <w:rFonts w:ascii="PT Astra Serif" w:hAnsi="PT Astra Serif"/>
          <w:b w:val="0"/>
          <w:sz w:val="26"/>
        </w:rPr>
        <w:t xml:space="preserve"> (ХХХХ года рождения паспорт ХХХХ №ХХХХ, выдан ХХХХ) в пользу министерства имущественных и земельных отношений Тульской области задолженность по договору аренды земельного участка № ХХХХ за период с 03.04.2020 по 07.10.2020 по арендной плате в размере </w:t>
      </w:r>
      <w:r>
        <w:rPr>
          <w:rFonts w:ascii="PT Astra Serif" w:hAnsi="PT Astra Serif"/>
          <w:b w:val="0"/>
          <w:sz w:val="26"/>
        </w:rPr>
        <w:t xml:space="preserve">54 325,47 </w:t>
      </w:r>
      <w:r>
        <w:rPr>
          <w:rFonts w:ascii="PT Astra Serif" w:hAnsi="PT Astra Serif"/>
          <w:b w:val="0"/>
          <w:sz w:val="26"/>
        </w:rPr>
        <w:t xml:space="preserve"> руб. и пени за период с 03.04.2020 по 07.10.2020 в размере </w:t>
      </w:r>
      <w:r>
        <w:rPr>
          <w:rFonts w:ascii="PT Astra Serif" w:hAnsi="PT Astra Serif"/>
          <w:b w:val="0"/>
          <w:sz w:val="26"/>
        </w:rPr>
        <w:t xml:space="preserve">543,25 </w:t>
      </w:r>
      <w:r>
        <w:rPr>
          <w:rFonts w:ascii="PT Astra Serif" w:hAnsi="PT Astra Serif"/>
          <w:b w:val="0"/>
          <w:sz w:val="26"/>
        </w:rPr>
        <w:t xml:space="preserve">руб., а всего </w:t>
      </w:r>
      <w:r>
        <w:rPr>
          <w:rFonts w:ascii="PT Astra Serif" w:hAnsi="PT Astra Serif"/>
          <w:b w:val="0"/>
          <w:sz w:val="26"/>
        </w:rPr>
        <w:t>54 868,72</w:t>
      </w:r>
      <w:r>
        <w:rPr>
          <w:rFonts w:ascii="PT Astra Serif" w:hAnsi="PT Astra Serif"/>
          <w:b w:val="0"/>
          <w:sz w:val="26"/>
        </w:rPr>
        <w:t xml:space="preserve"> руб.</w:t>
      </w:r>
    </w:p>
    <w:p w14:paraId="41000000">
      <w:pPr>
        <w:pStyle w:val="Style_4"/>
        <w:ind/>
        <w:jc w:val="both"/>
        <w:rPr>
          <w:rFonts w:ascii="PT Astra Serif" w:hAnsi="PT Astra Serif"/>
          <w:b w:val="0"/>
          <w:sz w:val="26"/>
        </w:rPr>
      </w:pPr>
      <w:r>
        <w:rPr>
          <w:rFonts w:ascii="PT Astra Serif" w:hAnsi="PT Astra Serif"/>
          <w:b w:val="0"/>
          <w:sz w:val="26"/>
        </w:rPr>
        <w:tab/>
      </w:r>
    </w:p>
    <w:p w14:paraId="42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>Приложения:</w:t>
      </w:r>
    </w:p>
    <w:p w14:paraId="43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копия договора аренды № ХХХХ от 09.04.2013 с приложением;</w:t>
      </w:r>
    </w:p>
    <w:p w14:paraId="44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копия акта приема-передачи земельного участка от 08.10.2020;</w:t>
      </w:r>
    </w:p>
    <w:p w14:paraId="45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копия выписки из ЕГРН на земельный участок;</w:t>
      </w:r>
    </w:p>
    <w:p w14:paraId="46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копия решения Ленинского районного суда ТО от 26.02.2020;</w:t>
      </w:r>
    </w:p>
    <w:p w14:paraId="47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расчет задолженности и пояснения по расчету задолженности;</w:t>
      </w:r>
    </w:p>
    <w:p w14:paraId="48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претензи</w:t>
      </w:r>
      <w:r>
        <w:rPr>
          <w:rFonts w:ascii="PT Astra Serif" w:hAnsi="PT Astra Serif"/>
          <w:b w:val="0"/>
          <w:sz w:val="22"/>
        </w:rPr>
        <w:t>я</w:t>
      </w:r>
      <w:r>
        <w:rPr>
          <w:rFonts w:ascii="PT Astra Serif" w:hAnsi="PT Astra Serif"/>
          <w:b w:val="0"/>
          <w:sz w:val="22"/>
        </w:rPr>
        <w:t xml:space="preserve"> от </w:t>
      </w:r>
      <w:r>
        <w:rPr>
          <w:rFonts w:ascii="PT Astra Serif" w:hAnsi="PT Astra Serif"/>
          <w:b w:val="0"/>
          <w:sz w:val="22"/>
        </w:rPr>
        <w:t xml:space="preserve">18.04.2023 </w:t>
      </w:r>
      <w:r>
        <w:rPr>
          <w:rFonts w:ascii="PT Astra Serif" w:hAnsi="PT Astra Serif"/>
          <w:b w:val="0"/>
          <w:sz w:val="22"/>
        </w:rPr>
        <w:t>с подтверждением отправки и отчетом об отслеживании;</w:t>
      </w:r>
    </w:p>
    <w:p w14:paraId="49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копия письма УФСИН России по Тульской области;</w:t>
      </w:r>
    </w:p>
    <w:p w14:paraId="4A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копия доверенности представителя министерства;</w:t>
      </w:r>
    </w:p>
    <w:p w14:paraId="4B000000">
      <w:pPr>
        <w:pStyle w:val="Style_4"/>
        <w:ind/>
        <w:jc w:val="left"/>
        <w:rPr>
          <w:rFonts w:ascii="PT Astra Serif" w:hAnsi="PT Astra Serif"/>
          <w:b w:val="0"/>
        </w:rPr>
      </w:pPr>
      <w:r>
        <w:rPr>
          <w:rFonts w:ascii="PT Astra Serif" w:hAnsi="PT Astra Serif"/>
          <w:b w:val="0"/>
          <w:sz w:val="22"/>
        </w:rPr>
        <w:tab/>
      </w:r>
      <w:r>
        <w:rPr>
          <w:rFonts w:ascii="PT Astra Serif" w:hAnsi="PT Astra Serif"/>
          <w:b w:val="0"/>
          <w:sz w:val="22"/>
        </w:rPr>
        <w:t>- документы, подтверждающие направление настоящего заявления лицам, участвующим в деле.</w:t>
      </w:r>
    </w:p>
    <w:p w14:paraId="4C000000">
      <w:pPr>
        <w:pStyle w:val="Style_4"/>
        <w:ind/>
        <w:jc w:val="left"/>
        <w:rPr>
          <w:rFonts w:ascii="PT Astra Serif" w:hAnsi="PT Astra Serif"/>
        </w:rPr>
      </w:pPr>
    </w:p>
    <w:p w14:paraId="4D000000">
      <w:pPr>
        <w:pStyle w:val="Style_4"/>
        <w:ind/>
        <w:jc w:val="both"/>
        <w:rPr>
          <w:rFonts w:ascii="PT Astra Serif" w:hAnsi="PT Astra Serif"/>
          <w:sz w:val="22"/>
        </w:rPr>
      </w:pPr>
    </w:p>
    <w:p w14:paraId="4E000000">
      <w:pPr>
        <w:pStyle w:val="Style_4"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 xml:space="preserve">Представитель министерства </w:t>
      </w:r>
    </w:p>
    <w:p w14:paraId="4F000000">
      <w:pPr>
        <w:pStyle w:val="Style_4"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 xml:space="preserve">имущественных и земельных отношений </w:t>
      </w:r>
    </w:p>
    <w:p w14:paraId="50000000">
      <w:pPr>
        <w:pStyle w:val="Style_4"/>
        <w:rPr>
          <w:rFonts w:ascii="PT Astra Serif" w:hAnsi="PT Astra Serif"/>
        </w:rPr>
      </w:pPr>
      <w:r>
        <w:rPr>
          <w:rFonts w:ascii="PT Astra Serif" w:hAnsi="PT Astra Serif"/>
          <w:b w:val="1"/>
          <w:sz w:val="26"/>
        </w:rPr>
        <w:t>Тульской области по доверенности                                                ХХХХ</w:t>
      </w:r>
    </w:p>
    <w:p w14:paraId="51000000">
      <w:pPr>
        <w:pStyle w:val="Style_4"/>
        <w:rPr>
          <w:rFonts w:ascii="PT Astra Serif" w:hAnsi="PT Astra Serif"/>
        </w:rPr>
      </w:pPr>
    </w:p>
    <w:p w14:paraId="52000000">
      <w:pPr>
        <w:pStyle w:val="Style_4"/>
        <w:ind/>
        <w:jc w:val="both"/>
        <w:rPr>
          <w:rFonts w:ascii="PT Astra Serif" w:hAnsi="PT Astra Serif"/>
          <w:sz w:val="22"/>
        </w:rPr>
      </w:pPr>
      <w:r>
        <w:rPr>
          <w:rFonts w:ascii="PT Astra Serif" w:hAnsi="PT Astra Serif"/>
          <w:sz w:val="22"/>
        </w:rPr>
        <w:t>Одновременно сообщаем контактные данные представителя истца:</w:t>
      </w:r>
    </w:p>
    <w:p w14:paraId="53000000">
      <w:pPr>
        <w:pStyle w:val="Style_4"/>
        <w:ind/>
        <w:jc w:val="both"/>
        <w:rPr>
          <w:rFonts w:ascii="PT Astra Serif" w:hAnsi="PT Astra Serif"/>
          <w:sz w:val="22"/>
        </w:rPr>
      </w:pPr>
      <w:r>
        <w:rPr>
          <w:rFonts w:ascii="PT Astra Serif" w:hAnsi="PT Astra Serif"/>
          <w:sz w:val="22"/>
        </w:rPr>
        <w:t xml:space="preserve">24-51-04, </w:t>
      </w:r>
      <w:r>
        <w:rPr>
          <w:rFonts w:ascii="PT Astra Serif" w:hAnsi="PT Astra Serif"/>
          <w:sz w:val="22"/>
        </w:rPr>
        <w:t>доб</w:t>
      </w:r>
      <w:r>
        <w:rPr>
          <w:rFonts w:ascii="PT Astra Serif" w:hAnsi="PT Astra Serif"/>
          <w:sz w:val="22"/>
        </w:rPr>
        <w:t>. 54-58</w:t>
      </w:r>
    </w:p>
    <w:p w14:paraId="54000000">
      <w:pPr>
        <w:pStyle w:val="Style_4"/>
        <w:ind/>
        <w:jc w:val="both"/>
        <w:rPr>
          <w:rFonts w:ascii="PT Astra Serif" w:hAnsi="PT Astra Serif"/>
          <w:sz w:val="22"/>
        </w:rPr>
      </w:pPr>
      <w:r>
        <w:rPr>
          <w:rFonts w:ascii="PT Astra Serif" w:hAnsi="PT Astra Serif"/>
          <w:sz w:val="22"/>
        </w:rPr>
        <w:t>E-mail: ХХХХ</w:t>
      </w:r>
    </w:p>
    <w:p w14:paraId="55000000">
      <w:pPr>
        <w:pStyle w:val="Style_4"/>
        <w:ind/>
        <w:jc w:val="both"/>
        <w:rPr>
          <w:rFonts w:ascii="PT Astra Serif" w:hAnsi="PT Astra Serif"/>
          <w:sz w:val="22"/>
        </w:rPr>
      </w:pPr>
    </w:p>
    <w:p w14:paraId="56000000">
      <w:pPr>
        <w:pStyle w:val="Style_4"/>
        <w:tabs>
          <w:tab w:leader="none" w:pos="567" w:val="left"/>
          <w:tab w:leader="none" w:pos="708" w:val="clear"/>
          <w:tab w:leader="none" w:pos="709" w:val="left"/>
        </w:tabs>
        <w:ind/>
        <w:jc w:val="center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 xml:space="preserve">Реквизиты для оплаты за земельные участки, государственная собственность которых не разграничена и которые расположены в границах муниципального образования город Тула </w:t>
      </w:r>
      <w:r>
        <w:rPr>
          <w:rFonts w:ascii="PT Astra Serif" w:hAnsi="PT Astra Serif"/>
          <w:b w:val="0"/>
          <w:sz w:val="26"/>
          <w:u w:val="single"/>
        </w:rPr>
        <w:t xml:space="preserve">с  01.01.2021 года </w:t>
      </w:r>
    </w:p>
    <w:p w14:paraId="57000000">
      <w:pPr>
        <w:pStyle w:val="Style_5"/>
        <w:tabs>
          <w:tab w:leader="none" w:pos="567" w:val="left"/>
          <w:tab w:leader="none" w:pos="709" w:val="left"/>
          <w:tab w:leader="none" w:pos="4153" w:val="center"/>
          <w:tab w:leader="none" w:pos="4677" w:val="clear"/>
          <w:tab w:leader="none" w:pos="8306" w:val="right"/>
          <w:tab w:leader="none" w:pos="9355" w:val="clear"/>
        </w:tabs>
        <w:ind/>
        <w:jc w:val="both"/>
        <w:rPr>
          <w:rFonts w:ascii="PT Astra Serif" w:hAnsi="PT Astra Serif"/>
          <w:b w:val="0"/>
          <w:sz w:val="26"/>
        </w:rPr>
      </w:pPr>
    </w:p>
    <w:p w14:paraId="58000000">
      <w:pPr>
        <w:pStyle w:val="Style_5"/>
        <w:tabs>
          <w:tab w:leader="none" w:pos="567" w:val="left"/>
          <w:tab w:leader="none" w:pos="709" w:val="left"/>
          <w:tab w:leader="none" w:pos="4153" w:val="center"/>
          <w:tab w:leader="none" w:pos="4677" w:val="clear"/>
          <w:tab w:leader="none" w:pos="8306" w:val="right"/>
          <w:tab w:leader="none" w:pos="9355" w:val="clear"/>
        </w:tabs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Получатель: УФК по Тульской области (Министерство имущественных и земельных отношений  Тульской области)</w:t>
      </w:r>
    </w:p>
    <w:p w14:paraId="59000000">
      <w:pPr>
        <w:pStyle w:val="Style_5"/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ИНН: 7106058814</w:t>
      </w:r>
    </w:p>
    <w:p w14:paraId="5A000000">
      <w:pPr>
        <w:pStyle w:val="Style_5"/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КПП: 710601001</w:t>
      </w:r>
    </w:p>
    <w:p w14:paraId="5B000000">
      <w:pPr>
        <w:pStyle w:val="Style_5"/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Расчетный счет: 03100643000000016600</w:t>
      </w:r>
    </w:p>
    <w:p w14:paraId="5C000000">
      <w:pPr>
        <w:pStyle w:val="Style_5"/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КОРСЧЕТ:</w:t>
      </w:r>
      <w:r>
        <w:rPr>
          <w:rFonts w:ascii="PT Astra Serif" w:hAnsi="PT Astra Serif"/>
          <w:b w:val="0"/>
          <w:sz w:val="26"/>
        </w:rPr>
        <w:t xml:space="preserve"> </w:t>
      </w:r>
      <w:r>
        <w:rPr>
          <w:rFonts w:ascii="PT Astra Serif" w:hAnsi="PT Astra Serif"/>
          <w:b w:val="0"/>
          <w:sz w:val="26"/>
        </w:rPr>
        <w:t>40102810445370000059</w:t>
      </w:r>
    </w:p>
    <w:p w14:paraId="5D000000">
      <w:pPr>
        <w:pStyle w:val="Style_5"/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Банк получателя: ОТДЕЛЕНИЕ ТУЛА БАНКА РОССИИ//УФК по Тульской области г. Тула</w:t>
      </w:r>
    </w:p>
    <w:p w14:paraId="5E000000">
      <w:pPr>
        <w:pStyle w:val="Style_4"/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БИК: 017003983</w:t>
      </w:r>
    </w:p>
    <w:p w14:paraId="5F000000">
      <w:pPr>
        <w:pStyle w:val="Style_5"/>
        <w:tabs>
          <w:tab w:leader="none" w:pos="709" w:val="left"/>
          <w:tab w:leader="none" w:pos="4153" w:val="center"/>
          <w:tab w:leader="none" w:pos="4677" w:val="clear"/>
          <w:tab w:leader="none" w:pos="8306" w:val="right"/>
          <w:tab w:leader="none" w:pos="9355" w:val="clear"/>
        </w:tabs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Код ОКТМО: 70701000</w:t>
      </w:r>
    </w:p>
    <w:p w14:paraId="60000000">
      <w:pPr>
        <w:pStyle w:val="Style_4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Коды бюджетной классификации:</w:t>
      </w:r>
    </w:p>
    <w:p w14:paraId="61000000">
      <w:pPr>
        <w:pStyle w:val="Style_4"/>
        <w:tabs>
          <w:tab w:leader="none" w:pos="708" w:val="clear"/>
          <w:tab w:leader="none" w:pos="709" w:val="left"/>
        </w:tabs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82311105012040000120 – арендная плата по договору аренды земельного участка;</w:t>
      </w:r>
    </w:p>
    <w:p w14:paraId="62000000">
      <w:pPr>
        <w:pStyle w:val="Style_4"/>
        <w:tabs>
          <w:tab w:leader="none" w:pos="708" w:val="clear"/>
          <w:tab w:leader="none" w:pos="709" w:val="left"/>
        </w:tabs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82311607090040000140 – пени по договору аренды земельного участка;</w:t>
      </w:r>
    </w:p>
    <w:p w14:paraId="63000000">
      <w:pPr>
        <w:pStyle w:val="Style_4"/>
        <w:tabs>
          <w:tab w:leader="none" w:pos="708" w:val="clear"/>
          <w:tab w:leader="none" w:pos="709" w:val="left"/>
        </w:tabs>
        <w:ind/>
        <w:jc w:val="both"/>
        <w:rPr>
          <w:rFonts w:ascii="PT Astra Serif" w:hAnsi="PT Astra Serif"/>
        </w:rPr>
      </w:pPr>
      <w:r>
        <w:rPr>
          <w:rFonts w:ascii="PT Astra Serif" w:hAnsi="PT Astra Serif"/>
          <w:b w:val="0"/>
          <w:sz w:val="26"/>
        </w:rPr>
        <w:t>82311105012040000120 – неосновательное обогащение;</w:t>
      </w:r>
    </w:p>
    <w:p w14:paraId="64000000">
      <w:pPr>
        <w:pStyle w:val="Style_4"/>
        <w:tabs>
          <w:tab w:leader="none" w:pos="708" w:val="clear"/>
          <w:tab w:leader="none" w:pos="709" w:val="left"/>
        </w:tabs>
        <w:ind/>
        <w:jc w:val="both"/>
      </w:pPr>
      <w:r>
        <w:rPr>
          <w:rStyle w:val="Style_6_ch"/>
          <w:rFonts w:ascii="PT Astra Serif" w:hAnsi="PT Astra Serif"/>
          <w:b w:val="0"/>
          <w:color w:val="000000"/>
          <w:sz w:val="26"/>
          <w:u w:val="none"/>
        </w:rPr>
        <w:t>82311607090040000140 – проценты за пользование денежными средствами</w:t>
      </w:r>
    </w:p>
    <w:sectPr>
      <w:footerReference r:id="rId1" w:type="default"/>
      <w:type w:val="nextPage"/>
      <w:pgSz w:h="16838" w:orient="portrait" w:w="11906"/>
      <w:pgMar w:bottom="1134" w:footer="709" w:gutter="0" w:header="0" w:left="1701" w:right="850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widowControl w:val="1"/>
      <w:spacing w:after="0" w:before="0" w:line="240" w:lineRule="auto"/>
      <w:ind/>
      <w:jc w:val="left"/>
    </w:pPr>
    <w:rPr>
      <w:rFonts w:ascii="Times New Roman" w:hAnsi="Times New Roman"/>
      <w:color w:val="000000"/>
      <w:sz w:val="24"/>
    </w:rPr>
  </w:style>
  <w:style w:default="1" w:styleId="Style_4_ch" w:type="character">
    <w:name w:val="Normal"/>
    <w:link w:val="Style_4"/>
    <w:rPr>
      <w:rFonts w:ascii="Times New Roman" w:hAnsi="Times New Roman"/>
      <w:color w:val="000000"/>
      <w:sz w:val="24"/>
    </w:rPr>
  </w:style>
  <w:style w:styleId="Style_7" w:type="paragraph">
    <w:name w:val="toc 2"/>
    <w:next w:val="Style_4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4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End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Endnote"/>
    <w:link w:val="Style_11"/>
    <w:rPr>
      <w:rFonts w:ascii="XO Thames" w:hAnsi="XO Thames"/>
      <w:sz w:val="22"/>
    </w:rPr>
  </w:style>
  <w:style w:styleId="Style_12" w:type="paragraph">
    <w:name w:val="heading 3"/>
    <w:next w:val="Style_4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14" w:type="paragraph">
    <w:name w:val="List Paragraph"/>
    <w:basedOn w:val="Style_4"/>
    <w:link w:val="Style_14_ch"/>
    <w:pPr>
      <w:spacing w:after="0" w:before="0"/>
      <w:ind w:firstLine="0" w:left="720"/>
      <w:contextualSpacing w:val="1"/>
    </w:pPr>
  </w:style>
  <w:style w:styleId="Style_14_ch" w:type="character">
    <w:name w:val="List Paragraph"/>
    <w:basedOn w:val="Style_4_ch"/>
    <w:link w:val="Style_14"/>
  </w:style>
  <w:style w:styleId="Style_3" w:type="paragraph">
    <w:name w:val="No Spacing"/>
    <w:link w:val="Style_3_ch"/>
    <w:pPr>
      <w:widowControl w:val="1"/>
      <w:spacing w:after="0" w:before="0" w:line="240" w:lineRule="auto"/>
      <w:ind/>
      <w:jc w:val="left"/>
    </w:pPr>
    <w:rPr>
      <w:rFonts w:asciiTheme="minorAscii" w:hAnsiTheme="minorHAnsi"/>
      <w:color w:val="000000"/>
      <w:sz w:val="22"/>
    </w:rPr>
  </w:style>
  <w:style w:styleId="Style_3_ch" w:type="character">
    <w:name w:val="No Spacing"/>
    <w:link w:val="Style_3"/>
    <w:rPr>
      <w:rFonts w:asciiTheme="minorAscii" w:hAnsiTheme="minorHAnsi"/>
      <w:color w:val="000000"/>
      <w:sz w:val="22"/>
    </w:rPr>
  </w:style>
  <w:style w:styleId="Style_15" w:type="paragraph">
    <w:name w:val="List"/>
    <w:basedOn w:val="Style_16"/>
    <w:link w:val="Style_15_ch"/>
  </w:style>
  <w:style w:styleId="Style_15_ch" w:type="character">
    <w:name w:val="List"/>
    <w:basedOn w:val="Style_16_ch"/>
    <w:link w:val="Style_15"/>
  </w:style>
  <w:style w:styleId="Style_17" w:type="paragraph">
    <w:name w:val="Указатель"/>
    <w:basedOn w:val="Style_4"/>
    <w:link w:val="Style_17_ch"/>
  </w:style>
  <w:style w:styleId="Style_17_ch" w:type="character">
    <w:name w:val="Указатель"/>
    <w:basedOn w:val="Style_4_ch"/>
    <w:link w:val="Style_17"/>
  </w:style>
  <w:style w:styleId="Style_18" w:type="paragraph">
    <w:name w:val="toc 3"/>
    <w:next w:val="Style_4"/>
    <w:link w:val="Style_1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8_ch" w:type="character">
    <w:name w:val="toc 3"/>
    <w:link w:val="Style_18"/>
    <w:rPr>
      <w:rFonts w:ascii="XO Thames" w:hAnsi="XO Thames"/>
      <w:sz w:val="28"/>
    </w:rPr>
  </w:style>
  <w:style w:styleId="Style_19" w:type="paragraph">
    <w:name w:val="Заголовок 1 Знак"/>
    <w:basedOn w:val="Style_13"/>
    <w:link w:val="Style_19_ch"/>
    <w:rPr>
      <w:rFonts w:ascii="Times New Roman" w:hAnsi="Times New Roman"/>
      <w:b w:val="1"/>
      <w:sz w:val="24"/>
    </w:rPr>
  </w:style>
  <w:style w:styleId="Style_19_ch" w:type="character">
    <w:name w:val="Заголовок 1 Знак"/>
    <w:basedOn w:val="Style_13_ch"/>
    <w:link w:val="Style_19"/>
    <w:rPr>
      <w:rFonts w:ascii="Times New Roman" w:hAnsi="Times New Roman"/>
      <w:b w:val="1"/>
      <w:sz w:val="24"/>
    </w:rPr>
  </w:style>
  <w:style w:styleId="Style_20" w:type="paragraph">
    <w:name w:val="Верхний колонтитул Знак"/>
    <w:basedOn w:val="Style_13"/>
    <w:link w:val="Style_20_ch"/>
  </w:style>
  <w:style w:styleId="Style_20_ch" w:type="character">
    <w:name w:val="Верхний колонтитул Знак"/>
    <w:basedOn w:val="Style_13_ch"/>
    <w:link w:val="Style_20"/>
  </w:style>
  <w:style w:styleId="Style_21" w:type="paragraph">
    <w:name w:val="heading 5"/>
    <w:next w:val="Style_4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22" w:type="paragraph">
    <w:name w:val="Верхний и нижний колонтитулы"/>
    <w:basedOn w:val="Style_4"/>
    <w:link w:val="Style_22_ch"/>
  </w:style>
  <w:style w:styleId="Style_22_ch" w:type="character">
    <w:name w:val="Верхний и нижний колонтитулы"/>
    <w:basedOn w:val="Style_4_ch"/>
    <w:link w:val="Style_22"/>
  </w:style>
  <w:style w:styleId="Style_23" w:type="paragraph">
    <w:name w:val="heading 1"/>
    <w:basedOn w:val="Style_4"/>
    <w:next w:val="Style_4"/>
    <w:link w:val="Style_23_ch"/>
    <w:uiPriority w:val="9"/>
    <w:qFormat/>
    <w:pPr>
      <w:keepNext w:val="1"/>
      <w:ind/>
      <w:jc w:val="center"/>
      <w:outlineLvl w:val="0"/>
    </w:pPr>
    <w:rPr>
      <w:b w:val="1"/>
    </w:rPr>
  </w:style>
  <w:style w:styleId="Style_23_ch" w:type="character">
    <w:name w:val="heading 1"/>
    <w:basedOn w:val="Style_4_ch"/>
    <w:link w:val="Style_23"/>
    <w:rPr>
      <w:b w:val="1"/>
    </w:rPr>
  </w:style>
  <w:style w:styleId="Style_6" w:type="paragraph">
    <w:name w:val="Интернет-ссылка"/>
    <w:basedOn w:val="Style_13"/>
    <w:link w:val="Style_6_ch"/>
    <w:rPr>
      <w:color w:themeColor="hyperlink" w:val="0000FF"/>
      <w:u w:val="single"/>
    </w:rPr>
  </w:style>
  <w:style w:styleId="Style_6_ch" w:type="character">
    <w:name w:val="Интернет-ссылка"/>
    <w:basedOn w:val="Style_13_ch"/>
    <w:link w:val="Style_6"/>
    <w:rPr>
      <w:color w:themeColor="hyperlink" w:val="0000FF"/>
      <w:u w:val="single"/>
    </w:rPr>
  </w:style>
  <w:style w:styleId="Style_24" w:type="paragraph">
    <w:name w:val="Hyperlink"/>
    <w:link w:val="Style_24_ch"/>
    <w:rPr>
      <w:color w:val="0000FF"/>
      <w:u w:val="single"/>
    </w:rPr>
  </w:style>
  <w:style w:styleId="Style_24_ch" w:type="character">
    <w:name w:val="Hyperlink"/>
    <w:link w:val="Style_24"/>
    <w:rPr>
      <w:color w:val="0000FF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26" w:type="paragraph">
    <w:name w:val="toc 1"/>
    <w:next w:val="Style_4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Основной текст Знак"/>
    <w:basedOn w:val="Style_13"/>
    <w:link w:val="Style_28_ch"/>
  </w:style>
  <w:style w:styleId="Style_28_ch" w:type="character">
    <w:name w:val="Основной текст Знак"/>
    <w:basedOn w:val="Style_13_ch"/>
    <w:link w:val="Style_28"/>
  </w:style>
  <w:style w:styleId="Style_29" w:type="paragraph">
    <w:name w:val="Заголовок"/>
    <w:basedOn w:val="Style_4"/>
    <w:next w:val="Style_16"/>
    <w:link w:val="Style_2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9_ch" w:type="character">
    <w:name w:val="Заголовок"/>
    <w:basedOn w:val="Style_4_ch"/>
    <w:link w:val="Style_29"/>
    <w:rPr>
      <w:rFonts w:ascii="Liberation Sans" w:hAnsi="Liberation Sans"/>
      <w:sz w:val="28"/>
    </w:rPr>
  </w:style>
  <w:style w:styleId="Style_30" w:type="paragraph">
    <w:name w:val="ConsPlusNormal"/>
    <w:link w:val="Style_30_ch"/>
    <w:pPr>
      <w:widowControl w:val="0"/>
      <w:spacing w:after="0" w:before="0" w:line="240" w:lineRule="auto"/>
      <w:ind/>
      <w:jc w:val="left"/>
    </w:pPr>
    <w:rPr>
      <w:rFonts w:asciiTheme="minorAscii" w:hAnsiTheme="minorHAnsi"/>
      <w:color w:val="000000"/>
      <w:sz w:val="22"/>
    </w:rPr>
  </w:style>
  <w:style w:styleId="Style_30_ch" w:type="character">
    <w:name w:val="ConsPlusNormal"/>
    <w:link w:val="Style_30"/>
    <w:rPr>
      <w:rFonts w:asciiTheme="minorAscii" w:hAnsiTheme="minorHAnsi"/>
      <w:color w:val="000000"/>
      <w:sz w:val="22"/>
    </w:rPr>
  </w:style>
  <w:style w:styleId="Style_31" w:type="paragraph">
    <w:name w:val="toc 9"/>
    <w:next w:val="Style_4"/>
    <w:link w:val="Style_3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1_ch" w:type="character">
    <w:name w:val="toc 9"/>
    <w:link w:val="Style_31"/>
    <w:rPr>
      <w:rFonts w:ascii="XO Thames" w:hAnsi="XO Thames"/>
      <w:sz w:val="28"/>
    </w:rPr>
  </w:style>
  <w:style w:styleId="Style_1" w:type="paragraph">
    <w:name w:val="Footer"/>
    <w:basedOn w:val="Style_4"/>
    <w:link w:val="Style_1_ch"/>
    <w:pPr>
      <w:tabs>
        <w:tab w:leader="none" w:pos="708" w:val="clear"/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_ch" w:type="character">
    <w:name w:val="Footer"/>
    <w:basedOn w:val="Style_4_ch"/>
    <w:link w:val="Style_1"/>
    <w:rPr>
      <w:rFonts w:asciiTheme="minorAscii" w:hAnsiTheme="minorHAnsi"/>
      <w:sz w:val="22"/>
    </w:rPr>
  </w:style>
  <w:style w:styleId="Style_32" w:type="paragraph">
    <w:name w:val="toc 8"/>
    <w:next w:val="Style_4"/>
    <w:link w:val="Style_3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2_ch" w:type="character">
    <w:name w:val="toc 8"/>
    <w:link w:val="Style_32"/>
    <w:rPr>
      <w:rFonts w:ascii="XO Thames" w:hAnsi="XO Thames"/>
      <w:sz w:val="28"/>
    </w:rPr>
  </w:style>
  <w:style w:styleId="Style_33" w:type="paragraph">
    <w:name w:val="Balloon Text"/>
    <w:basedOn w:val="Style_4"/>
    <w:link w:val="Style_33_ch"/>
    <w:rPr>
      <w:rFonts w:ascii="Tahoma" w:hAnsi="Tahoma"/>
      <w:sz w:val="16"/>
    </w:rPr>
  </w:style>
  <w:style w:styleId="Style_33_ch" w:type="character">
    <w:name w:val="Balloon Text"/>
    <w:basedOn w:val="Style_4_ch"/>
    <w:link w:val="Style_33"/>
    <w:rPr>
      <w:rFonts w:ascii="Tahoma" w:hAnsi="Tahoma"/>
      <w:sz w:val="16"/>
    </w:rPr>
  </w:style>
  <w:style w:styleId="Style_5" w:type="paragraph">
    <w:name w:val="Header"/>
    <w:basedOn w:val="Style_4"/>
    <w:link w:val="Style_5_ch"/>
    <w:pPr>
      <w:tabs>
        <w:tab w:leader="none" w:pos="708" w:val="clear"/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5_ch" w:type="character">
    <w:name w:val="Header"/>
    <w:basedOn w:val="Style_4_ch"/>
    <w:link w:val="Style_5"/>
    <w:rPr>
      <w:rFonts w:asciiTheme="minorAscii" w:hAnsiTheme="minorHAnsi"/>
      <w:sz w:val="22"/>
    </w:rPr>
  </w:style>
  <w:style w:styleId="Style_34" w:type="paragraph">
    <w:name w:val="toc 5"/>
    <w:next w:val="Style_4"/>
    <w:link w:val="Style_34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4_ch" w:type="character">
    <w:name w:val="toc 5"/>
    <w:link w:val="Style_34"/>
    <w:rPr>
      <w:rFonts w:ascii="XO Thames" w:hAnsi="XO Thames"/>
      <w:sz w:val="28"/>
    </w:rPr>
  </w:style>
  <w:style w:styleId="Style_16" w:type="paragraph">
    <w:name w:val="Body Text"/>
    <w:basedOn w:val="Style_4"/>
    <w:link w:val="Style_16_ch"/>
    <w:pPr>
      <w:spacing w:after="120" w:before="0" w:line="276" w:lineRule="auto"/>
      <w:ind/>
    </w:pPr>
    <w:rPr>
      <w:rFonts w:asciiTheme="minorAscii" w:hAnsiTheme="minorHAnsi"/>
      <w:sz w:val="22"/>
    </w:rPr>
  </w:style>
  <w:style w:styleId="Style_16_ch" w:type="character">
    <w:name w:val="Body Text"/>
    <w:basedOn w:val="Style_4_ch"/>
    <w:link w:val="Style_16"/>
    <w:rPr>
      <w:rFonts w:asciiTheme="minorAscii" w:hAnsiTheme="minorHAnsi"/>
      <w:sz w:val="22"/>
    </w:rPr>
  </w:style>
  <w:style w:styleId="Style_35" w:type="paragraph">
    <w:name w:val="Caption"/>
    <w:basedOn w:val="Style_4"/>
    <w:link w:val="Style_35_ch"/>
    <w:pPr>
      <w:spacing w:after="120" w:before="120"/>
      <w:ind/>
    </w:pPr>
    <w:rPr>
      <w:i w:val="1"/>
      <w:sz w:val="24"/>
    </w:rPr>
  </w:style>
  <w:style w:styleId="Style_35_ch" w:type="character">
    <w:name w:val="Caption"/>
    <w:basedOn w:val="Style_4_ch"/>
    <w:link w:val="Style_35"/>
    <w:rPr>
      <w:i w:val="1"/>
      <w:sz w:val="24"/>
    </w:rPr>
  </w:style>
  <w:style w:styleId="Style_36" w:type="paragraph">
    <w:name w:val="Нижний колонтитул Знак"/>
    <w:basedOn w:val="Style_13"/>
    <w:link w:val="Style_36_ch"/>
  </w:style>
  <w:style w:styleId="Style_36_ch" w:type="character">
    <w:name w:val="Нижний колонтитул Знак"/>
    <w:basedOn w:val="Style_13_ch"/>
    <w:link w:val="Style_36"/>
  </w:style>
  <w:style w:styleId="Style_37" w:type="paragraph">
    <w:name w:val="Subtitle"/>
    <w:next w:val="Style_4"/>
    <w:link w:val="Style_3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7_ch" w:type="character">
    <w:name w:val="Subtitle"/>
    <w:link w:val="Style_37"/>
    <w:rPr>
      <w:rFonts w:ascii="XO Thames" w:hAnsi="XO Thames"/>
      <w:i w:val="1"/>
      <w:sz w:val="24"/>
    </w:rPr>
  </w:style>
  <w:style w:styleId="Style_38" w:type="paragraph">
    <w:name w:val="Текст выноски Знак"/>
    <w:basedOn w:val="Style_13"/>
    <w:link w:val="Style_38_ch"/>
    <w:rPr>
      <w:rFonts w:ascii="Tahoma" w:hAnsi="Tahoma"/>
      <w:sz w:val="16"/>
    </w:rPr>
  </w:style>
  <w:style w:styleId="Style_38_ch" w:type="character">
    <w:name w:val="Текст выноски Знак"/>
    <w:basedOn w:val="Style_13_ch"/>
    <w:link w:val="Style_38"/>
    <w:rPr>
      <w:rFonts w:ascii="Tahoma" w:hAnsi="Tahoma"/>
      <w:sz w:val="16"/>
    </w:rPr>
  </w:style>
  <w:style w:styleId="Style_39" w:type="paragraph">
    <w:name w:val="Title"/>
    <w:next w:val="Style_4"/>
    <w:link w:val="Style_3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9_ch" w:type="character">
    <w:name w:val="Title"/>
    <w:link w:val="Style_39"/>
    <w:rPr>
      <w:rFonts w:ascii="XO Thames" w:hAnsi="XO Thames"/>
      <w:b w:val="1"/>
      <w:caps w:val="1"/>
      <w:sz w:val="40"/>
    </w:rPr>
  </w:style>
  <w:style w:styleId="Style_40" w:type="paragraph">
    <w:name w:val="heading 4"/>
    <w:next w:val="Style_4"/>
    <w:link w:val="Style_4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0_ch" w:type="character">
    <w:name w:val="heading 4"/>
    <w:link w:val="Style_40"/>
    <w:rPr>
      <w:rFonts w:ascii="XO Thames" w:hAnsi="XO Thames"/>
      <w:b w:val="1"/>
      <w:sz w:val="24"/>
    </w:rPr>
  </w:style>
  <w:style w:styleId="Style_41" w:type="paragraph">
    <w:name w:val="heading 2"/>
    <w:next w:val="Style_4"/>
    <w:link w:val="Style_4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41_ch" w:type="character">
    <w:name w:val="heading 2"/>
    <w:link w:val="Style_41"/>
    <w:rPr>
      <w:rFonts w:ascii="XO Thames" w:hAnsi="XO Thames"/>
      <w:b w:val="1"/>
      <w:sz w:val="28"/>
    </w:rPr>
  </w:style>
  <w:style w:styleId="Style_42" w:type="table">
    <w:name w:val="Table Grid"/>
    <w:basedOn w:val="Style_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MyOffice-CoreFramework-Linux/30-1057.739.7955.691.1@6f967f4b4ae0ae6f94b7d59183011075308df4f8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2023-11-13T08:01:43Z</dcterms:modified>
</cp:coreProperties>
</file>