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01.03.2023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Calibri" w:cs="Times New Roman" w:ascii="PT Astra Serif" w:hAnsi="PT Astra Serif"/>
                <w:b/>
                <w:sz w:val="20"/>
                <w:szCs w:val="20"/>
              </w:rPr>
              <w:t xml:space="preserve">На № </w:t>
            </w:r>
            <w:r>
              <w:rPr>
                <w:rFonts w:eastAsia="Calibri" w:cs="Times New Roman" w:ascii="PT Astra Serif" w:hAnsi="PT Astra Serif"/>
                <w:sz w:val="20"/>
                <w:szCs w:val="20"/>
              </w:rPr>
              <w:t>_______________________</w:t>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4"/>
                <w:szCs w:val="24"/>
                <w:lang w:eastAsia="ru-RU"/>
              </w:rPr>
            </w:pPr>
            <w:r>
              <w:rPr>
                <w:rFonts w:eastAsia="Calibri" w:cs="Times New Roman" w:ascii="PT Astra Serif" w:hAnsi="PT Astra Serif"/>
                <w:b/>
                <w:sz w:val="24"/>
                <w:szCs w:val="24"/>
                <w:lang w:eastAsia="ru-RU"/>
              </w:rPr>
              <w:t>Арбитражный суд Тульской области</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300041, г. Тула, Красноармейский пр. 5</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Истец: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(ИНН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sz w:val="24"/>
                <w:szCs w:val="24"/>
              </w:rPr>
              <w:t xml:space="preserve">; ОГРН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sz w:val="24"/>
                <w:szCs w:val="24"/>
              </w:rPr>
              <w:t>)</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eastAsia="Calibri" w:cs="Times New Roman" w:ascii="PT Astra Serif" w:hAnsi="PT Astra Serif" w:eastAsiaTheme="minorHAnsi"/>
                <w:color w:val="auto"/>
                <w:kern w:val="0"/>
                <w:sz w:val="24"/>
                <w:szCs w:val="24"/>
                <w:lang w:val="ru-RU" w:eastAsia="en-US" w:bidi="ar-SA"/>
              </w:rPr>
              <w:t>ХХХХХХ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Ответчик: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eastAsia="Calibri" w:cs="Times New Roman" w:eastAsiaTheme="minorHAnsi" w:ascii="PT Astra Serif" w:hAnsi="PT Astra Serif"/>
                <w:color w:val="auto"/>
                <w:kern w:val="0"/>
                <w:sz w:val="24"/>
                <w:szCs w:val="24"/>
                <w:lang w:val="ru-RU" w:eastAsia="en-US" w:bidi="ar-SA"/>
              </w:rPr>
              <w:t>ХХХХХХ</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(ИНН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sz w:val="24"/>
                <w:szCs w:val="24"/>
              </w:rPr>
              <w:t xml:space="preserve"> ОГРН:</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sz w:val="24"/>
                <w:szCs w:val="24"/>
              </w:rPr>
              <w:t>)</w:t>
            </w:r>
          </w:p>
          <w:p>
            <w:pPr>
              <w:pStyle w:val="Normal"/>
              <w:widowControl w:val="false"/>
              <w:spacing w:lineRule="auto" w:line="240" w:before="0" w:after="0"/>
              <w:jc w:val="center"/>
              <w:rPr>
                <w:rFonts w:ascii="PT Astra Serif" w:hAnsi="PT Astra Serif" w:eastAsia="Times New Roman" w:cs="Times New Roman"/>
                <w:bCs/>
                <w:sz w:val="20"/>
                <w:szCs w:val="20"/>
                <w:lang w:eastAsia="ru-RU"/>
              </w:rPr>
            </w:pPr>
            <w:r>
              <w:rPr>
                <w:rFonts w:cs="Times New Roman" w:ascii="PT Astra Serif" w:hAnsi="PT Astra Serif"/>
                <w:sz w:val="20"/>
                <w:szCs w:val="20"/>
              </w:rPr>
              <w:t>ХХХХХХ</w:t>
            </w:r>
          </w:p>
          <w:p>
            <w:pPr>
              <w:pStyle w:val="Normal"/>
              <w:widowControl w:val="false"/>
              <w:spacing w:lineRule="auto" w:line="240" w:before="0" w:after="0"/>
              <w:rPr>
                <w:rFonts w:ascii="PT Astra Serif" w:hAnsi="PT Astra Serif" w:eastAsia="Times New Roman" w:cs="Times New Roman"/>
                <w:bCs/>
                <w:sz w:val="20"/>
                <w:szCs w:val="20"/>
                <w:lang w:eastAsia="ru-RU"/>
              </w:rPr>
            </w:pPr>
            <w:r>
              <w:rPr>
                <w:rFonts w:eastAsia="Times New Roman" w:cs="Times New Roman" w:ascii="PT Astra Serif" w:hAnsi="PT Astra Serif"/>
                <w:bCs/>
                <w:sz w:val="20"/>
                <w:szCs w:val="20"/>
                <w:lang w:eastAsia="ru-RU"/>
              </w:rPr>
            </w:r>
          </w:p>
        </w:tc>
      </w:tr>
    </w:tbl>
    <w:p>
      <w:pPr>
        <w:pStyle w:val="Normal"/>
        <w:tabs>
          <w:tab w:val="clear" w:pos="708"/>
          <w:tab w:val="left" w:pos="9180" w:leader="none"/>
        </w:tabs>
        <w:spacing w:lineRule="auto" w:line="240" w:before="0" w:after="0"/>
        <w:ind w:right="282" w:hanging="0"/>
        <w:jc w:val="center"/>
        <w:rPr>
          <w:rFonts w:ascii="PT Astra Serif" w:hAnsi="PT Astra Serif" w:cs="Times New Roman"/>
          <w:b/>
          <w:b/>
          <w:sz w:val="24"/>
          <w:szCs w:val="24"/>
        </w:rPr>
      </w:pPr>
      <w:r>
        <w:rPr>
          <w:rFonts w:cs="Times New Roman" w:ascii="PT Astra Serif" w:hAnsi="PT Astra Serif"/>
          <w:b/>
          <w:sz w:val="24"/>
          <w:szCs w:val="24"/>
        </w:rPr>
      </w:r>
    </w:p>
    <w:p>
      <w:pPr>
        <w:pStyle w:val="Normal"/>
        <w:tabs>
          <w:tab w:val="clear" w:pos="708"/>
          <w:tab w:val="left" w:pos="9180" w:leader="none"/>
        </w:tabs>
        <w:spacing w:lineRule="auto" w:line="240" w:before="0" w:after="0"/>
        <w:ind w:right="282" w:hanging="0"/>
        <w:jc w:val="center"/>
        <w:rPr>
          <w:sz w:val="26"/>
          <w:szCs w:val="26"/>
        </w:rPr>
      </w:pPr>
      <w:r>
        <w:rPr>
          <w:rFonts w:cs="Times New Roman" w:ascii="PT Astra Serif" w:hAnsi="PT Astra Serif"/>
          <w:b/>
          <w:sz w:val="26"/>
          <w:szCs w:val="26"/>
        </w:rPr>
        <w:t>ИСКОВОЕ ЗАЯВЛЕНИЕ</w:t>
      </w:r>
    </w:p>
    <w:p>
      <w:pPr>
        <w:pStyle w:val="Normal"/>
        <w:spacing w:lineRule="auto" w:line="240" w:before="0" w:after="0"/>
        <w:jc w:val="center"/>
        <w:rPr>
          <w:sz w:val="26"/>
          <w:szCs w:val="26"/>
        </w:rPr>
      </w:pPr>
      <w:r>
        <w:rPr>
          <w:rFonts w:cs="Times New Roman" w:ascii="PT Astra Serif" w:hAnsi="PT Astra Serif"/>
          <w:sz w:val="26"/>
          <w:szCs w:val="26"/>
        </w:rPr>
        <w:t>о взыскании задолженности, пени по арендной плате</w:t>
      </w:r>
    </w:p>
    <w:p>
      <w:pPr>
        <w:pStyle w:val="Normal"/>
        <w:spacing w:lineRule="auto" w:line="240" w:before="0" w:after="0"/>
        <w:jc w:val="center"/>
        <w:rPr>
          <w:sz w:val="26"/>
          <w:szCs w:val="26"/>
        </w:rPr>
      </w:pPr>
      <w:r>
        <w:rPr>
          <w:rFonts w:cs="Times New Roman" w:ascii="PT Astra Serif" w:hAnsi="PT Astra Serif"/>
          <w:sz w:val="26"/>
          <w:szCs w:val="26"/>
        </w:rPr>
        <w:t>по договору аренды</w:t>
      </w:r>
    </w:p>
    <w:p>
      <w:pPr>
        <w:pStyle w:val="Normal"/>
        <w:spacing w:lineRule="auto" w:line="240" w:before="0" w:after="0"/>
        <w:jc w:val="center"/>
        <w:rPr>
          <w:sz w:val="26"/>
          <w:szCs w:val="26"/>
        </w:rPr>
      </w:pPr>
      <w:r>
        <w:rPr>
          <w:sz w:val="26"/>
          <w:szCs w:val="26"/>
        </w:rPr>
      </w:r>
    </w:p>
    <w:p>
      <w:pPr>
        <w:pStyle w:val="Normal"/>
        <w:spacing w:lineRule="auto" w:line="240" w:before="0" w:after="0"/>
        <w:ind w:firstLine="709"/>
        <w:jc w:val="both"/>
        <w:rPr>
          <w:sz w:val="26"/>
          <w:szCs w:val="26"/>
        </w:rPr>
      </w:pP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г. между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(Арендодатель) </w:t>
      </w:r>
      <w:r>
        <w:rPr>
          <w:rFonts w:cs="Times New Roman" w:ascii="PT Astra Serif" w:hAnsi="PT Astra Serif"/>
          <w:color w:val="000000" w:themeColor="text1"/>
          <w:sz w:val="26"/>
          <w:szCs w:val="26"/>
        </w:rPr>
        <w:t>и</w:t>
      </w:r>
      <w:r>
        <w:rPr>
          <w:rFonts w:cs="Times New Roman" w:ascii="PT Astra Serif" w:hAnsi="PT Astra Serif"/>
          <w:color w:val="000000" w:themeColor="text1"/>
          <w:sz w:val="26"/>
          <w:szCs w:val="26"/>
        </w:rPr>
        <w:t xml:space="preserve">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(Арендатор) был заключен договор аренды земельного участка  №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с кадастровым номером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общей площадью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кв.м., расположенный по адресу – </w:t>
      </w:r>
      <w:r>
        <w:rPr>
          <w:rFonts w:eastAsia="Calibri" w:cs="Times New Roman" w:ascii="PT Astra Serif" w:hAnsi="PT Astra Serif" w:eastAsiaTheme="minorHAnsi"/>
          <w:color w:val="auto"/>
          <w:kern w:val="0"/>
          <w:sz w:val="24"/>
          <w:szCs w:val="24"/>
          <w:lang w:val="ru-RU" w:eastAsia="en-US" w:bidi="ar-SA"/>
        </w:rPr>
        <w:t>ХХХХХХ ХХХХХХ</w:t>
      </w:r>
      <w:r>
        <w:rPr>
          <w:rFonts w:cs="Times New Roman" w:ascii="PT Astra Serif" w:hAnsi="PT Astra Serif"/>
          <w:color w:val="000000" w:themeColor="text1"/>
          <w:sz w:val="26"/>
          <w:szCs w:val="26"/>
        </w:rPr>
        <w:t xml:space="preserve"> с разрешенным использованием для эксплуатации комплекса зданий овощной базы (п.п.1.1., 2.1. договора).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 дату подписания договора размер арендной платы определен в соответствии с Законом Тульской области от 29.06.2011 №1586-ЗТО и состаляет: </w:t>
      </w:r>
      <w:r>
        <w:rPr>
          <w:rFonts w:eastAsia="Calibri" w:cs="Times New Roman" w:ascii="PT Astra Serif" w:hAnsi="PT Astra Serif"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6"/>
          <w:szCs w:val="26"/>
        </w:rPr>
        <w:t>руб. в месяц.</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Договор заключен на срок 49 лет (п. 3.1. договора). В настоящее время Договор действующий.</w:t>
      </w:r>
    </w:p>
    <w:p>
      <w:pPr>
        <w:pStyle w:val="Normal"/>
        <w:spacing w:lineRule="auto" w:line="240" w:before="0" w:after="0"/>
        <w:ind w:firstLine="709"/>
        <w:jc w:val="both"/>
        <w:rPr>
          <w:sz w:val="26"/>
          <w:szCs w:val="26"/>
        </w:rPr>
      </w:pP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договор зарегистрирован Управлением федеральной службы государственной регистрации кадастра и картографии по Тульской области  рег. № </w:t>
      </w:r>
      <w:r>
        <w:rPr>
          <w:rFonts w:eastAsia="Calibri" w:cs="Times New Roman" w:ascii="PT Astra Serif" w:hAnsi="PT Astra Serif" w:eastAsiaTheme="minorHAnsi"/>
          <w:color w:val="auto"/>
          <w:kern w:val="0"/>
          <w:sz w:val="24"/>
          <w:szCs w:val="24"/>
          <w:lang w:val="ru-RU" w:eastAsia="en-US" w:bidi="ar-SA"/>
        </w:rPr>
        <w:t>ХХХХХХ</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Положением п. 1 ст. 314 Гражданского кодекса Российской Федерации  предусмотрено, что если обязательство предусматривает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что было определено в Договоре и не исполнено Ответчиком.</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силу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Согласно п.1 ст. 614 ГК РФ арендатор обязан своевременно вносить плату за пользование имуществом (арендную плату).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силу пункта 4.1 договора арендные платежи исчисляются ежемесячно и уплачиваются за текущий месяц до 10 числа текущего месяца.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Обязательство по уплате арендной платы считается исполненным в день ее поступления на счет (пункт 4.9. договора).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Пунктом 4.3 договора предусмотрено, что размер арендной платы определяется в соответствии с действующим законодательством.</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период действия договора размер арендной платы может изменяться арендодателем в одностороннем порядке, то есть независимо от согласия арендатора в соответствии с действующим законодательством (пункт 4.5 договора).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соответствии с п. 9.1 Договора за нарушение срока уплаты арендной платы Арендатор уплачивает пеню в размере одного процента от общей суммы задолженности, имеющейся на это число. Пеня начисляется ежемесячно 11 числа каждого месяца от общей суммы задолженности,, имеющейся на это число, и прибавляется к ранее начисленной и непогашенной задолженности по пене.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Обязательство по уплате пени считается исполненным в день ее поступления на счет (п.9.2. договора).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установленной законодательством РФ и Договором срок обязанности по своевременной уплате арендной платы Ответчик не исполнил. В результате чего за ним за период с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по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включительно образовалась задолженность по арендной плате в сумме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руб., пени за период с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по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включительно в сумме </w:t>
      </w:r>
      <w:r>
        <w:rPr>
          <w:rFonts w:eastAsia="Calibri" w:cs="Times New Roman" w:ascii="PT Astra Serif" w:hAnsi="PT Astra Serif"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6"/>
          <w:szCs w:val="26"/>
        </w:rPr>
        <w:t>руб. (расчет – прилагается).</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силу положения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Из разъяснений, изложенных в п. 1 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статей 330, 395, 809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Министерством в адрес ответчика </w:t>
      </w:r>
      <w:r>
        <w:rPr>
          <w:rFonts w:eastAsia="Calibri" w:cs="Times New Roman" w:ascii="PT Astra Serif" w:hAnsi="PT Astra Serif"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6"/>
          <w:szCs w:val="26"/>
        </w:rPr>
        <w:t xml:space="preserve">была направлена претензия  № </w:t>
      </w:r>
      <w:r>
        <w:rPr>
          <w:rFonts w:eastAsia="Calibri" w:cs="Times New Roman" w:ascii="PT Astra Serif" w:hAnsi="PT Astra Serif" w:eastAsiaTheme="minorHAnsi"/>
          <w:color w:val="auto"/>
          <w:kern w:val="0"/>
          <w:sz w:val="24"/>
          <w:szCs w:val="24"/>
          <w:lang w:val="ru-RU" w:eastAsia="en-US" w:bidi="ar-SA"/>
        </w:rPr>
        <w:t xml:space="preserve">ХХХХХХ  </w:t>
      </w:r>
      <w:r>
        <w:rPr>
          <w:rFonts w:cs="Times New Roman" w:ascii="PT Astra Serif" w:hAnsi="PT Astra Serif"/>
          <w:color w:val="000000" w:themeColor="text1"/>
          <w:sz w:val="26"/>
          <w:szCs w:val="26"/>
        </w:rPr>
        <w:t xml:space="preserve">на сумму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рублей с требованием об оплате задолженности по арендной плате и пени. Данная претензия не рассмотрена, ответ не получен.</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 дату обращения в суд задолженность не погашена. Указанные обстоятельства явились основанием для обращения истца с настоящим иском в суд.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соответствии с п.1 ст. 416 ГК РФ предусмотрено, что обязательство прекращается невозможностью исполнения, если она вызвана обстоятельством, за которое ни одна из сторон не отвечает. Доказательств, препятствующих исполнению ответчиком принятых на себя обязательств по оплате арендных платежей, пеней в рамках заключенного договора ответчиком не представлено.</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Положение п. 1 ст. 11 ГК РФ устанавливает судебный порядок защиты гражданских прав.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Предъявляя иск о взыскании задолженности по арендной плате и пеней по договору аренды земельного участка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от </w:t>
      </w:r>
      <w:r>
        <w:rPr>
          <w:rFonts w:eastAsia="Calibri" w:cs="Times New Roman" w:ascii="PT Astra Serif" w:hAnsi="PT Astra Serif" w:eastAsiaTheme="minorHAnsi"/>
          <w:color w:val="auto"/>
          <w:kern w:val="0"/>
          <w:sz w:val="24"/>
          <w:szCs w:val="24"/>
          <w:lang w:val="ru-RU" w:eastAsia="en-US" w:bidi="ar-SA"/>
        </w:rPr>
        <w:t>ХХХХХХ</w:t>
      </w:r>
      <w:r>
        <w:rPr>
          <w:rFonts w:cs="Times New Roman" w:ascii="PT Astra Serif" w:hAnsi="PT Astra Serif"/>
          <w:color w:val="000000" w:themeColor="text1"/>
          <w:sz w:val="26"/>
          <w:szCs w:val="26"/>
        </w:rPr>
        <w:t xml:space="preserve"> истец использует предусмотренный законом способ защиты права.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 основании вышеизложенного, в соответствии со статьями 11, 309-310, 314, 330, 333, 606, 614  Гражданского кодекса Российской Федерации, статьями 125-126 Арбитражного процессуального кодекса Российской Федерации, подпунктом 1.1 пункта 1 статьи 333.37 Налогового кодекса Российской Федерации,    </w:t>
      </w:r>
    </w:p>
    <w:p>
      <w:pPr>
        <w:pStyle w:val="Normal"/>
        <w:spacing w:lineRule="auto" w:line="240" w:before="0" w:after="0"/>
        <w:ind w:firstLine="709"/>
        <w:jc w:val="both"/>
        <w:rPr>
          <w:rFonts w:ascii="PT Astra Serif" w:hAnsi="PT Astra Serif" w:eastAsia="Times New Roman" w:cs="Times New Roman"/>
          <w:color w:val="000000" w:themeColor="text1"/>
          <w:sz w:val="24"/>
          <w:szCs w:val="24"/>
          <w:lang w:eastAsia="ru-RU"/>
        </w:rPr>
      </w:pPr>
      <w:r>
        <w:rPr>
          <w:rFonts w:eastAsia="Times New Roman" w:cs="Times New Roman" w:ascii="PT Astra Serif" w:hAnsi="PT Astra Serif"/>
          <w:color w:val="000000" w:themeColor="text1"/>
          <w:sz w:val="24"/>
          <w:szCs w:val="24"/>
          <w:lang w:eastAsia="ru-RU"/>
        </w:rPr>
      </w:r>
    </w:p>
    <w:p>
      <w:pPr>
        <w:pStyle w:val="Normal"/>
        <w:tabs>
          <w:tab w:val="clear" w:pos="708"/>
          <w:tab w:val="left" w:pos="-142" w:leader="none"/>
          <w:tab w:val="left" w:pos="993" w:leader="none"/>
        </w:tabs>
        <w:spacing w:lineRule="auto" w:line="240" w:before="0" w:after="0"/>
        <w:ind w:firstLine="709"/>
        <w:jc w:val="center"/>
        <w:rPr>
          <w:sz w:val="26"/>
          <w:szCs w:val="26"/>
        </w:rPr>
      </w:pPr>
      <w:r>
        <w:rPr>
          <w:rFonts w:cs="Times New Roman" w:ascii="PT Astra Serif" w:hAnsi="PT Astra Serif"/>
          <w:b/>
          <w:color w:val="000000" w:themeColor="text1"/>
          <w:sz w:val="26"/>
          <w:szCs w:val="26"/>
        </w:rPr>
        <w:t>ПРОШУ СУД:</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color w:val="000000" w:themeColor="text1"/>
          <w:sz w:val="26"/>
          <w:szCs w:val="26"/>
        </w:rPr>
      </w:pPr>
      <w:r>
        <w:rPr>
          <w:rFonts w:cs="Times New Roman" w:ascii="PT Astra Serif" w:hAnsi="PT Astra Serif"/>
          <w:color w:val="000000" w:themeColor="text1"/>
          <w:sz w:val="26"/>
          <w:szCs w:val="26"/>
        </w:rPr>
      </w:r>
    </w:p>
    <w:p>
      <w:pPr>
        <w:pStyle w:val="Normal"/>
        <w:tabs>
          <w:tab w:val="clear" w:pos="708"/>
          <w:tab w:val="left" w:pos="9180" w:leader="none"/>
        </w:tabs>
        <w:spacing w:lineRule="auto" w:line="240" w:before="0" w:after="0"/>
        <w:ind w:firstLine="426"/>
        <w:jc w:val="both"/>
        <w:rPr>
          <w:sz w:val="26"/>
          <w:szCs w:val="26"/>
        </w:rPr>
      </w:pPr>
      <w:r>
        <w:rPr>
          <w:rFonts w:eastAsia="Times New Roman" w:cs="Times New Roman" w:ascii="PT Astra Serif" w:hAnsi="PT Astra Serif"/>
          <w:color w:val="000000" w:themeColor="text1"/>
          <w:sz w:val="26"/>
          <w:szCs w:val="26"/>
          <w:lang w:eastAsia="ru-RU"/>
        </w:rPr>
        <w:t xml:space="preserve">- взыскать с ответчика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в пользу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задолженность по арендной плате по договору аренды земельного участка  №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от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за период с </w:t>
      </w:r>
      <w:r>
        <w:rPr>
          <w:rFonts w:eastAsia="Calibri" w:cs="Times New Roman" w:ascii="PT Astra Serif" w:hAnsi="PT Astra Serif" w:eastAsiaTheme="minorHAnsi"/>
          <w:color w:val="auto"/>
          <w:kern w:val="0"/>
          <w:sz w:val="24"/>
          <w:szCs w:val="24"/>
          <w:lang w:val="ru-RU" w:eastAsia="en-US" w:bidi="ar-SA"/>
        </w:rPr>
        <w:t xml:space="preserve">ХХХХХХ </w:t>
      </w:r>
      <w:r>
        <w:rPr>
          <w:rFonts w:eastAsia="Times New Roman" w:cs="Times New Roman" w:ascii="PT Astra Serif" w:hAnsi="PT Astra Serif"/>
          <w:color w:val="000000" w:themeColor="text1"/>
          <w:sz w:val="26"/>
          <w:szCs w:val="26"/>
          <w:lang w:eastAsia="ru-RU"/>
        </w:rPr>
        <w:t xml:space="preserve">по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включительно в сумме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руб., пени за период с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по </w:t>
      </w:r>
      <w:r>
        <w:rPr>
          <w:rFonts w:eastAsia="Calibri" w:cs="Times New Roman" w:ascii="PT Astra Serif" w:hAnsi="PT Astra Serif" w:eastAsiaTheme="minorHAnsi"/>
          <w:color w:val="auto"/>
          <w:kern w:val="0"/>
          <w:sz w:val="24"/>
          <w:szCs w:val="24"/>
          <w:lang w:val="ru-RU" w:eastAsia="en-US" w:bidi="ar-SA"/>
        </w:rPr>
        <w:t xml:space="preserve">ХХХХХХ </w:t>
      </w:r>
      <w:r>
        <w:rPr>
          <w:rFonts w:eastAsia="Times New Roman" w:cs="Times New Roman" w:ascii="PT Astra Serif" w:hAnsi="PT Astra Serif"/>
          <w:color w:val="000000" w:themeColor="text1"/>
          <w:sz w:val="26"/>
          <w:szCs w:val="26"/>
          <w:lang w:eastAsia="ru-RU"/>
        </w:rPr>
        <w:t xml:space="preserve">включительно в сумме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color w:val="000000" w:themeColor="text1"/>
          <w:sz w:val="26"/>
          <w:szCs w:val="26"/>
          <w:lang w:eastAsia="ru-RU"/>
        </w:rPr>
        <w:t xml:space="preserve"> руб.,  а всего </w:t>
      </w:r>
      <w:r>
        <w:rPr>
          <w:rFonts w:eastAsia="Calibri" w:cs="Times New Roman" w:ascii="PT Astra Serif" w:hAnsi="PT Astra Serif" w:eastAsiaTheme="minorHAnsi"/>
          <w:color w:val="auto"/>
          <w:kern w:val="0"/>
          <w:sz w:val="24"/>
          <w:szCs w:val="24"/>
          <w:lang w:val="ru-RU" w:eastAsia="en-US" w:bidi="ar-SA"/>
        </w:rPr>
        <w:t xml:space="preserve">ХХХХХХ </w:t>
      </w:r>
      <w:r>
        <w:rPr>
          <w:rFonts w:eastAsia="Calibri" w:cs="Times New Roman" w:ascii="PT Astra Serif" w:hAnsi="PT Astra Serif"/>
          <w:color w:val="000000" w:themeColor="text1"/>
          <w:sz w:val="26"/>
          <w:szCs w:val="26"/>
        </w:rPr>
        <w:t>с последующим начислением пени до момента фактического исполнения обязательства по договору аренды земельного участка.</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r>
    </w:p>
    <w:p>
      <w:pPr>
        <w:pStyle w:val="Normal"/>
        <w:spacing w:lineRule="auto" w:line="240" w:before="0" w:after="0"/>
        <w:rPr>
          <w:sz w:val="22"/>
          <w:szCs w:val="22"/>
        </w:rPr>
      </w:pPr>
      <w:r>
        <w:rPr>
          <w:rFonts w:eastAsia="Times New Roman" w:cs="Times New Roman" w:ascii="PT Astra Serif" w:hAnsi="PT Astra Serif"/>
          <w:sz w:val="22"/>
          <w:szCs w:val="22"/>
          <w:lang w:eastAsia="ru-RU"/>
        </w:rPr>
        <w:t xml:space="preserve">          </w:t>
      </w:r>
      <w:r>
        <w:rPr>
          <w:rFonts w:eastAsia="Times New Roman" w:cs="Times New Roman" w:ascii="PT Astra Serif" w:hAnsi="PT Astra Serif"/>
          <w:sz w:val="22"/>
          <w:szCs w:val="22"/>
          <w:lang w:eastAsia="ru-RU"/>
        </w:rPr>
        <w:t>Приложение:</w:t>
      </w:r>
    </w:p>
    <w:p>
      <w:pPr>
        <w:pStyle w:val="Normal"/>
        <w:numPr>
          <w:ilvl w:val="0"/>
          <w:numId w:val="4"/>
        </w:numPr>
        <w:spacing w:lineRule="auto" w:line="240" w:before="0" w:after="0"/>
        <w:jc w:val="both"/>
        <w:rPr>
          <w:sz w:val="22"/>
          <w:szCs w:val="22"/>
        </w:rPr>
      </w:pPr>
      <w:r>
        <w:rPr>
          <w:rFonts w:eastAsia="Times New Roman" w:cs="Times New Roman" w:ascii="PT Astra Serif" w:hAnsi="PT Astra Serif"/>
          <w:sz w:val="22"/>
          <w:szCs w:val="22"/>
          <w:lang w:eastAsia="ru-RU"/>
        </w:rPr>
        <w:t>Расчет задолженности;</w:t>
      </w:r>
    </w:p>
    <w:p>
      <w:pPr>
        <w:pStyle w:val="Normal"/>
        <w:numPr>
          <w:ilvl w:val="0"/>
          <w:numId w:val="5"/>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договора аренды № </w:t>
      </w:r>
      <w:r>
        <w:rPr>
          <w:rFonts w:eastAsia="Calibri" w:cs="Times New Roman" w:ascii="PT Astra Serif" w:hAnsi="PT Astra Serif" w:eastAsiaTheme="minorHAnsi"/>
          <w:color w:val="auto"/>
          <w:kern w:val="0"/>
          <w:sz w:val="24"/>
          <w:szCs w:val="24"/>
          <w:lang w:val="ru-RU" w:eastAsia="en-US" w:bidi="ar-SA"/>
        </w:rPr>
        <w:t xml:space="preserve">ХХХХХХ </w:t>
      </w:r>
      <w:r>
        <w:rPr>
          <w:rFonts w:eastAsia="Times New Roman" w:cs="Times New Roman" w:ascii="PT Astra Serif" w:hAnsi="PT Astra Serif"/>
          <w:sz w:val="22"/>
          <w:szCs w:val="22"/>
          <w:lang w:eastAsia="ru-RU"/>
        </w:rPr>
        <w:t>с приложенными документами;</w:t>
      </w:r>
    </w:p>
    <w:p>
      <w:pPr>
        <w:pStyle w:val="Normal"/>
        <w:numPr>
          <w:ilvl w:val="0"/>
          <w:numId w:val="6"/>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претензии от  </w:t>
      </w:r>
      <w:r>
        <w:rPr>
          <w:rFonts w:eastAsia="Calibri" w:cs="Times New Roman" w:ascii="PT Astra Serif" w:hAnsi="PT Astra Serif" w:eastAsiaTheme="minorHAnsi"/>
          <w:color w:val="auto"/>
          <w:kern w:val="0"/>
          <w:sz w:val="24"/>
          <w:szCs w:val="24"/>
          <w:lang w:val="ru-RU" w:eastAsia="en-US" w:bidi="ar-SA"/>
        </w:rPr>
        <w:t>ХХХХХХ</w:t>
      </w:r>
    </w:p>
    <w:p>
      <w:pPr>
        <w:pStyle w:val="Normal"/>
        <w:numPr>
          <w:ilvl w:val="0"/>
          <w:numId w:val="7"/>
        </w:numPr>
        <w:spacing w:lineRule="auto" w:line="240" w:before="0" w:after="0"/>
        <w:jc w:val="both"/>
        <w:rPr>
          <w:sz w:val="22"/>
          <w:szCs w:val="22"/>
        </w:rPr>
      </w:pPr>
      <w:r>
        <w:rPr>
          <w:rFonts w:eastAsia="Times New Roman" w:cs="Times New Roman" w:ascii="PT Astra Serif" w:hAnsi="PT Astra Serif"/>
          <w:sz w:val="22"/>
          <w:szCs w:val="22"/>
          <w:lang w:eastAsia="ru-RU"/>
        </w:rPr>
        <w:t>Копия реестра постовых отправлений;</w:t>
      </w:r>
    </w:p>
    <w:p>
      <w:pPr>
        <w:pStyle w:val="Normal"/>
        <w:numPr>
          <w:ilvl w:val="0"/>
          <w:numId w:val="8"/>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ЕГРН на земельный участок;</w:t>
      </w:r>
    </w:p>
    <w:p>
      <w:pPr>
        <w:pStyle w:val="Normal"/>
        <w:numPr>
          <w:ilvl w:val="0"/>
          <w:numId w:val="9"/>
        </w:numPr>
        <w:spacing w:lineRule="auto" w:line="240" w:before="0" w:after="0"/>
        <w:jc w:val="both"/>
        <w:rPr>
          <w:sz w:val="22"/>
          <w:szCs w:val="22"/>
        </w:rPr>
      </w:pPr>
      <w:r>
        <w:rPr>
          <w:rFonts w:eastAsia="Times New Roman" w:cs="Times New Roman" w:ascii="PT Astra Serif" w:hAnsi="PT Astra Serif"/>
          <w:sz w:val="22"/>
          <w:szCs w:val="22"/>
          <w:lang w:eastAsia="ru-RU"/>
        </w:rPr>
        <w:t xml:space="preserve">Копия выписки из ЕГРЮЛ в отношении </w:t>
      </w:r>
      <w:r>
        <w:rPr>
          <w:rFonts w:eastAsia="Calibri" w:cs="Times New Roman" w:ascii="PT Astra Serif" w:hAnsi="PT Astra Serif" w:eastAsiaTheme="minorHAnsi"/>
          <w:color w:val="auto"/>
          <w:kern w:val="0"/>
          <w:sz w:val="24"/>
          <w:szCs w:val="24"/>
          <w:lang w:val="ru-RU" w:eastAsia="en-US" w:bidi="ar-SA"/>
        </w:rPr>
        <w:t>ХХХХХХ</w:t>
      </w:r>
      <w:r>
        <w:rPr>
          <w:rFonts w:eastAsia="Times New Roman" w:cs="Times New Roman" w:ascii="PT Astra Serif" w:hAnsi="PT Astra Serif"/>
          <w:sz w:val="22"/>
          <w:szCs w:val="22"/>
          <w:lang w:eastAsia="ru-RU"/>
        </w:rPr>
        <w:t>»;</w:t>
      </w:r>
    </w:p>
    <w:p>
      <w:pPr>
        <w:pStyle w:val="Normal"/>
        <w:numPr>
          <w:ilvl w:val="0"/>
          <w:numId w:val="10"/>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ЕГРЮЛ в отношении истца;</w:t>
      </w:r>
    </w:p>
    <w:p>
      <w:pPr>
        <w:pStyle w:val="Normal"/>
        <w:numPr>
          <w:ilvl w:val="0"/>
          <w:numId w:val="11"/>
        </w:numPr>
        <w:spacing w:lineRule="auto" w:line="240" w:before="0" w:after="0"/>
        <w:jc w:val="both"/>
        <w:rPr>
          <w:sz w:val="22"/>
          <w:szCs w:val="22"/>
        </w:rPr>
      </w:pPr>
      <w:r>
        <w:rPr>
          <w:rFonts w:cs="Times New Roman" w:ascii="PT Astra Serif" w:hAnsi="PT Astra Serif"/>
          <w:sz w:val="22"/>
          <w:szCs w:val="22"/>
        </w:rPr>
        <w:t xml:space="preserve">Доверенность представителя, подписавшего исковое заявление. </w:t>
      </w:r>
    </w:p>
    <w:p>
      <w:pPr>
        <w:pStyle w:val="ListParagraph"/>
        <w:numPr>
          <w:ilvl w:val="0"/>
          <w:numId w:val="12"/>
        </w:numPr>
        <w:spacing w:lineRule="auto" w:line="240" w:before="0" w:after="0"/>
        <w:ind w:left="284" w:hanging="0"/>
        <w:contextualSpacing/>
        <w:jc w:val="both"/>
        <w:rPr>
          <w:sz w:val="22"/>
          <w:szCs w:val="22"/>
        </w:rPr>
      </w:pPr>
      <w:r>
        <w:rPr>
          <w:rFonts w:eastAsia="Times New Roman" w:cs="Times New Roman" w:ascii="PT Astra Serif" w:hAnsi="PT Astra Serif"/>
          <w:sz w:val="22"/>
          <w:szCs w:val="22"/>
          <w:lang w:eastAsia="ru-RU"/>
        </w:rPr>
        <w:t>Копия почтовых реестров о направлении иска с приложениями лицам участвующим в деле</w:t>
      </w:r>
      <w:r>
        <w:rPr>
          <w:rFonts w:cs="Times New Roman" w:ascii="PT Astra Serif" w:hAnsi="PT Astra Serif"/>
          <w:sz w:val="22"/>
          <w:szCs w:val="22"/>
        </w:rPr>
        <w:t>.</w:t>
      </w:r>
    </w:p>
    <w:p>
      <w:pPr>
        <w:pStyle w:val="ListParagraph"/>
        <w:numPr>
          <w:ilvl w:val="0"/>
          <w:numId w:val="13"/>
        </w:numPr>
        <w:spacing w:lineRule="auto" w:line="240" w:before="0" w:after="0"/>
        <w:ind w:left="284" w:hanging="0"/>
        <w:contextualSpacing/>
        <w:jc w:val="both"/>
        <w:rPr>
          <w:sz w:val="22"/>
          <w:szCs w:val="22"/>
        </w:rPr>
      </w:pPr>
      <w:r>
        <w:rPr>
          <w:rFonts w:cs="Times New Roman" w:ascii="PT Astra Serif" w:hAnsi="PT Astra Serif"/>
          <w:bCs/>
          <w:sz w:val="22"/>
          <w:szCs w:val="22"/>
        </w:rPr>
        <w:t xml:space="preserve">Копия диплома представителя. </w:t>
      </w:r>
    </w:p>
    <w:p>
      <w:pPr>
        <w:pStyle w:val="ListParagraph"/>
        <w:numPr>
          <w:ilvl w:val="0"/>
          <w:numId w:val="14"/>
        </w:numPr>
        <w:spacing w:lineRule="auto" w:line="240" w:before="0" w:after="0"/>
        <w:contextualSpacing/>
        <w:jc w:val="both"/>
        <w:rPr>
          <w:sz w:val="22"/>
          <w:szCs w:val="22"/>
        </w:rPr>
      </w:pPr>
      <w:r>
        <w:rPr>
          <w:rFonts w:cs="Times New Roman" w:ascii="PT Astra Serif" w:hAnsi="PT Astra Serif"/>
          <w:bCs/>
          <w:color w:val="000000" w:themeColor="text1"/>
          <w:sz w:val="22"/>
          <w:szCs w:val="22"/>
        </w:rPr>
        <w:t>Копия положения о Мизо ТО от 13.10.2016 № 452;</w:t>
      </w:r>
    </w:p>
    <w:p>
      <w:pPr>
        <w:pStyle w:val="ListParagraph"/>
        <w:numPr>
          <w:ilvl w:val="0"/>
          <w:numId w:val="15"/>
        </w:numPr>
        <w:spacing w:lineRule="auto" w:line="240" w:before="0" w:after="0"/>
        <w:contextualSpacing/>
        <w:jc w:val="both"/>
        <w:rPr>
          <w:sz w:val="22"/>
          <w:szCs w:val="22"/>
        </w:rPr>
      </w:pPr>
      <w:r>
        <w:rPr>
          <w:rFonts w:cs="Times New Roman" w:ascii="PT Astra Serif" w:hAnsi="PT Astra Serif"/>
          <w:bCs/>
          <w:color w:val="000000" w:themeColor="text1"/>
          <w:sz w:val="22"/>
          <w:szCs w:val="22"/>
        </w:rPr>
        <w:t>Копия распоряжения от 23.09.2021 № 580 -рг;</w:t>
      </w:r>
    </w:p>
    <w:p>
      <w:pPr>
        <w:pStyle w:val="ListParagraph"/>
        <w:spacing w:lineRule="auto" w:line="240" w:before="0" w:after="0"/>
        <w:ind w:left="644" w:hanging="0"/>
        <w:contextualSpacing/>
        <w:jc w:val="both"/>
        <w:rPr>
          <w:rFonts w:ascii="PT Astra Serif" w:hAnsi="PT Astra Serif" w:cs="Times New Roman"/>
          <w:bCs/>
          <w:sz w:val="22"/>
          <w:szCs w:val="22"/>
        </w:rPr>
      </w:pPr>
      <w:r>
        <w:rPr>
          <w:rFonts w:cs="Times New Roman" w:ascii="PT Astra Serif" w:hAnsi="PT Astra Serif"/>
          <w:bCs/>
          <w:sz w:val="22"/>
          <w:szCs w:val="22"/>
        </w:rPr>
      </w:r>
      <w:bookmarkStart w:id="0" w:name="_GoBack"/>
      <w:bookmarkStart w:id="1" w:name="_GoBack"/>
      <w:bookmarkEnd w:id="1"/>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r>
    </w:p>
    <w:p>
      <w:pPr>
        <w:pStyle w:val="Normal"/>
        <w:spacing w:lineRule="auto" w:line="240" w:before="0" w:after="0"/>
        <w:rPr>
          <w:sz w:val="26"/>
          <w:szCs w:val="26"/>
        </w:rPr>
      </w:pPr>
      <w:r>
        <w:rPr>
          <w:rFonts w:eastAsia="Calibri" w:cs="Times New Roman" w:ascii="PT Astra Serif" w:hAnsi="PT Astra Serif"/>
          <w:b/>
          <w:sz w:val="26"/>
          <w:szCs w:val="26"/>
        </w:rPr>
        <w:t xml:space="preserve">Представитель министерства имущественных </w:t>
      </w:r>
    </w:p>
    <w:p>
      <w:pPr>
        <w:pStyle w:val="Normal"/>
        <w:spacing w:lineRule="auto" w:line="240" w:before="0" w:after="0"/>
        <w:rPr>
          <w:sz w:val="26"/>
          <w:szCs w:val="26"/>
        </w:rPr>
      </w:pPr>
      <w:r>
        <w:rPr>
          <w:rFonts w:eastAsia="Calibri" w:cs="Times New Roman" w:ascii="PT Astra Serif" w:hAnsi="PT Astra Serif"/>
          <w:b/>
          <w:sz w:val="26"/>
          <w:szCs w:val="26"/>
        </w:rPr>
        <w:t xml:space="preserve">и земельных отношений Тульской области  </w:t>
      </w:r>
    </w:p>
    <w:p>
      <w:pPr>
        <w:pStyle w:val="Normal"/>
        <w:spacing w:lineRule="auto" w:line="240" w:before="0" w:after="0"/>
        <w:rPr>
          <w:sz w:val="26"/>
          <w:szCs w:val="26"/>
        </w:rPr>
      </w:pPr>
      <w:r>
        <w:rPr>
          <w:rFonts w:eastAsia="Calibri" w:cs="Times New Roman" w:ascii="PT Astra Serif" w:hAnsi="PT Astra Serif"/>
          <w:b/>
          <w:sz w:val="26"/>
          <w:szCs w:val="26"/>
        </w:rPr>
        <w:t xml:space="preserve">по доверенности                                                                                           </w:t>
      </w:r>
      <w:r>
        <w:rPr>
          <w:rFonts w:eastAsia="Calibri" w:cs="Times New Roman" w:ascii="PT Astra Serif" w:hAnsi="PT Astra Serif" w:eastAsiaTheme="minorHAnsi"/>
          <w:b/>
          <w:color w:val="auto"/>
          <w:kern w:val="0"/>
          <w:sz w:val="24"/>
          <w:szCs w:val="24"/>
          <w:lang w:val="ru-RU" w:eastAsia="en-US" w:bidi="ar-SA"/>
        </w:rPr>
        <w:t>ХХХХХХ</w:t>
      </w:r>
      <w:r>
        <w:rPr>
          <w:rFonts w:eastAsia="Calibri" w:cs="Times New Roman" w:ascii="PT Astra Serif" w:hAnsi="PT Astra Serif"/>
          <w:b/>
          <w:sz w:val="26"/>
          <w:szCs w:val="26"/>
        </w:rPr>
        <w:t xml:space="preserve">                                                                                 </w:t>
      </w:r>
    </w:p>
    <w:p>
      <w:pPr>
        <w:pStyle w:val="Normal"/>
        <w:spacing w:lineRule="auto" w:line="240" w:before="0" w:after="0"/>
        <w:rPr>
          <w:sz w:val="22"/>
          <w:szCs w:val="22"/>
        </w:rPr>
      </w:pPr>
      <w:r>
        <w:rPr>
          <w:rFonts w:eastAsia="Calibri" w:cs="Times New Roman" w:ascii="PT Astra Serif" w:hAnsi="PT Astra Serif"/>
          <w:sz w:val="22"/>
          <w:szCs w:val="22"/>
        </w:rPr>
        <w:t xml:space="preserve">Тел.  </w:t>
      </w:r>
      <w:r>
        <w:rPr>
          <w:rFonts w:eastAsia="Calibri" w:cs="Times New Roman" w:ascii="PT Astra Serif" w:hAnsi="PT Astra Serif" w:eastAsiaTheme="minorHAnsi"/>
          <w:color w:val="auto"/>
          <w:kern w:val="0"/>
          <w:sz w:val="24"/>
          <w:szCs w:val="24"/>
          <w:lang w:val="ru-RU" w:eastAsia="en-US" w:bidi="ar-SA"/>
        </w:rPr>
        <w:t>ХХХХХХ</w:t>
      </w:r>
    </w:p>
    <w:sectPr>
      <w:headerReference w:type="default" r:id="rId2"/>
      <w:footerReference w:type="default" r:id="rId3"/>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459681311"/>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3</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A58F3-1307-4480-9BFE-B9C70F10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LibreOffice/7.2.0.4$Linux_X86_64 LibreOffice_project/9a9c6381e3f7a62afc1329bd359cc48accb6435b</Application>
  <AppVersion>15.0000</AppVersion>
  <Pages>4</Pages>
  <Words>1160</Words>
  <Characters>7715</Characters>
  <CharactersWithSpaces>9009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2022-04-25T08:47:00Z</dcterms:created>
  <dc:creator>Кузнецов Михаил Вадимович</dc:creator>
  <dc:description/>
  <dc:language>ru-RU</dc:language>
  <cp:lastModifiedBy/>
  <cp:lastPrinted>2020-03-23T13:10:00Z</cp:lastPrinted>
  <dcterms:modified xsi:type="dcterms:W3CDTF">2023-11-09T12:10:15Z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