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42"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4361"/>
        <w:gridCol w:w="5880"/>
      </w:tblGrid>
      <w:tr>
        <w:trPr>
          <w:trHeight w:val="3783" w:hRule="atLeast"/>
        </w:trPr>
        <w:tc>
          <w:tcPr>
            <w:tcW w:w="4361"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09.06.2023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r>
          </w:p>
        </w:tc>
        <w:tc>
          <w:tcPr>
            <w:tcW w:w="5880" w:type="dxa"/>
            <w:tcBorders/>
          </w:tcPr>
          <w:p>
            <w:pPr>
              <w:pStyle w:val="Normal"/>
              <w:widowControl w:val="false"/>
              <w:pBdr>
                <w:bottom w:val="single" w:sz="4" w:space="1" w:color="000000"/>
              </w:pBdr>
              <w:spacing w:lineRule="auto" w:line="240" w:before="0" w:after="0"/>
              <w:jc w:val="center"/>
              <w:rPr>
                <w:rFonts w:ascii="PT Astra Serif" w:hAnsi="PT Astra Serif" w:cs="Times New Roman"/>
                <w:b/>
                <w:b/>
                <w:sz w:val="24"/>
                <w:szCs w:val="24"/>
              </w:rPr>
            </w:pPr>
            <w:r>
              <w:rPr>
                <w:rFonts w:cs="Times New Roman" w:ascii="PT Astra Serif" w:hAnsi="PT Astra Serif"/>
                <w:b/>
                <w:sz w:val="24"/>
                <w:szCs w:val="24"/>
              </w:rPr>
              <w:t>Центральный районный  суд г. Тулы</w:t>
            </w:r>
          </w:p>
          <w:p>
            <w:pPr>
              <w:pStyle w:val="Normal"/>
              <w:widowControl w:val="false"/>
              <w:spacing w:lineRule="auto" w:line="240" w:before="0" w:after="0"/>
              <w:jc w:val="center"/>
              <w:rPr>
                <w:rFonts w:ascii="PT Astra Serif" w:hAnsi="PT Astra Serif"/>
                <w:sz w:val="20"/>
                <w:szCs w:val="20"/>
              </w:rPr>
            </w:pPr>
            <w:r>
              <w:rPr>
                <w:rFonts w:ascii="PT Astra Serif" w:hAnsi="PT Astra Serif"/>
                <w:sz w:val="20"/>
                <w:szCs w:val="20"/>
              </w:rPr>
              <w:t>300002, г. Тула, ул. Луначарского, д. 76</w:t>
            </w:r>
          </w:p>
          <w:p>
            <w:pPr>
              <w:pStyle w:val="Normal"/>
              <w:widowControl w:val="false"/>
              <w:spacing w:lineRule="auto" w:line="240" w:before="0" w:after="0"/>
              <w:jc w:val="center"/>
              <w:rPr>
                <w:rFonts w:ascii="PT Astra Serif" w:hAnsi="PT Astra Serif"/>
                <w:sz w:val="20"/>
                <w:szCs w:val="20"/>
              </w:rPr>
            </w:pPr>
            <w:r>
              <w:rPr>
                <w:rFonts w:ascii="PT Astra Serif" w:hAnsi="PT Astra Serif"/>
                <w:sz w:val="20"/>
                <w:szCs w:val="20"/>
              </w:rPr>
            </w:r>
          </w:p>
          <w:p>
            <w:pPr>
              <w:pStyle w:val="Normal"/>
              <w:widowControl w:val="false"/>
              <w:spacing w:lineRule="auto" w:line="240" w:before="0" w:after="0"/>
              <w:jc w:val="center"/>
              <w:rPr>
                <w:rFonts w:ascii="PT Astra Serif" w:hAnsi="PT Astra Serif"/>
                <w:sz w:val="20"/>
                <w:szCs w:val="20"/>
              </w:rPr>
            </w:pPr>
            <w:r>
              <w:rPr>
                <w:rFonts w:ascii="PT Astra Serif" w:hAnsi="PT Astra Serif"/>
                <w:sz w:val="20"/>
                <w:szCs w:val="20"/>
              </w:rPr>
            </w:r>
          </w:p>
          <w:p>
            <w:pPr>
              <w:pStyle w:val="Normal"/>
              <w:widowControl w:val="false"/>
              <w:tabs>
                <w:tab w:val="clear" w:pos="708"/>
                <w:tab w:val="left" w:pos="5786" w:leader="none"/>
              </w:tabs>
              <w:spacing w:lineRule="auto" w:line="240" w:before="0" w:after="0"/>
              <w:ind w:left="34" w:right="34" w:hanging="0"/>
              <w:jc w:val="center"/>
              <w:rPr>
                <w:rFonts w:ascii="PT Astra Serif" w:hAnsi="PT Astra Serif" w:eastAsia="Calibri"/>
                <w:b/>
                <w:b/>
                <w:sz w:val="24"/>
                <w:szCs w:val="24"/>
              </w:rPr>
            </w:pPr>
            <w:r>
              <w:rPr>
                <w:rFonts w:eastAsia="Calibri" w:ascii="PT Astra Serif" w:hAnsi="PT Astra Serif"/>
                <w:b/>
                <w:sz w:val="24"/>
                <w:szCs w:val="24"/>
              </w:rPr>
              <w:t>Истец:</w:t>
            </w:r>
          </w:p>
          <w:p>
            <w:pPr>
              <w:pStyle w:val="Normal"/>
              <w:widowControl w:val="false"/>
              <w:pBdr>
                <w:bottom w:val="single" w:sz="4" w:space="1" w:color="000000"/>
              </w:pBdr>
              <w:tabs>
                <w:tab w:val="clear" w:pos="708"/>
                <w:tab w:val="left" w:pos="5786" w:leader="none"/>
              </w:tabs>
              <w:spacing w:lineRule="auto" w:line="240" w:before="0" w:after="0"/>
              <w:ind w:left="34" w:right="34" w:hanging="0"/>
              <w:jc w:val="center"/>
              <w:rPr>
                <w:rFonts w:ascii="PT Astra Serif" w:hAnsi="PT Astra Serif" w:eastAsia="Calibri"/>
                <w:sz w:val="24"/>
                <w:szCs w:val="24"/>
              </w:rPr>
            </w:pPr>
            <w:r>
              <w:rPr>
                <w:rFonts w:eastAsia="Calibri" w:ascii="PT Astra Serif" w:hAnsi="PT Astra Serif"/>
                <w:sz w:val="24"/>
                <w:szCs w:val="24"/>
              </w:rPr>
              <w:t>Министерство имущественных и земельных отношений Тульской области</w:t>
            </w:r>
          </w:p>
          <w:p>
            <w:pPr>
              <w:pStyle w:val="Normal"/>
              <w:widowControl w:val="false"/>
              <w:pBdr>
                <w:bottom w:val="single" w:sz="4" w:space="1" w:color="000000"/>
              </w:pBdr>
              <w:tabs>
                <w:tab w:val="clear" w:pos="708"/>
                <w:tab w:val="left" w:pos="5786" w:leader="none"/>
              </w:tabs>
              <w:spacing w:lineRule="auto" w:line="240" w:before="0" w:after="0"/>
              <w:ind w:left="34" w:right="34" w:hanging="0"/>
              <w:jc w:val="center"/>
              <w:rPr>
                <w:rFonts w:ascii="PT Astra Serif" w:hAnsi="PT Astra Serif" w:eastAsia="Calibri"/>
                <w:sz w:val="24"/>
                <w:szCs w:val="24"/>
              </w:rPr>
            </w:pPr>
            <w:r>
              <w:rPr>
                <w:rFonts w:ascii="PT Astra Serif" w:hAnsi="PT Astra Serif"/>
                <w:sz w:val="24"/>
                <w:szCs w:val="24"/>
              </w:rPr>
              <w:t xml:space="preserve">ИНН: </w:t>
            </w:r>
            <w:r>
              <w:rPr>
                <w:rFonts w:eastAsia="Calibri" w:cs="" w:ascii="PT Astra Serif" w:hAnsi="PT Astra Serif" w:cstheme="minorBidi" w:eastAsiaTheme="minorHAnsi"/>
                <w:color w:val="auto"/>
                <w:kern w:val="0"/>
                <w:sz w:val="24"/>
                <w:szCs w:val="24"/>
                <w:lang w:val="ru-RU" w:eastAsia="en-US" w:bidi="ar-SA"/>
              </w:rPr>
              <w:t>ХХХХХХ</w:t>
            </w:r>
            <w:r>
              <w:rPr>
                <w:rFonts w:ascii="PT Astra Serif" w:hAnsi="PT Astra Serif"/>
                <w:sz w:val="24"/>
                <w:szCs w:val="24"/>
              </w:rPr>
              <w:t>; ОГРН:</w:t>
            </w:r>
            <w:r>
              <w:rPr>
                <w:rFonts w:cs="TimesNewRomanPSMT" w:ascii="PT Astra Serif" w:hAnsi="PT Astra Serif"/>
                <w:sz w:val="24"/>
                <w:szCs w:val="24"/>
              </w:rPr>
              <w:t xml:space="preserve">  </w:t>
            </w:r>
            <w:r>
              <w:rPr>
                <w:rFonts w:eastAsia="Calibri" w:cs="" w:ascii="PT Astra Serif" w:hAnsi="PT Astra Serif" w:cstheme="minorBidi" w:eastAsiaTheme="minorHAnsi"/>
                <w:color w:val="auto"/>
                <w:kern w:val="0"/>
                <w:sz w:val="24"/>
                <w:szCs w:val="24"/>
                <w:lang w:val="ru-RU" w:eastAsia="en-US" w:bidi="ar-SA"/>
              </w:rPr>
              <w:t>ХХХХХХ</w:t>
            </w:r>
          </w:p>
          <w:p>
            <w:pPr>
              <w:pStyle w:val="Normal"/>
              <w:widowControl w:val="false"/>
              <w:spacing w:lineRule="auto" w:line="240" w:before="0" w:after="0"/>
              <w:jc w:val="center"/>
              <w:rPr>
                <w:rFonts w:ascii="PT Astra Serif" w:hAnsi="PT Astra Serif"/>
                <w:sz w:val="20"/>
                <w:szCs w:val="20"/>
              </w:rPr>
            </w:pPr>
            <w:r>
              <w:rPr>
                <w:rFonts w:ascii="PT Astra Serif" w:hAnsi="PT Astra Serif"/>
                <w:sz w:val="20"/>
                <w:szCs w:val="20"/>
              </w:rPr>
              <w:t>ХХХХХХ</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Ответчик: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spacing w:lineRule="auto" w:line="240" w:before="0" w:after="0"/>
              <w:jc w:val="center"/>
              <w:rPr>
                <w:rFonts w:ascii="PT Astra Serif" w:hAnsi="PT Astra Serif" w:cs="Times New Roman"/>
                <w:sz w:val="24"/>
                <w:szCs w:val="24"/>
              </w:rPr>
            </w:pP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sz w:val="24"/>
                <w:szCs w:val="24"/>
              </w:rPr>
              <w:t>ХХХ</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sz w:val="24"/>
                <w:szCs w:val="24"/>
              </w:rPr>
              <w:t xml:space="preserve"> г.р.</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4"/>
                <w:szCs w:val="24"/>
              </w:rPr>
            </w:pPr>
            <w:r>
              <w:rPr>
                <w:rFonts w:eastAsia="Calibri" w:cs="" w:ascii="PT Astra Serif" w:hAnsi="PT Astra Serif" w:cstheme="minorBidi" w:eastAsiaTheme="minorHAnsi"/>
                <w:color w:val="auto"/>
                <w:kern w:val="0"/>
                <w:sz w:val="24"/>
                <w:szCs w:val="24"/>
                <w:lang w:val="ru-RU" w:eastAsia="en-US" w:bidi="ar-SA"/>
              </w:rPr>
              <w:t>ХХХХХХ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 xml:space="preserve">урож.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sz w:val="20"/>
                <w:szCs w:val="20"/>
              </w:rPr>
              <w:t xml:space="preserve">, паспорт серии </w:t>
            </w:r>
            <w:r>
              <w:rPr>
                <w:rFonts w:eastAsia="Calibri" w:cs="Times New Roman" w:ascii="PT Astra Serif" w:hAnsi="PT Astra Serif" w:eastAsiaTheme="minorHAnsi"/>
                <w:color w:val="auto"/>
                <w:kern w:val="0"/>
                <w:sz w:val="20"/>
                <w:szCs w:val="20"/>
                <w:lang w:val="ru-RU" w:eastAsia="en-US" w:bidi="ar-SA"/>
              </w:rPr>
              <w:t>хххх</w:t>
            </w:r>
            <w:r>
              <w:rPr>
                <w:rFonts w:cs="Times New Roman" w:ascii="PT Astra Serif" w:hAnsi="PT Astra Serif"/>
                <w:sz w:val="20"/>
                <w:szCs w:val="20"/>
              </w:rPr>
              <w:t xml:space="preserve"> № </w:t>
            </w:r>
            <w:r>
              <w:rPr>
                <w:rFonts w:eastAsia="Calibri" w:cs="Times New Roman" w:ascii="PT Astra Serif" w:hAnsi="PT Astra Serif" w:eastAsiaTheme="minorHAnsi"/>
                <w:color w:val="auto"/>
                <w:kern w:val="0"/>
                <w:sz w:val="20"/>
                <w:szCs w:val="20"/>
                <w:lang w:val="ru-RU" w:eastAsia="en-US" w:bidi="ar-SA"/>
              </w:rPr>
              <w:t>хххххх</w:t>
            </w:r>
            <w:r>
              <w:rPr>
                <w:rFonts w:cs="Times New Roman" w:ascii="PT Astra Serif" w:hAnsi="PT Astra Serif"/>
                <w:sz w:val="20"/>
                <w:szCs w:val="20"/>
              </w:rPr>
              <w:t xml:space="preserve">, выдан </w:t>
            </w:r>
            <w:r>
              <w:rPr>
                <w:rFonts w:eastAsia="Calibri" w:cs="Times New Roman" w:ascii="PT Astra Serif" w:hAnsi="PT Astra Serif" w:eastAsiaTheme="minorHAnsi"/>
                <w:color w:val="auto"/>
                <w:kern w:val="0"/>
                <w:sz w:val="20"/>
                <w:szCs w:val="20"/>
                <w:lang w:val="ru-RU" w:eastAsia="en-US" w:bidi="ar-SA"/>
              </w:rPr>
              <w:t xml:space="preserve">ххххххх </w:t>
            </w:r>
            <w:r>
              <w:rPr>
                <w:rFonts w:eastAsia="Calibri" w:cs="" w:ascii="PT Astra Serif" w:hAnsi="PT Astra Serif" w:cstheme="minorBidi" w:eastAsiaTheme="minorHAnsi"/>
                <w:color w:val="auto"/>
                <w:kern w:val="0"/>
                <w:sz w:val="24"/>
                <w:szCs w:val="24"/>
                <w:lang w:val="ru-RU" w:eastAsia="en-US" w:bidi="ar-SA"/>
              </w:rPr>
              <w:t>ХХХХХХ</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eastAsia="Times New Roman" w:cs="Times New Roman"/>
                <w:bCs/>
                <w:sz w:val="20"/>
                <w:szCs w:val="20"/>
                <w:lang w:eastAsia="ru-RU"/>
              </w:rPr>
            </w:pPr>
            <w:r>
              <w:rPr>
                <w:rFonts w:eastAsia="Times New Roman" w:cs="Times New Roman" w:ascii="PT Astra Serif" w:hAnsi="PT Astra Serif"/>
                <w:bCs/>
                <w:sz w:val="20"/>
                <w:szCs w:val="20"/>
                <w:lang w:eastAsia="ru-RU"/>
              </w:rPr>
            </w:r>
          </w:p>
        </w:tc>
      </w:tr>
    </w:tbl>
    <w:p>
      <w:pPr>
        <w:pStyle w:val="Normal"/>
        <w:tabs>
          <w:tab w:val="clear" w:pos="708"/>
          <w:tab w:val="left" w:pos="9180" w:leader="none"/>
        </w:tabs>
        <w:spacing w:lineRule="auto" w:line="240" w:before="0" w:after="0"/>
        <w:ind w:right="282" w:hanging="0"/>
        <w:jc w:val="center"/>
        <w:rPr>
          <w:rFonts w:ascii="PT Astra Serif" w:hAnsi="PT Astra Serif" w:cs="Times New Roman"/>
          <w:b/>
          <w:b/>
          <w:sz w:val="24"/>
          <w:szCs w:val="24"/>
        </w:rPr>
      </w:pPr>
      <w:r>
        <w:rPr>
          <w:rFonts w:cs="Times New Roman" w:ascii="PT Astra Serif" w:hAnsi="PT Astra Serif"/>
          <w:b/>
          <w:sz w:val="24"/>
          <w:szCs w:val="24"/>
        </w:rPr>
        <w:t>ИСКОВОЕ ЗАЯВЛЕНИЕ</w:t>
      </w:r>
    </w:p>
    <w:p>
      <w:pPr>
        <w:pStyle w:val="Normal"/>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о взыскании задолженности, пеней по арендной плате</w:t>
      </w:r>
    </w:p>
    <w:p>
      <w:pPr>
        <w:pStyle w:val="Normal"/>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по договору аренды</w:t>
      </w:r>
    </w:p>
    <w:p>
      <w:pPr>
        <w:pStyle w:val="Normal"/>
        <w:spacing w:lineRule="auto" w:line="240" w:before="0" w:after="0"/>
        <w:ind w:right="-1" w:hanging="0"/>
        <w:jc w:val="both"/>
        <w:rPr>
          <w:rFonts w:ascii="PT Astra Serif" w:hAnsi="PT Astra Serif" w:cs="Times New Roman"/>
          <w:sz w:val="24"/>
          <w:szCs w:val="24"/>
        </w:rPr>
      </w:pPr>
      <w:r>
        <w:rPr>
          <w:rFonts w:cs="Times New Roman" w:ascii="PT Astra Serif" w:hAnsi="PT Astra Serif"/>
          <w:sz w:val="24"/>
          <w:szCs w:val="24"/>
        </w:rPr>
      </w:r>
    </w:p>
    <w:p>
      <w:pPr>
        <w:pStyle w:val="Normal"/>
        <w:spacing w:lineRule="auto" w:line="240" w:before="0" w:after="0"/>
        <w:ind w:left="0" w:right="0" w:firstLine="709"/>
        <w:jc w:val="both"/>
        <w:rPr/>
      </w:pP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года между Комитетом имущественных и земельных отношений администрации г. Тулы и гражданином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составлен и подписан договор аренды земельного участка №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Согласно п. 1.1. Арендодатель предоставляет, а Арендатор принимает в аренду земельный участок с К№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площадью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кв.м., расположенный по адресу: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для эксплуатации нежилого здания административно-торгового назначения.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Договор заключен на срок 5 лет (п. 3.1 Договора).</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В соответствии с п. 3.3. Договора, если арендатор продолжает пользоваться земельным участком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В настоящее время договор действующий.</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В связи с принятием Закона Тульской области от 10.12.2008 № 1168-ЗТО «О распоряжении земельными участками, государственная собственность на которые не разграничена, в административном центре Тульской области – городе Туле» распоряжение земельными участками с 01.01.2009, государственная собственность на которые не разграничена, в административном центре Тульской области – городе Туле осуществляется администрацией Тульской области.</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В соответствии с Постановлением администрации Тульской области от 04.05.2009 № 293 «О внесении дополнений в Постановление администрации Тульской области от 21.01.2008 № 34 «Об утверждении Положения о департаменте имущественных и земельных отношений Тульской области» департамент имущественных и земельных отношений Тульской области выступает в качестве арендодателя при заключении договоров аренды земельных участков, государственная собственность на которые не разграничена, в административном центре Тульской области - городе Туле, в том числе по действующим и вновь заключаемым договорам аренды, а также по прекращенным договорам аренды, обязательства по которым не исполнены.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Указом губернатора Тульской области № 1 от 15.09.2011 «О правительстве Тульской области и органах исполнительной власти Тульской области» департамент имущественных и земельных отношений Тульской области переименован в министерство имущественных и земельных отношений Тульской области.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28.09.2011 постановлением правительства Тульской области № 6 утверждено Положение о министерстве имущественных и земельных отношений Тульской области.</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В соответствии с подпунктом 36 п. 4 названного Положения Министерство имущественных и земельных отношений Тульской области выступает в качестве арендодателя при заключении договоров аренды земельных участков, государственная собственность на которые не разграничена, в административном центре Тульской области - городе Туле, в том числе по действующим и вновь заключаемым договорам аренды, а также по прекращенным договорам аренды, обязательства по которым не исполнены.</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Министерство экономического развития Тульской области является правопреемником министерства имущественных и земельных отношений Тульской области в связи с реорганизацией министерства и министерства имущественных и земельных отношений Тульской области путем присоединения министерства имущественных и земельных отношений к министерству экономического развития Тульской области  на основании указа Губернатора Тульской области от 2 ноября 2015 года № 317 «Вопросы совершенствования структуры органов исполнительной власти Тульской области.</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Указом губернатора Тульской области от 23.09.2016 N 120 постановлено реорганизовать министерство экономического развития Тульской области путем выделения из него министерства имущественных и земельных отношений Тульской области.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Постановлением правительства Тульской области от 13.10.2016 N 452 утверждено Положение о министерстве имущественных и земельных отношений Тульской области.</w:t>
      </w:r>
    </w:p>
    <w:p>
      <w:pPr>
        <w:pStyle w:val="Normal"/>
        <w:spacing w:lineRule="auto" w:line="240" w:before="0" w:after="0"/>
        <w:ind w:left="0" w:right="0" w:firstLine="709"/>
        <w:jc w:val="both"/>
        <w:rPr/>
      </w:pPr>
      <w:r>
        <w:rPr>
          <w:rFonts w:ascii="PT Astra Serif" w:hAnsi="PT Astra Serif"/>
          <w:sz w:val="24"/>
          <w:szCs w:val="24"/>
        </w:rPr>
        <w:t>20.11.2014 г. Тульской областной Думой принят Закон № 2218-ЗТО «О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 Согласно п. 1 ст. 1, п. 2 ст. 5 названного закона, с 01.01.2015 г.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 государственная собственность на которые не разграничена.</w:t>
      </w:r>
    </w:p>
    <w:p>
      <w:pPr>
        <w:pStyle w:val="Normal"/>
        <w:spacing w:lineRule="auto" w:line="240" w:before="0" w:after="0"/>
        <w:ind w:left="0" w:right="0" w:firstLine="709"/>
        <w:jc w:val="both"/>
        <w:rPr/>
      </w:pPr>
      <w:r>
        <w:rPr>
          <w:rFonts w:ascii="PT Astra Serif" w:hAnsi="PT Astra Serif"/>
          <w:sz w:val="24"/>
          <w:szCs w:val="24"/>
        </w:rPr>
        <w:t xml:space="preserve">В соответствии со ст. 1 Закона Тульской области “О перераспределении полномочий между органами местного самоуправления муниципального образования г. Тула и органами государственной власти Тульской области” от 28.11.2019 № 118-ЗТО </w:t>
      </w:r>
      <w:r>
        <w:rPr>
          <w:rFonts w:eastAsia="Times New Roman" w:cs="Times New Roman" w:ascii="PT Astra Serif" w:hAnsi="PT Astra Serif"/>
          <w:sz w:val="24"/>
          <w:szCs w:val="24"/>
          <w:lang w:eastAsia="ru-RU"/>
        </w:rPr>
        <w:t>Правительство Тульской области осуществляет полномочия органов местного самоуправления муниципального образования город Тула: по предоставлению земельных участков, государственная собственность на которые не разграничена, расположенных                 в границах муниципального образования город Тула.</w:t>
      </w:r>
    </w:p>
    <w:p>
      <w:pPr>
        <w:pStyle w:val="Normal"/>
        <w:spacing w:lineRule="auto" w:line="240" w:before="0" w:after="0"/>
        <w:ind w:left="0" w:right="0" w:firstLine="709"/>
        <w:jc w:val="both"/>
        <w:rPr/>
      </w:pPr>
      <w:r>
        <w:rPr>
          <w:rFonts w:eastAsia="Calibri" w:ascii="PT Astra Serif" w:hAnsi="PT Astra Serif"/>
          <w:sz w:val="24"/>
          <w:szCs w:val="24"/>
          <w:lang w:eastAsia="ru-RU"/>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w:t>
      </w:r>
      <w:r>
        <w:rPr>
          <w:rFonts w:eastAsia="Times New Roman" w:cs="Times New Roman" w:ascii="PT Astra Serif" w:hAnsi="PT Astra Serif"/>
          <w:sz w:val="24"/>
          <w:szCs w:val="24"/>
          <w:lang w:eastAsia="ru-RU"/>
        </w:rPr>
        <w:t xml:space="preserve">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pPr>
        <w:pStyle w:val="Normal"/>
        <w:spacing w:lineRule="auto" w:line="240" w:before="0" w:after="0"/>
        <w:ind w:left="0" w:right="0" w:firstLine="709"/>
        <w:jc w:val="both"/>
        <w:rPr/>
      </w:pPr>
      <w:r>
        <w:rPr>
          <w:rFonts w:eastAsia="Times New Roman" w:cs="Times New Roman" w:ascii="PT Astra Serif" w:hAnsi="PT Astra Serif"/>
          <w:sz w:val="24"/>
          <w:szCs w:val="24"/>
          <w:lang w:eastAsia="ru-RU"/>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Normal"/>
        <w:spacing w:lineRule="auto" w:line="240" w:before="0" w:after="0"/>
        <w:ind w:left="0" w:right="0" w:firstLine="709"/>
        <w:jc w:val="both"/>
        <w:rPr/>
      </w:pPr>
      <w:r>
        <w:rPr>
          <w:rFonts w:eastAsia="Calibri" w:cs="Times New Roman" w:ascii="PT Astra Serif" w:hAnsi="PT Astra Serif"/>
          <w:color w:val="000000"/>
          <w:sz w:val="24"/>
          <w:szCs w:val="24"/>
        </w:rPr>
        <w:t xml:space="preserve">В силу положения п. 1 ст. 382 ГК РФ право (требование), принадлежащее кредитору на основании обязательства, может быть передано им другому лицу по сделке (уступка требования) или перейти к другому лицу на основании закона. </w:t>
      </w:r>
    </w:p>
    <w:p>
      <w:pPr>
        <w:pStyle w:val="Normal"/>
        <w:spacing w:lineRule="auto" w:line="240" w:before="0" w:after="0"/>
        <w:ind w:left="0" w:right="0" w:firstLine="709"/>
        <w:jc w:val="both"/>
        <w:rPr/>
      </w:pPr>
      <w:r>
        <w:rPr>
          <w:rFonts w:eastAsia="Calibri" w:cs="Times New Roman" w:ascii="PT Astra Serif" w:hAnsi="PT Astra Serif"/>
          <w:color w:val="000000"/>
          <w:sz w:val="24"/>
          <w:szCs w:val="24"/>
        </w:rPr>
        <w:t xml:space="preserve">Согласно п. 1 ст. 387 ГК РФ права кредитора по обязательству переходят к другому лицу на основании закона и наступления указанных в нем обстоятельств: в результате универсального </w:t>
      </w:r>
      <w:r>
        <w:rPr>
          <w:rFonts w:eastAsia="Calibri" w:cs="Times New Roman" w:ascii="PT Astra Serif" w:hAnsi="PT Astra Serif"/>
          <w:sz w:val="24"/>
          <w:szCs w:val="24"/>
        </w:rPr>
        <w:t>правопреемства в правах кредитора; по решению суда о переводе прав кредитора на другое лицо, когда возможность такого перевода предусмотрена законом; вследствие исполнения обязательства должника его поручителем или залогодателем,                    не являющимся должником по этому обязательству; при суброгации страховщику прав кредитора к должнику, ответственному за наступление страхового случая; в других случаях, предусмотренных законом.</w:t>
      </w:r>
    </w:p>
    <w:p>
      <w:pPr>
        <w:pStyle w:val="Normal"/>
        <w:spacing w:lineRule="auto" w:line="240" w:before="0" w:after="0"/>
        <w:ind w:left="0" w:right="0" w:firstLine="709"/>
        <w:jc w:val="both"/>
        <w:rPr/>
      </w:pPr>
      <w:r>
        <w:rPr>
          <w:rFonts w:eastAsia="Calibri" w:cs="Times New Roman" w:ascii="PT Astra Serif" w:hAnsi="PT Astra Serif"/>
          <w:sz w:val="24"/>
          <w:szCs w:val="24"/>
        </w:rPr>
        <w:t>Поскольку в силу прямого указания закона Министерству переданы полномочия                    по осуществлению распоряжения земельными участками, государственная собственность на которые не разграничена, в МО г. Тула, к нему перешли права арендодателя                           по Договору.</w:t>
      </w:r>
    </w:p>
    <w:p>
      <w:pPr>
        <w:pStyle w:val="Default"/>
        <w:ind w:left="0" w:right="0" w:firstLine="709"/>
        <w:jc w:val="both"/>
        <w:rPr/>
      </w:pPr>
      <w:r>
        <w:rPr>
          <w:rFonts w:eastAsia="Times New Roman" w:ascii="PT Astra Serif" w:hAnsi="PT Astra Serif"/>
          <w:lang w:eastAsia="ru-RU"/>
        </w:rPr>
        <w:t>В силу п. 1 ст. 65 ЗК РФ формами платы за использование земли являются земельный налог и арендная плата.</w:t>
      </w:r>
    </w:p>
    <w:p>
      <w:pPr>
        <w:pStyle w:val="Default"/>
        <w:ind w:left="0" w:right="0" w:firstLine="709"/>
        <w:jc w:val="both"/>
        <w:rPr/>
      </w:pPr>
      <w:r>
        <w:rPr>
          <w:rFonts w:eastAsia="Times New Roman" w:ascii="PT Astra Serif" w:hAnsi="PT Astra Serif"/>
          <w:lang w:eastAsia="ru-RU"/>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Default"/>
        <w:ind w:left="0" w:right="0" w:firstLine="709"/>
        <w:jc w:val="both"/>
        <w:rPr/>
      </w:pPr>
      <w:r>
        <w:rPr>
          <w:rFonts w:eastAsia="Times New Roman" w:ascii="PT Astra Serif" w:hAnsi="PT Astra Serif"/>
          <w:lang w:eastAsia="ru-RU"/>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pPr>
        <w:pStyle w:val="Default"/>
        <w:ind w:left="0" w:right="0" w:firstLine="709"/>
        <w:jc w:val="both"/>
        <w:rPr/>
      </w:pPr>
      <w:r>
        <w:rPr>
          <w:rFonts w:eastAsia="Times New Roman" w:ascii="PT Astra Serif" w:hAnsi="PT Astra Serif"/>
          <w:lang w:eastAsia="ru-RU"/>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В соответствии с п.4.1 Договора, арендатор уплачивает арендную плату, исчисленную со дня подписания договора в размере, пропорциональном его доле в праве собственности на недвижимое имущество, а именно: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доли.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Первый арендный платеж производится до 10 числа месяца, следующего за месяцем заключения договора. Он состоит из арендной платы, исчисленной до последнего  числа месяца, следующего за месяцем заключения договора. Последующие платежи исчисляются ежемесячно и уплачиваются за текущий месяц до 10 числа текущего месяца.</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Размер арендной платы определяется на основании государственных и муниципальных нормативных правовых актов (п. 4.3 договора)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В соответствии с п. 4.5 и 4.6 Договора размер арендной платы может изменяться арендодателем в одностороннем порядке, не зависимо от согласия арендатора в соответствии с действующим законодательством. Размер арендной платы может изменяться не чаще, чем один раз в год.</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Согласно п. 8.1 договора, за нарушение срока уплаты арендной платы Арендатор уплачивает пеню в размере, установленном Нормативными актами.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В установленной законодательством РФ и Договором срок обязанности                                   по своевременной оплате арендной платы Ответчик не исполнил. В результате чего за ним образовалась задолженность по арендной плате по договору аренды №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от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 за период с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по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в размере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пени в размере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а всего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(расчет – прилагается).</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 с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4"/>
          <w:szCs w:val="24"/>
        </w:rPr>
        <w:t xml:space="preserve">по </w:t>
      </w:r>
      <w:r>
        <w:rPr>
          <w:rFonts w:eastAsia="Calibri" w:cs="" w:ascii="PT Astra Serif" w:hAnsi="PT Astra Serif" w:cstheme="minorBidi" w:eastAsiaTheme="minorHAnsi"/>
          <w:color w:val="auto"/>
          <w:kern w:val="0"/>
          <w:sz w:val="24"/>
          <w:szCs w:val="24"/>
          <w:lang w:val="ru-RU" w:eastAsia="en-US" w:bidi="ar-SA"/>
        </w:rPr>
        <w:t>ХХХХХХ в</w:t>
      </w:r>
      <w:r>
        <w:rPr>
          <w:rFonts w:cs="Times New Roman" w:ascii="PT Astra Serif" w:hAnsi="PT Astra Serif"/>
          <w:color w:val="000000" w:themeColor="text1"/>
          <w:sz w:val="24"/>
          <w:szCs w:val="24"/>
        </w:rPr>
        <w:t xml:space="preserve"> размере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пени в размере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а всего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4"/>
          <w:szCs w:val="24"/>
        </w:rPr>
        <w:t>руб. (расчет – прилагается).</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Таким образом, общая сумма задолженности по договору аренды №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от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4"/>
          <w:szCs w:val="24"/>
        </w:rPr>
        <w:t xml:space="preserve">по арендной плате  составляет </w:t>
      </w:r>
      <w:r>
        <w:rPr>
          <w:rFonts w:eastAsia="Calibri" w:cs="" w:ascii="PT Astra Serif" w:hAnsi="PT Astra Serif" w:cstheme="minorBidi" w:eastAsiaTheme="minorHAnsi"/>
          <w:color w:val="auto"/>
          <w:kern w:val="0"/>
          <w:sz w:val="24"/>
          <w:szCs w:val="24"/>
          <w:lang w:val="ru-RU" w:eastAsia="en-US" w:bidi="ar-SA"/>
        </w:rPr>
        <w:t>ХХХХХХ</w:t>
      </w:r>
      <w:r>
        <w:rPr>
          <w:rFonts w:eastAsia="Calibri" w:cs="Times New Roman" w:ascii="PT Astra Serif" w:hAnsi="PT Astra Serif"/>
          <w:color w:val="000000" w:themeColor="text1"/>
          <w:sz w:val="24"/>
          <w:szCs w:val="24"/>
        </w:rPr>
        <w:t xml:space="preserve"> руб., по пени в размере</w:t>
      </w:r>
      <w:r>
        <w:rPr>
          <w:rFonts w:eastAsia="Calibri" w:cs="" w:ascii="PT Astra Serif" w:hAnsi="PT Astra Serif" w:cstheme="minorBidi" w:eastAsiaTheme="minorHAnsi"/>
          <w:color w:val="auto"/>
          <w:kern w:val="0"/>
          <w:sz w:val="24"/>
          <w:szCs w:val="24"/>
          <w:lang w:val="ru-RU" w:eastAsia="en-US" w:bidi="ar-SA"/>
        </w:rPr>
        <w:t xml:space="preserve">ХХХХХХ </w:t>
      </w:r>
      <w:r>
        <w:rPr>
          <w:rFonts w:eastAsia="Calibri" w:cs="Times New Roman" w:ascii="PT Astra Serif" w:hAnsi="PT Astra Serif"/>
          <w:color w:val="000000" w:themeColor="text1"/>
          <w:sz w:val="24"/>
          <w:szCs w:val="24"/>
        </w:rPr>
        <w:t xml:space="preserve"> руб., а всего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4"/>
          <w:szCs w:val="24"/>
        </w:rPr>
        <w:t xml:space="preserve">рублей.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В силу положения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Из разъяснений, изложенных в п. 1 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статей 330, 395, 809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В подтверждение соблюдения досудебного порядка урегулирования спора министерством в адрес ответчика были  направлены претензии:</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 от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с требованием в 10-дневный срок со дня получения данной претензии оплатить образовавшуюся задолженность по арендной плате в размере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4"/>
          <w:szCs w:val="24"/>
        </w:rPr>
        <w:t xml:space="preserve">руб., пени в размере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а всего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за период с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по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 от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4"/>
          <w:szCs w:val="24"/>
        </w:rPr>
        <w:t xml:space="preserve">№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4"/>
          <w:szCs w:val="24"/>
        </w:rPr>
        <w:t xml:space="preserve">с требованием в 10-дневный срок со дня получения данной претензии оплатить образовавшуюся задолженность по арендной плате в размере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пени в размере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а всего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руб. за период с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по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 </w:t>
      </w:r>
      <w:r>
        <w:rPr>
          <w:rFonts w:cs="Times New Roman" w:ascii="PT Astra Serif" w:hAnsi="PT Astra Serif"/>
          <w:color w:val="000000" w:themeColor="text1"/>
          <w:sz w:val="24"/>
          <w:szCs w:val="24"/>
        </w:rPr>
        <w:t>Указанные претензии министерства оставлены ответчиком без ответа и без удовлетворения.</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Положениями ст. 11 ГК РФ установлено право на судебную защиту нарушенных или оспоренных гражданских прав.</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xml:space="preserve">Защита гражданских прав осуществляется способами, указанными в ст. 12 ГК РФ,                   к которым, в том числе, относятся: </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возмещения убытков;</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взыскания неустойки;</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 иные способы, предусмотренные законом.</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Предъявляя иск о взыскании задолженности, пеней по договору аренды земельного участка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от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4"/>
          <w:szCs w:val="24"/>
        </w:rPr>
        <w:t>истец использует предусмотренный законом способ защиты права.</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В соответствии с подп. 19 п. 1 ст. 333.36 Налогового кодекса Российской Федерации государственные органы, органы местного самоуправления, выступающие в судах общей юрисдикции в качестве истцов или ответчиков, освобождены от уплаты госпошлины.</w:t>
      </w:r>
    </w:p>
    <w:p>
      <w:pPr>
        <w:pStyle w:val="Normal"/>
        <w:spacing w:lineRule="auto" w:line="240" w:before="0" w:after="0"/>
        <w:ind w:left="0" w:right="0" w:firstLine="709"/>
        <w:jc w:val="both"/>
        <w:rPr/>
      </w:pPr>
      <w:r>
        <w:rPr>
          <w:rFonts w:cs="Times New Roman" w:ascii="PT Astra Serif" w:hAnsi="PT Astra Serif"/>
          <w:color w:val="000000" w:themeColor="text1"/>
          <w:sz w:val="24"/>
          <w:szCs w:val="24"/>
        </w:rPr>
        <w:t>На основании вышеизложенного, руководствуясь статьями 3, 28, 131, 132  Гражданского процессуального кодекса Российской Федерации, подпунктом 19 п. 1 статьи 333.36 Налогового кодекса Российской Федерации,</w:t>
      </w:r>
    </w:p>
    <w:p>
      <w:pPr>
        <w:pStyle w:val="Normal"/>
        <w:tabs>
          <w:tab w:val="clear" w:pos="708"/>
          <w:tab w:val="left" w:pos="-142" w:leader="none"/>
          <w:tab w:val="left" w:pos="993" w:leader="none"/>
        </w:tabs>
        <w:spacing w:lineRule="auto" w:line="240" w:before="0" w:after="0"/>
        <w:ind w:left="0" w:right="0" w:firstLine="709"/>
        <w:jc w:val="center"/>
        <w:rPr>
          <w:rFonts w:ascii="PT Astra Serif" w:hAnsi="PT Astra Serif" w:eastAsia="Times New Roman" w:cs="Times New Roman"/>
          <w:color w:val="000000"/>
          <w:sz w:val="24"/>
          <w:szCs w:val="24"/>
          <w:lang w:eastAsia="ru-RU"/>
        </w:rPr>
      </w:pPr>
      <w:r>
        <w:rPr>
          <w:rFonts w:eastAsia="Times New Roman" w:cs="Times New Roman" w:ascii="PT Astra Serif" w:hAnsi="PT Astra Serif"/>
          <w:color w:val="000000"/>
          <w:sz w:val="24"/>
          <w:szCs w:val="24"/>
          <w:lang w:eastAsia="ru-RU"/>
        </w:rPr>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b/>
          <w:b/>
          <w:color w:val="000000" w:themeColor="text1"/>
          <w:sz w:val="24"/>
          <w:szCs w:val="24"/>
        </w:rPr>
      </w:pPr>
      <w:r>
        <w:rPr>
          <w:rFonts w:cs="Times New Roman" w:ascii="PT Astra Serif" w:hAnsi="PT Astra Serif"/>
          <w:b/>
          <w:color w:val="000000" w:themeColor="text1"/>
          <w:sz w:val="24"/>
          <w:szCs w:val="24"/>
        </w:rPr>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b/>
          <w:b/>
          <w:color w:val="000000" w:themeColor="text1"/>
          <w:sz w:val="24"/>
          <w:szCs w:val="24"/>
        </w:rPr>
      </w:pPr>
      <w:r>
        <w:rPr>
          <w:rFonts w:cs="Times New Roman" w:ascii="PT Astra Serif" w:hAnsi="PT Astra Serif"/>
          <w:b/>
          <w:color w:val="000000" w:themeColor="text1"/>
          <w:sz w:val="24"/>
          <w:szCs w:val="24"/>
        </w:rPr>
        <w:t>ПРОШУ СУД:</w:t>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color w:val="000000" w:themeColor="text1"/>
          <w:sz w:val="24"/>
          <w:szCs w:val="24"/>
        </w:rPr>
      </w:pPr>
      <w:r>
        <w:rPr>
          <w:rFonts w:cs="Times New Roman" w:ascii="PT Astra Serif" w:hAnsi="PT Astra Serif"/>
          <w:color w:val="000000" w:themeColor="text1"/>
          <w:sz w:val="24"/>
          <w:szCs w:val="24"/>
        </w:rPr>
      </w:r>
    </w:p>
    <w:p>
      <w:pPr>
        <w:pStyle w:val="Normal"/>
        <w:spacing w:lineRule="auto" w:line="240" w:before="0" w:after="0"/>
        <w:ind w:left="0" w:right="0" w:firstLine="709"/>
        <w:jc w:val="both"/>
        <w:rPr/>
      </w:pPr>
      <w:r>
        <w:rPr>
          <w:rFonts w:eastAsia="Times New Roman" w:cs="Times New Roman" w:ascii="PT Astra Serif" w:hAnsi="PT Astra Serif"/>
          <w:color w:val="000000" w:themeColor="text1"/>
          <w:sz w:val="24"/>
          <w:szCs w:val="24"/>
          <w:lang w:eastAsia="ru-RU"/>
        </w:rPr>
        <w:t xml:space="preserve">- взыскать с ответчика -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color w:val="000000" w:themeColor="text1"/>
          <w:sz w:val="24"/>
          <w:szCs w:val="24"/>
        </w:rPr>
        <w:t xml:space="preserve"> (</w:t>
      </w:r>
      <w:r>
        <w:rPr>
          <w:rFonts w:eastAsia="Calibri" w:cs="" w:ascii="PT Astra Serif" w:hAnsi="PT Astra Serif" w:cstheme="minorBidi" w:eastAsiaTheme="minorHAnsi"/>
          <w:color w:val="auto"/>
          <w:kern w:val="0"/>
          <w:sz w:val="24"/>
          <w:szCs w:val="24"/>
          <w:lang w:val="ru-RU" w:eastAsia="en-US" w:bidi="ar-SA"/>
        </w:rPr>
        <w:t>ХХХХХХ</w:t>
      </w:r>
      <w:r>
        <w:rPr>
          <w:rFonts w:cs="Times New Roman" w:ascii="PT Astra Serif" w:hAnsi="PT Astra Serif"/>
          <w:sz w:val="24"/>
          <w:szCs w:val="24"/>
        </w:rPr>
        <w:t xml:space="preserve"> </w:t>
      </w:r>
      <w:r>
        <w:rPr>
          <w:rFonts w:cs="Times New Roman" w:ascii="PT Astra Serif" w:hAnsi="PT Astra Serif"/>
          <w:color w:val="000000" w:themeColor="text1"/>
          <w:sz w:val="24"/>
          <w:szCs w:val="24"/>
        </w:rPr>
        <w:t xml:space="preserve">года рождения) </w:t>
      </w:r>
      <w:r>
        <w:rPr>
          <w:rFonts w:eastAsia="Times New Roman" w:cs="Times New Roman" w:ascii="PT Astra Serif" w:hAnsi="PT Astra Serif"/>
          <w:color w:val="000000" w:themeColor="text1"/>
          <w:sz w:val="24"/>
          <w:szCs w:val="24"/>
          <w:lang w:eastAsia="ru-RU"/>
        </w:rPr>
        <w:t xml:space="preserve">в пользу истца - министерства имущественных и земельных отношений Тульской области задолженность по арендной плате по договору аренды земельного участка </w:t>
      </w:r>
      <w:r>
        <w:rPr>
          <w:rFonts w:eastAsia="Times New Roman" w:ascii="PT Astra Serif" w:hAnsi="PT Astra Serif"/>
          <w:color w:val="000000" w:themeColor="text1"/>
          <w:sz w:val="24"/>
          <w:szCs w:val="24"/>
          <w:lang w:eastAsia="ru-RU"/>
        </w:rPr>
        <w:t xml:space="preserve"> № </w:t>
      </w:r>
      <w:r>
        <w:rPr>
          <w:rFonts w:eastAsia="Calibri" w:cs="" w:ascii="PT Astra Serif" w:hAnsi="PT Astra Serif" w:cstheme="minorBidi" w:eastAsiaTheme="minorHAnsi"/>
          <w:color w:val="auto"/>
          <w:kern w:val="0"/>
          <w:sz w:val="24"/>
          <w:szCs w:val="24"/>
          <w:lang w:val="ru-RU" w:eastAsia="en-US" w:bidi="ar-SA"/>
        </w:rPr>
        <w:t>ХХХХХХ</w:t>
      </w:r>
      <w:r>
        <w:rPr>
          <w:rFonts w:eastAsia="Times New Roman" w:ascii="PT Astra Serif" w:hAnsi="PT Astra Serif"/>
          <w:color w:val="000000" w:themeColor="text1"/>
          <w:sz w:val="24"/>
          <w:szCs w:val="24"/>
          <w:lang w:eastAsia="ru-RU"/>
        </w:rPr>
        <w:t xml:space="preserve"> от </w:t>
      </w:r>
      <w:r>
        <w:rPr>
          <w:rFonts w:eastAsia="Calibri" w:cs="" w:ascii="PT Astra Serif" w:hAnsi="PT Astra Serif" w:cstheme="minorBidi"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4"/>
          <w:szCs w:val="24"/>
          <w:lang w:eastAsia="ru-RU"/>
        </w:rPr>
        <w:t xml:space="preserve"> года</w:t>
      </w:r>
      <w:r>
        <w:rPr>
          <w:rFonts w:cs="Times New Roman" w:ascii="PT Astra Serif" w:hAnsi="PT Astra Serif"/>
          <w:color w:val="000000" w:themeColor="text1"/>
          <w:sz w:val="24"/>
          <w:szCs w:val="24"/>
        </w:rPr>
        <w:t xml:space="preserve"> </w:t>
      </w:r>
      <w:r>
        <w:rPr>
          <w:rFonts w:eastAsia="Times New Roman" w:cs="Times New Roman" w:ascii="PT Astra Serif" w:hAnsi="PT Astra Serif"/>
          <w:color w:val="000000" w:themeColor="text1"/>
          <w:sz w:val="24"/>
          <w:szCs w:val="24"/>
          <w:lang w:eastAsia="ru-RU"/>
        </w:rPr>
        <w:t xml:space="preserve">за период </w:t>
      </w:r>
      <w:r>
        <w:rPr>
          <w:rFonts w:eastAsia="Calibri" w:cs="Times New Roman" w:ascii="PT Astra Serif" w:hAnsi="PT Astra Serif"/>
          <w:color w:val="000000" w:themeColor="text1"/>
          <w:sz w:val="24"/>
          <w:szCs w:val="24"/>
        </w:rPr>
        <w:t xml:space="preserve">с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eastAsia="Calibri" w:cs="Times New Roman" w:ascii="PT Astra Serif" w:hAnsi="PT Astra Serif"/>
          <w:color w:val="000000" w:themeColor="text1"/>
          <w:sz w:val="24"/>
          <w:szCs w:val="24"/>
        </w:rPr>
        <w:t xml:space="preserve">по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eastAsia="Times New Roman" w:cs="Times New Roman" w:ascii="PT Astra Serif" w:hAnsi="PT Astra Serif"/>
          <w:color w:val="000000" w:themeColor="text1"/>
          <w:sz w:val="24"/>
          <w:szCs w:val="24"/>
          <w:lang w:eastAsia="ru-RU"/>
        </w:rPr>
        <w:t>включительно</w:t>
      </w:r>
      <w:r>
        <w:rPr>
          <w:rFonts w:eastAsia="Calibri" w:cs="Times New Roman" w:ascii="PT Astra Serif" w:hAnsi="PT Astra Serif"/>
          <w:color w:val="000000" w:themeColor="text1"/>
          <w:sz w:val="24"/>
          <w:szCs w:val="24"/>
        </w:rPr>
        <w:t xml:space="preserve"> в сумме  </w:t>
      </w:r>
      <w:r>
        <w:rPr>
          <w:rFonts w:eastAsia="Calibri" w:cs="" w:ascii="PT Astra Serif" w:hAnsi="PT Astra Serif" w:cstheme="minorBidi" w:eastAsiaTheme="minorHAnsi"/>
          <w:color w:val="auto"/>
          <w:kern w:val="0"/>
          <w:sz w:val="24"/>
          <w:szCs w:val="24"/>
          <w:lang w:val="ru-RU" w:eastAsia="en-US" w:bidi="ar-SA"/>
        </w:rPr>
        <w:t>ХХХХХХ</w:t>
      </w:r>
      <w:r>
        <w:rPr>
          <w:rFonts w:eastAsia="Calibri" w:cs="Times New Roman" w:ascii="PT Astra Serif" w:hAnsi="PT Astra Serif"/>
          <w:color w:val="000000" w:themeColor="text1"/>
          <w:sz w:val="24"/>
          <w:szCs w:val="24"/>
        </w:rPr>
        <w:t xml:space="preserve"> руб., пени в размере </w:t>
      </w:r>
      <w:r>
        <w:rPr>
          <w:rFonts w:eastAsia="Calibri" w:cs="" w:ascii="PT Astra Serif" w:hAnsi="PT Astra Serif" w:cstheme="minorBidi" w:eastAsiaTheme="minorHAnsi"/>
          <w:color w:val="auto"/>
          <w:kern w:val="0"/>
          <w:sz w:val="24"/>
          <w:szCs w:val="24"/>
          <w:lang w:val="ru-RU" w:eastAsia="en-US" w:bidi="ar-SA"/>
        </w:rPr>
        <w:t>ХХХХХХ</w:t>
      </w:r>
      <w:r>
        <w:rPr>
          <w:rFonts w:eastAsia="Calibri" w:cs="Times New Roman" w:ascii="PT Astra Serif" w:hAnsi="PT Astra Serif"/>
          <w:color w:val="000000" w:themeColor="text1"/>
          <w:sz w:val="24"/>
          <w:szCs w:val="24"/>
        </w:rPr>
        <w:t xml:space="preserve"> руб. а всего  </w:t>
      </w:r>
      <w:r>
        <w:rPr>
          <w:rFonts w:eastAsia="Calibri" w:cs="" w:ascii="PT Astra Serif" w:hAnsi="PT Astra Serif" w:cstheme="minorBidi" w:eastAsiaTheme="minorHAnsi"/>
          <w:color w:val="auto"/>
          <w:kern w:val="0"/>
          <w:sz w:val="24"/>
          <w:szCs w:val="24"/>
          <w:lang w:val="ru-RU" w:eastAsia="en-US" w:bidi="ar-SA"/>
        </w:rPr>
        <w:t xml:space="preserve">ХХХХХХ </w:t>
      </w:r>
      <w:r>
        <w:rPr>
          <w:rFonts w:eastAsia="Calibri" w:cs="Times New Roman" w:ascii="PT Astra Serif" w:hAnsi="PT Astra Serif"/>
          <w:color w:val="000000" w:themeColor="text1"/>
          <w:sz w:val="24"/>
          <w:szCs w:val="24"/>
        </w:rPr>
        <w:t>руб. с последующим начислением пени до момента фактического исполнения обязательства по договору аренды земельного участка.</w:t>
      </w:r>
    </w:p>
    <w:p>
      <w:pPr>
        <w:pStyle w:val="Normal"/>
        <w:spacing w:lineRule="auto" w:line="240" w:before="0" w:after="0"/>
        <w:jc w:val="both"/>
        <w:rPr>
          <w:rFonts w:ascii="PT Astra Serif" w:hAnsi="PT Astra Serif" w:cs="Times New Roman"/>
          <w:sz w:val="24"/>
          <w:szCs w:val="24"/>
        </w:rPr>
      </w:pPr>
      <w:r>
        <w:rPr>
          <w:rFonts w:cs="Times New Roman" w:ascii="PT Astra Serif" w:hAnsi="PT Astra Serif"/>
          <w:sz w:val="24"/>
          <w:szCs w:val="24"/>
        </w:rPr>
      </w:r>
    </w:p>
    <w:p>
      <w:pPr>
        <w:pStyle w:val="Normal"/>
        <w:spacing w:lineRule="auto" w:line="240" w:before="0" w:after="0"/>
        <w:jc w:val="both"/>
        <w:rPr>
          <w:rFonts w:ascii="PT Astra Serif" w:hAnsi="PT Astra Serif"/>
          <w:sz w:val="22"/>
          <w:szCs w:val="22"/>
        </w:rPr>
      </w:pPr>
      <w:r>
        <w:rPr>
          <w:rFonts w:eastAsia="Calibri" w:cs="Times New Roman" w:ascii="PT Astra Serif" w:hAnsi="PT Astra Serif"/>
          <w:color w:val="000000" w:themeColor="text1"/>
          <w:sz w:val="22"/>
          <w:szCs w:val="22"/>
        </w:rPr>
        <w:t xml:space="preserve">       </w:t>
      </w:r>
      <w:r>
        <w:rPr>
          <w:rFonts w:eastAsia="Calibri" w:cs="Times New Roman" w:ascii="PT Astra Serif" w:hAnsi="PT Astra Serif"/>
          <w:color w:val="000000" w:themeColor="text1"/>
          <w:sz w:val="22"/>
          <w:szCs w:val="22"/>
        </w:rPr>
        <w:t>Реквизиты для оплаты:</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Получатель: УФК по Тульской области (Министерство имущественных и земельных    отношений  Тульской области)</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ИНН:</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 xml:space="preserve">КПП: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 xml:space="preserve">Расчетный счет: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 xml:space="preserve">КОРСЧЕТ: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 xml:space="preserve">Банк получателя: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 xml:space="preserve">БИК: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 xml:space="preserve">Код ОКТМО: </w:t>
      </w:r>
      <w:r>
        <w:rPr>
          <w:rFonts w:eastAsia="Calibri" w:cs="" w:ascii="PT Astra Serif" w:hAnsi="PT Astra Serif" w:cstheme="minorBidi" w:eastAsiaTheme="minorHAnsi"/>
          <w:color w:val="auto"/>
          <w:kern w:val="0"/>
          <w:sz w:val="24"/>
          <w:szCs w:val="24"/>
          <w:lang w:val="ru-RU" w:eastAsia="en-US" w:bidi="ar-SA"/>
        </w:rPr>
        <w:t>ХХХХХХ</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ascii="PT Astra Serif" w:hAnsi="PT Astra Serif"/>
          <w:sz w:val="22"/>
          <w:szCs w:val="22"/>
        </w:rPr>
        <w:t>Коды бюджетной классификации:</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eastAsia="Calibri" w:cs="" w:ascii="PT Astra Serif" w:hAnsi="PT Astra Serif" w:cstheme="minorBidi" w:eastAsiaTheme="minorHAnsi"/>
          <w:color w:val="auto"/>
          <w:kern w:val="0"/>
          <w:sz w:val="24"/>
          <w:szCs w:val="24"/>
          <w:lang w:val="ru-RU" w:eastAsia="en-US" w:bidi="ar-SA"/>
        </w:rPr>
        <w:t>ХХХХХХ</w:t>
      </w:r>
      <w:r>
        <w:rPr>
          <w:rFonts w:ascii="PT Astra Serif" w:hAnsi="PT Astra Serif"/>
          <w:sz w:val="22"/>
          <w:szCs w:val="22"/>
        </w:rPr>
        <w:t xml:space="preserve"> – арендная плата по договору аренды земельного участка;</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eastAsia="Calibri" w:cs="" w:ascii="PT Astra Serif" w:hAnsi="PT Astra Serif" w:cstheme="minorBidi" w:eastAsiaTheme="minorHAnsi"/>
          <w:color w:val="auto"/>
          <w:kern w:val="0"/>
          <w:sz w:val="24"/>
          <w:szCs w:val="24"/>
          <w:lang w:val="ru-RU" w:eastAsia="en-US" w:bidi="ar-SA"/>
        </w:rPr>
        <w:t>ХХХХХХ</w:t>
      </w:r>
      <w:r>
        <w:rPr>
          <w:rFonts w:ascii="PT Astra Serif" w:hAnsi="PT Astra Serif"/>
          <w:sz w:val="22"/>
          <w:szCs w:val="22"/>
        </w:rPr>
        <w:t xml:space="preserve"> – пени по договору аренды земельного участка;</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eastAsia="Calibri" w:cs="" w:ascii="PT Astra Serif" w:hAnsi="PT Astra Serif" w:cstheme="minorBidi" w:eastAsiaTheme="minorHAnsi"/>
          <w:color w:val="auto"/>
          <w:kern w:val="0"/>
          <w:sz w:val="24"/>
          <w:szCs w:val="24"/>
          <w:lang w:val="ru-RU" w:eastAsia="en-US" w:bidi="ar-SA"/>
        </w:rPr>
        <w:t>ХХХХХХ</w:t>
      </w:r>
      <w:r>
        <w:rPr>
          <w:rFonts w:ascii="PT Astra Serif" w:hAnsi="PT Astra Serif"/>
          <w:sz w:val="22"/>
          <w:szCs w:val="22"/>
        </w:rPr>
        <w:t>– неосновательное обогащение;</w:t>
      </w:r>
    </w:p>
    <w:p>
      <w:pPr>
        <w:pStyle w:val="Normal"/>
        <w:spacing w:lineRule="auto" w:line="240" w:before="0" w:after="0"/>
        <w:jc w:val="both"/>
        <w:rPr>
          <w:rFonts w:ascii="PT Astra Serif" w:hAnsi="PT Astra Serif"/>
          <w:sz w:val="22"/>
          <w:szCs w:val="22"/>
        </w:rPr>
      </w:pPr>
      <w:r>
        <w:rPr>
          <w:rFonts w:ascii="PT Astra Serif" w:hAnsi="PT Astra Serif"/>
          <w:sz w:val="22"/>
          <w:szCs w:val="22"/>
        </w:rPr>
        <w:t xml:space="preserve">        </w:t>
      </w:r>
      <w:r>
        <w:rPr>
          <w:rFonts w:eastAsia="Calibri" w:cs="" w:ascii="PT Astra Serif" w:hAnsi="PT Astra Serif" w:cstheme="minorBidi" w:eastAsiaTheme="minorHAnsi"/>
          <w:color w:val="auto"/>
          <w:kern w:val="0"/>
          <w:sz w:val="24"/>
          <w:szCs w:val="24"/>
          <w:lang w:val="ru-RU" w:eastAsia="en-US" w:bidi="ar-SA"/>
        </w:rPr>
        <w:t>ХХХХХХ</w:t>
      </w:r>
      <w:r>
        <w:rPr>
          <w:rFonts w:ascii="PT Astra Serif" w:hAnsi="PT Astra Serif"/>
          <w:sz w:val="22"/>
          <w:szCs w:val="22"/>
        </w:rPr>
        <w:t>– проценты за пользование денежными средствами</w:t>
      </w:r>
    </w:p>
    <w:p>
      <w:pPr>
        <w:pStyle w:val="Normal"/>
        <w:spacing w:lineRule="auto" w:line="240" w:before="0" w:after="0"/>
        <w:jc w:val="both"/>
        <w:rPr>
          <w:rFonts w:ascii="PT Astra Serif" w:hAnsi="PT Astra Serif"/>
          <w:sz w:val="22"/>
          <w:szCs w:val="22"/>
        </w:rPr>
      </w:pPr>
      <w:r>
        <w:rPr>
          <w:rFonts w:ascii="PT Astra Serif" w:hAnsi="PT Astra Serif"/>
          <w:sz w:val="22"/>
          <w:szCs w:val="22"/>
        </w:rPr>
      </w:r>
    </w:p>
    <w:p>
      <w:pPr>
        <w:pStyle w:val="Default"/>
        <w:jc w:val="both"/>
        <w:rPr>
          <w:rFonts w:ascii="PT Astra Serif" w:hAnsi="PT Astra Serif"/>
          <w:color w:val="000000" w:themeColor="text1"/>
        </w:rPr>
      </w:pPr>
      <w:r>
        <w:rPr>
          <w:rFonts w:ascii="PT Astra Serif" w:hAnsi="PT Astra Serif"/>
          <w:color w:val="000000" w:themeColor="text1"/>
        </w:rPr>
      </w:r>
    </w:p>
    <w:p>
      <w:pPr>
        <w:pStyle w:val="Normal"/>
        <w:spacing w:lineRule="auto" w:line="240" w:before="0" w:after="0"/>
        <w:rPr>
          <w:sz w:val="22"/>
          <w:szCs w:val="22"/>
        </w:rPr>
      </w:pPr>
      <w:r>
        <w:rPr>
          <w:rFonts w:eastAsia="Times New Roman" w:cs="Times New Roman" w:ascii="PT Astra Serif" w:hAnsi="PT Astra Serif"/>
          <w:sz w:val="22"/>
          <w:szCs w:val="22"/>
          <w:lang w:eastAsia="ru-RU"/>
        </w:rPr>
        <w:t xml:space="preserve">          </w:t>
      </w:r>
      <w:r>
        <w:rPr>
          <w:rFonts w:eastAsia="Times New Roman" w:cs="Times New Roman" w:ascii="PT Astra Serif" w:hAnsi="PT Astra Serif"/>
          <w:sz w:val="22"/>
          <w:szCs w:val="22"/>
          <w:lang w:eastAsia="ru-RU"/>
        </w:rPr>
        <w:t>Приложение:</w:t>
      </w:r>
    </w:p>
    <w:p>
      <w:pPr>
        <w:pStyle w:val="Normal"/>
        <w:numPr>
          <w:ilvl w:val="0"/>
          <w:numId w:val="9"/>
        </w:numPr>
        <w:spacing w:lineRule="auto" w:line="240" w:before="0" w:after="0"/>
        <w:contextualSpacing/>
        <w:rPr>
          <w:sz w:val="22"/>
          <w:szCs w:val="22"/>
        </w:rPr>
      </w:pPr>
      <w:r>
        <w:rPr>
          <w:rFonts w:eastAsia="Times New Roman" w:cs="Times New Roman" w:ascii="PT Astra Serif" w:hAnsi="PT Astra Serif"/>
          <w:sz w:val="22"/>
          <w:szCs w:val="22"/>
          <w:lang w:eastAsia="ru-RU"/>
        </w:rPr>
        <w:t xml:space="preserve">Копия договора аренды № </w:t>
      </w:r>
      <w:r>
        <w:rPr>
          <w:rFonts w:eastAsia="Calibri" w:cs="" w:ascii="PT Astra Serif" w:hAnsi="PT Astra Serif" w:cstheme="minorBidi" w:eastAsiaTheme="minorHAnsi"/>
          <w:color w:val="auto"/>
          <w:kern w:val="0"/>
          <w:sz w:val="24"/>
          <w:szCs w:val="24"/>
          <w:lang w:val="ru-RU" w:eastAsia="en-US" w:bidi="ar-SA"/>
        </w:rPr>
        <w:t>ХХХХХХ</w:t>
      </w:r>
      <w:r>
        <w:rPr>
          <w:rFonts w:eastAsia="Times New Roman" w:cs="Times New Roman" w:ascii="PT Astra Serif" w:hAnsi="PT Astra Serif"/>
          <w:sz w:val="22"/>
          <w:szCs w:val="22"/>
          <w:lang w:eastAsia="ru-RU"/>
        </w:rPr>
        <w:t xml:space="preserve"> от</w:t>
      </w:r>
      <w:r>
        <w:rPr>
          <w:rFonts w:eastAsia="Calibri" w:cs="" w:ascii="PT Astra Serif" w:hAnsi="PT Astra Serif" w:cstheme="minorBidi" w:eastAsiaTheme="minorHAnsi"/>
          <w:color w:val="auto"/>
          <w:kern w:val="0"/>
          <w:sz w:val="24"/>
          <w:szCs w:val="24"/>
          <w:lang w:val="ru-RU" w:eastAsia="en-US" w:bidi="ar-SA"/>
        </w:rPr>
        <w:t xml:space="preserve">ХХХХХХ </w:t>
      </w:r>
      <w:r>
        <w:rPr>
          <w:rFonts w:eastAsia="Times New Roman" w:cs="Times New Roman" w:ascii="PT Astra Serif" w:hAnsi="PT Astra Serif"/>
          <w:sz w:val="22"/>
          <w:szCs w:val="22"/>
          <w:lang w:eastAsia="ru-RU"/>
        </w:rPr>
        <w:t>с приложениями.</w:t>
      </w:r>
    </w:p>
    <w:p>
      <w:pPr>
        <w:pStyle w:val="Normal"/>
        <w:numPr>
          <w:ilvl w:val="0"/>
          <w:numId w:val="10"/>
        </w:numPr>
        <w:spacing w:lineRule="auto" w:line="240" w:before="0" w:after="0"/>
        <w:contextualSpacing/>
        <w:rPr>
          <w:sz w:val="22"/>
          <w:szCs w:val="22"/>
        </w:rPr>
      </w:pPr>
      <w:r>
        <w:rPr>
          <w:rFonts w:eastAsia="Times New Roman" w:cs="Times New Roman" w:ascii="PT Astra Serif" w:hAnsi="PT Astra Serif"/>
          <w:sz w:val="22"/>
          <w:szCs w:val="22"/>
          <w:lang w:eastAsia="ru-RU"/>
        </w:rPr>
        <w:t>Копия выписки из ЕГРН на помещение с К№</w:t>
      </w:r>
      <w:r>
        <w:rPr>
          <w:rFonts w:eastAsia="Calibri" w:cs="" w:ascii="PT Astra Serif" w:hAnsi="PT Astra Serif" w:cstheme="minorBidi" w:eastAsiaTheme="minorHAnsi"/>
          <w:color w:val="auto"/>
          <w:kern w:val="0"/>
          <w:sz w:val="24"/>
          <w:szCs w:val="24"/>
          <w:lang w:val="ru-RU" w:eastAsia="en-US" w:bidi="ar-SA"/>
        </w:rPr>
        <w:t>ХХХХХХ</w:t>
      </w:r>
    </w:p>
    <w:p>
      <w:pPr>
        <w:pStyle w:val="Normal"/>
        <w:numPr>
          <w:ilvl w:val="0"/>
          <w:numId w:val="11"/>
        </w:numPr>
        <w:spacing w:lineRule="auto" w:line="240" w:before="0" w:after="0"/>
        <w:contextualSpacing/>
        <w:rPr>
          <w:sz w:val="22"/>
          <w:szCs w:val="22"/>
        </w:rPr>
      </w:pPr>
      <w:r>
        <w:rPr>
          <w:rFonts w:eastAsia="Times New Roman" w:cs="Times New Roman" w:ascii="PT Astra Serif" w:hAnsi="PT Astra Serif"/>
          <w:sz w:val="22"/>
          <w:szCs w:val="22"/>
          <w:lang w:eastAsia="ru-RU"/>
        </w:rPr>
        <w:t xml:space="preserve">Копия выписки из ЕГРН на здание с К№ </w:t>
      </w:r>
      <w:r>
        <w:rPr>
          <w:rFonts w:eastAsia="Calibri" w:cs="" w:ascii="PT Astra Serif" w:hAnsi="PT Astra Serif" w:cstheme="minorBidi" w:eastAsiaTheme="minorHAnsi"/>
          <w:color w:val="auto"/>
          <w:kern w:val="0"/>
          <w:sz w:val="24"/>
          <w:szCs w:val="24"/>
          <w:lang w:val="ru-RU" w:eastAsia="en-US" w:bidi="ar-SA"/>
        </w:rPr>
        <w:t>ХХХХХХ</w:t>
      </w:r>
    </w:p>
    <w:p>
      <w:pPr>
        <w:pStyle w:val="Normal"/>
        <w:numPr>
          <w:ilvl w:val="0"/>
          <w:numId w:val="12"/>
        </w:numPr>
        <w:spacing w:lineRule="auto" w:line="240" w:before="0" w:after="0"/>
        <w:contextualSpacing/>
        <w:rPr>
          <w:sz w:val="22"/>
          <w:szCs w:val="22"/>
        </w:rPr>
      </w:pPr>
      <w:r>
        <w:rPr>
          <w:rFonts w:eastAsia="Times New Roman" w:cs="Times New Roman" w:ascii="PT Astra Serif" w:hAnsi="PT Astra Serif"/>
          <w:sz w:val="22"/>
          <w:szCs w:val="22"/>
          <w:lang w:eastAsia="ru-RU"/>
        </w:rPr>
        <w:t xml:space="preserve">Копия выписки из ЕГРН на з/у с К№ </w:t>
      </w:r>
      <w:r>
        <w:rPr>
          <w:rFonts w:eastAsia="Calibri" w:cs="" w:ascii="PT Astra Serif" w:hAnsi="PT Astra Serif" w:cstheme="minorBidi" w:eastAsiaTheme="minorHAnsi"/>
          <w:color w:val="auto"/>
          <w:kern w:val="0"/>
          <w:sz w:val="24"/>
          <w:szCs w:val="24"/>
          <w:lang w:val="ru-RU" w:eastAsia="en-US" w:bidi="ar-SA"/>
        </w:rPr>
        <w:t>ХХХХХХ</w:t>
      </w:r>
    </w:p>
    <w:p>
      <w:pPr>
        <w:pStyle w:val="Normal"/>
        <w:numPr>
          <w:ilvl w:val="0"/>
          <w:numId w:val="13"/>
        </w:numPr>
        <w:spacing w:lineRule="auto" w:line="240" w:before="0" w:after="0"/>
        <w:contextualSpacing/>
        <w:rPr>
          <w:sz w:val="22"/>
          <w:szCs w:val="22"/>
        </w:rPr>
      </w:pPr>
      <w:r>
        <w:rPr>
          <w:rFonts w:eastAsia="Times New Roman" w:cs="Times New Roman" w:ascii="PT Astra Serif" w:hAnsi="PT Astra Serif"/>
          <w:sz w:val="22"/>
          <w:szCs w:val="22"/>
          <w:lang w:eastAsia="ru-RU"/>
        </w:rPr>
        <w:t>Копия адресной справки;</w:t>
      </w:r>
    </w:p>
    <w:p>
      <w:pPr>
        <w:pStyle w:val="Normal"/>
        <w:numPr>
          <w:ilvl w:val="0"/>
          <w:numId w:val="14"/>
        </w:numPr>
        <w:spacing w:lineRule="auto" w:line="240" w:before="0" w:after="0"/>
        <w:contextualSpacing/>
        <w:rPr>
          <w:sz w:val="22"/>
          <w:szCs w:val="22"/>
        </w:rPr>
      </w:pPr>
      <w:r>
        <w:rPr>
          <w:rFonts w:eastAsia="Times New Roman" w:cs="Times New Roman" w:ascii="PT Astra Serif" w:hAnsi="PT Astra Serif"/>
          <w:sz w:val="22"/>
          <w:szCs w:val="22"/>
          <w:lang w:eastAsia="ru-RU"/>
        </w:rPr>
        <w:t>Копии расчетов;</w:t>
      </w:r>
    </w:p>
    <w:p>
      <w:pPr>
        <w:pStyle w:val="Normal"/>
        <w:numPr>
          <w:ilvl w:val="0"/>
          <w:numId w:val="15"/>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претензии от </w:t>
      </w:r>
      <w:r>
        <w:rPr>
          <w:rFonts w:eastAsia="Calibri" w:cs="" w:ascii="PT Astra Serif" w:hAnsi="PT Astra Serif" w:cstheme="minorBidi" w:eastAsiaTheme="minorHAnsi"/>
          <w:color w:val="auto"/>
          <w:kern w:val="0"/>
          <w:sz w:val="24"/>
          <w:szCs w:val="24"/>
          <w:lang w:val="ru-RU" w:eastAsia="en-US" w:bidi="ar-SA"/>
        </w:rPr>
        <w:t>ХХХХХХ</w:t>
      </w:r>
    </w:p>
    <w:p>
      <w:pPr>
        <w:pStyle w:val="Normal"/>
        <w:numPr>
          <w:ilvl w:val="0"/>
          <w:numId w:val="16"/>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претензии от </w:t>
      </w:r>
      <w:r>
        <w:rPr>
          <w:rFonts w:eastAsia="Calibri" w:cs="" w:ascii="PT Astra Serif" w:hAnsi="PT Astra Serif" w:cstheme="minorBidi" w:eastAsiaTheme="minorHAnsi"/>
          <w:color w:val="auto"/>
          <w:kern w:val="0"/>
          <w:sz w:val="24"/>
          <w:szCs w:val="24"/>
          <w:lang w:val="ru-RU" w:eastAsia="en-US" w:bidi="ar-SA"/>
        </w:rPr>
        <w:t>ХХХХХХ</w:t>
      </w:r>
    </w:p>
    <w:p>
      <w:pPr>
        <w:pStyle w:val="Normal"/>
        <w:numPr>
          <w:ilvl w:val="0"/>
          <w:numId w:val="17"/>
        </w:numPr>
        <w:spacing w:lineRule="auto" w:line="240" w:before="0" w:after="0"/>
        <w:jc w:val="both"/>
        <w:rPr>
          <w:sz w:val="22"/>
          <w:szCs w:val="22"/>
        </w:rPr>
      </w:pPr>
      <w:r>
        <w:rPr>
          <w:rFonts w:eastAsia="Times New Roman" w:cs="Times New Roman" w:ascii="PT Astra Serif" w:hAnsi="PT Astra Serif"/>
          <w:sz w:val="22"/>
          <w:szCs w:val="22"/>
          <w:lang w:eastAsia="ru-RU"/>
        </w:rPr>
        <w:t>Копии списков почтовых отправлений;</w:t>
      </w:r>
    </w:p>
    <w:p>
      <w:pPr>
        <w:pStyle w:val="ListParagraph"/>
        <w:numPr>
          <w:ilvl w:val="0"/>
          <w:numId w:val="18"/>
        </w:numPr>
        <w:spacing w:lineRule="auto" w:line="240" w:before="0" w:after="0"/>
        <w:ind w:left="284" w:hanging="0"/>
        <w:contextualSpacing/>
        <w:jc w:val="both"/>
        <w:rPr>
          <w:sz w:val="22"/>
          <w:szCs w:val="22"/>
        </w:rPr>
      </w:pPr>
      <w:r>
        <w:rPr>
          <w:rFonts w:cs="Times New Roman" w:ascii="PT Astra Serif" w:hAnsi="PT Astra Serif"/>
          <w:sz w:val="22"/>
          <w:szCs w:val="22"/>
        </w:rPr>
        <w:t xml:space="preserve">Копия доверенности представителя, подписавшего исковое заявление. </w:t>
      </w:r>
    </w:p>
    <w:p>
      <w:pPr>
        <w:pStyle w:val="ListParagraph"/>
        <w:numPr>
          <w:ilvl w:val="0"/>
          <w:numId w:val="19"/>
        </w:numPr>
        <w:spacing w:lineRule="auto" w:line="240" w:before="0" w:after="0"/>
        <w:ind w:left="284" w:hanging="0"/>
        <w:contextualSpacing/>
        <w:jc w:val="both"/>
        <w:rPr>
          <w:sz w:val="22"/>
          <w:szCs w:val="22"/>
        </w:rPr>
      </w:pPr>
      <w:r>
        <w:rPr>
          <w:rFonts w:eastAsia="Times New Roman" w:cs="Times New Roman" w:ascii="PT Astra Serif" w:hAnsi="PT Astra Serif"/>
          <w:sz w:val="22"/>
          <w:szCs w:val="22"/>
          <w:lang w:eastAsia="ru-RU"/>
        </w:rPr>
        <w:t>Копия почтовых реестров о направлении иска с приложениями лицам участвующим в деле</w:t>
      </w:r>
      <w:r>
        <w:rPr>
          <w:rFonts w:cs="Times New Roman" w:ascii="PT Astra Serif" w:hAnsi="PT Astra Serif"/>
          <w:sz w:val="22"/>
          <w:szCs w:val="22"/>
        </w:rPr>
        <w:t>.</w:t>
      </w:r>
    </w:p>
    <w:p>
      <w:pPr>
        <w:pStyle w:val="Normal"/>
        <w:spacing w:lineRule="auto" w:line="240" w:before="0" w:after="0"/>
        <w:ind w:left="644" w:hanging="0"/>
        <w:jc w:val="both"/>
        <w:rPr>
          <w:rFonts w:ascii="PT Astra Serif" w:hAnsi="PT Astra Serif" w:eastAsia="Times New Roman" w:cs="Times New Roman"/>
          <w:sz w:val="22"/>
          <w:szCs w:val="22"/>
          <w:lang w:eastAsia="ru-RU"/>
        </w:rPr>
      </w:pPr>
      <w:r>
        <w:rPr>
          <w:rFonts w:eastAsia="Times New Roman" w:cs="Times New Roman" w:ascii="PT Astra Serif" w:hAnsi="PT Astra Serif"/>
          <w:sz w:val="22"/>
          <w:szCs w:val="22"/>
          <w:lang w:eastAsia="ru-RU"/>
        </w:rPr>
      </w:r>
    </w:p>
    <w:p>
      <w:pPr>
        <w:pStyle w:val="Normal"/>
        <w:spacing w:lineRule="auto" w:line="240" w:before="0" w:after="0"/>
        <w:ind w:right="-5" w:hanging="0"/>
        <w:jc w:val="both"/>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Представитель министерства</w:t>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 xml:space="preserve">имущественных и земельных </w:t>
      </w:r>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t xml:space="preserve">отношений Тульской области  </w:t>
      </w:r>
    </w:p>
    <w:p>
      <w:pPr>
        <w:pStyle w:val="Normal"/>
        <w:spacing w:lineRule="auto" w:line="240" w:before="0" w:after="0"/>
        <w:rPr>
          <w:rFonts w:ascii="PT Astra Serif" w:hAnsi="PT Astra Serif" w:eastAsia="Calibri" w:cs="Times New Roman"/>
          <w:sz w:val="24"/>
          <w:szCs w:val="24"/>
        </w:rPr>
      </w:pPr>
      <w:r>
        <w:rPr>
          <w:rFonts w:eastAsia="Calibri" w:cs="Times New Roman" w:ascii="PT Astra Serif" w:hAnsi="PT Astra Serif"/>
          <w:b/>
          <w:sz w:val="24"/>
          <w:szCs w:val="24"/>
        </w:rPr>
        <w:t xml:space="preserve">по доверенности                                                                                                     </w:t>
      </w:r>
      <w:r>
        <w:rPr>
          <w:rFonts w:eastAsia="Calibri" w:cs="" w:ascii="PT Astra Serif" w:hAnsi="PT Astra Serif" w:cstheme="minorBidi" w:eastAsiaTheme="minorHAnsi"/>
          <w:b/>
          <w:color w:val="auto"/>
          <w:kern w:val="0"/>
          <w:sz w:val="24"/>
          <w:szCs w:val="24"/>
          <w:lang w:val="ru-RU" w:eastAsia="en-US" w:bidi="ar-SA"/>
        </w:rPr>
        <w:t>ХХХХХХ</w:t>
      </w:r>
    </w:p>
    <w:p>
      <w:pPr>
        <w:pStyle w:val="Normal"/>
        <w:spacing w:lineRule="auto" w:line="240" w:before="0" w:after="0"/>
        <w:rPr>
          <w:rFonts w:ascii="PT Astra Serif" w:hAnsi="PT Astra Serif" w:eastAsia="Calibri" w:cs="Times New Roman"/>
          <w:sz w:val="16"/>
          <w:szCs w:val="16"/>
        </w:rPr>
      </w:pPr>
      <w:r>
        <w:rPr>
          <w:rFonts w:eastAsia="Calibri" w:cs="Times New Roman" w:ascii="PT Astra Serif" w:hAnsi="PT Astra Serif"/>
          <w:sz w:val="16"/>
          <w:szCs w:val="16"/>
        </w:rPr>
      </w:r>
    </w:p>
    <w:p>
      <w:pPr>
        <w:pStyle w:val="Normal"/>
        <w:spacing w:lineRule="auto" w:line="240" w:before="0" w:after="0"/>
        <w:rPr>
          <w:rFonts w:ascii="PT Astra Serif" w:hAnsi="PT Astra Serif" w:eastAsia="Calibri" w:cs="Times New Roman"/>
          <w:b/>
          <w:b/>
          <w:sz w:val="20"/>
          <w:szCs w:val="20"/>
        </w:rPr>
      </w:pPr>
      <w:r>
        <w:rPr>
          <w:rFonts w:eastAsia="Calibri" w:cs="Times New Roman" w:ascii="PT Astra Serif" w:hAnsi="PT Astra Serif"/>
          <w:sz w:val="20"/>
          <w:szCs w:val="20"/>
        </w:rPr>
        <w:t xml:space="preserve">Тел. </w:t>
      </w:r>
      <w:r>
        <w:rPr>
          <w:rFonts w:eastAsia="Calibri" w:cs="" w:ascii="PT Astra Serif" w:hAnsi="PT Astra Serif" w:cstheme="minorBidi" w:eastAsiaTheme="minorHAnsi"/>
          <w:color w:val="auto"/>
          <w:kern w:val="0"/>
          <w:sz w:val="24"/>
          <w:szCs w:val="24"/>
          <w:lang w:val="ru-RU" w:eastAsia="en-US" w:bidi="ar-SA"/>
        </w:rPr>
        <w:t>ХХХХХХ</w:t>
      </w:r>
    </w:p>
    <w:sectPr>
      <w:headerReference w:type="default" r:id="rId2"/>
      <w:footerReference w:type="default" r:id="rId3"/>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53936517"/>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4</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60B5A-6358-44DA-8C6D-E872405D6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Application>LibreOffice/7.2.0.4$Linux_X86_64 LibreOffice_project/9a9c6381e3f7a62afc1329bd359cc48accb6435b</Application>
  <AppVersion>15.0000</AppVersion>
  <Pages>5</Pages>
  <Words>1906</Words>
  <Characters>12827</Characters>
  <CharactersWithSpaces>15153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2021-09-17T11:18:00Z</dcterms:created>
  <dc:creator>Кузнецов Михаил Вадимович</dc:creator>
  <dc:description/>
  <dc:language>ru-RU</dc:language>
  <cp:lastModifiedBy/>
  <cp:lastPrinted>2020-12-02T13:46:00Z</cp:lastPrinted>
  <dcterms:modified xsi:type="dcterms:W3CDTF">2023-11-09T12:31:03Z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