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67"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3986"/>
        <w:gridCol w:w="5880"/>
      </w:tblGrid>
      <w:tr>
        <w:trPr>
          <w:trHeight w:val="3783" w:hRule="atLeast"/>
        </w:trPr>
        <w:tc>
          <w:tcPr>
            <w:tcW w:w="3986"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01.12.2022</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r>
          </w:p>
        </w:tc>
        <w:tc>
          <w:tcPr>
            <w:tcW w:w="5880" w:type="dxa"/>
            <w:tcBorders/>
          </w:tcPr>
          <w:p>
            <w:pPr>
              <w:pStyle w:val="Normal"/>
              <w:widowControl w:val="false"/>
              <w:pBdr>
                <w:bottom w:val="single" w:sz="4" w:space="1" w:color="000000"/>
              </w:pBdr>
              <w:spacing w:lineRule="auto" w:line="240" w:before="0" w:after="0"/>
              <w:ind w:right="34" w:hanging="0"/>
              <w:jc w:val="center"/>
              <w:rPr>
                <w:rFonts w:ascii="PT Astra Serif" w:hAnsi="PT Astra Serif" w:eastAsia="Calibri" w:cs="Times New Roman"/>
                <w:b/>
                <w:b/>
                <w:sz w:val="24"/>
                <w:szCs w:val="24"/>
                <w:lang w:eastAsia="ru-RU"/>
              </w:rPr>
            </w:pPr>
            <w:r>
              <w:rPr>
                <w:rFonts w:eastAsia="Calibri" w:cs="Times New Roman" w:ascii="PT Astra Serif" w:hAnsi="PT Astra Serif"/>
                <w:b/>
                <w:sz w:val="24"/>
                <w:szCs w:val="24"/>
                <w:lang w:eastAsia="ru-RU"/>
              </w:rPr>
              <w:t>Пролетарский районный  суд г. Тулы</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300016, г.Тула, ул. Доктора Гумилевской, д. 2</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Истец: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Министерство имущественных и земельных отношений Тульской области</w:t>
            </w:r>
          </w:p>
          <w:p>
            <w:pPr>
              <w:pStyle w:val="Normal"/>
              <w:widowControl w:val="false"/>
              <w:pBdr>
                <w:bottom w:val="single" w:sz="4" w:space="1" w:color="000000"/>
              </w:pBdr>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ИНН:</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sz w:val="20"/>
                <w:szCs w:val="20"/>
              </w:rPr>
              <w:t xml:space="preserve">  ОГРН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sz w:val="20"/>
                <w:szCs w:val="20"/>
              </w:rPr>
              <w:t xml:space="preserve"> </w:t>
            </w:r>
          </w:p>
          <w:p>
            <w:pPr>
              <w:pStyle w:val="Normal"/>
              <w:widowControl w:val="false"/>
              <w:pBdr>
                <w:bottom w:val="single" w:sz="4" w:space="1" w:color="000000"/>
              </w:pBdr>
              <w:spacing w:lineRule="auto" w:line="240" w:before="0" w:after="0"/>
              <w:jc w:val="center"/>
              <w:rPr>
                <w:rFonts w:ascii="PT Astra Serif" w:hAnsi="PT Astra Serif" w:cs="Times New Roman"/>
                <w:sz w:val="20"/>
                <w:szCs w:val="20"/>
              </w:rPr>
            </w:pPr>
            <w:r>
              <w:rPr>
                <w:rFonts w:eastAsia="Calibri" w:cs="Times New Roman" w:ascii="PT Astra Serif" w:hAnsi="PT Astra Serif" w:eastAsiaTheme="minorHAnsi"/>
                <w:color w:val="auto"/>
                <w:kern w:val="0"/>
                <w:sz w:val="20"/>
                <w:szCs w:val="20"/>
                <w:lang w:val="ru-RU" w:eastAsia="en-US" w:bidi="ar-SA"/>
              </w:rPr>
              <w:t>ХХХХХХХ</w:t>
            </w:r>
            <w:r>
              <w:rPr>
                <w:rFonts w:eastAsia="Calibri" w:cs="Times New Roman" w:ascii="PT Astra Serif" w:hAnsi="PT Astra Serif"/>
                <w:sz w:val="20"/>
                <w:szCs w:val="20"/>
              </w:rPr>
              <w:t xml:space="preserve"> </w:t>
            </w:r>
          </w:p>
          <w:p>
            <w:pPr>
              <w:pStyle w:val="Normal"/>
              <w:widowControl w:val="false"/>
              <w:spacing w:lineRule="auto" w:line="240" w:before="0" w:after="0"/>
              <w:jc w:val="center"/>
              <w:rPr>
                <w:rFonts w:ascii="PT Astra Serif" w:hAnsi="PT Astra Serif" w:cs="Times New Roman"/>
                <w:sz w:val="26"/>
                <w:szCs w:val="26"/>
              </w:rPr>
            </w:pPr>
            <w:r>
              <w:rPr>
                <w:rFonts w:eastAsia="Calibri" w:cs="Times New Roman" w:ascii="PT Astra Serif" w:hAnsi="PT Astra Serif"/>
                <w:sz w:val="20"/>
                <w:szCs w:val="20"/>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Ответчик: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0"/>
                <w:szCs w:val="20"/>
              </w:rPr>
            </w:pP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sz w:val="20"/>
                <w:szCs w:val="20"/>
              </w:rPr>
              <w:t xml:space="preserve"> </w:t>
            </w:r>
          </w:p>
          <w:p>
            <w:pPr>
              <w:pStyle w:val="Normal"/>
              <w:widowControl w:val="false"/>
              <w:pBdr>
                <w:bottom w:val="single" w:sz="4" w:space="1" w:color="000000"/>
              </w:pBdr>
              <w:spacing w:lineRule="auto" w:line="240" w:before="0" w:after="0"/>
              <w:jc w:val="center"/>
              <w:rPr>
                <w:rFonts w:ascii="PT Astra Serif" w:hAnsi="PT Astra Serif" w:cs="Times New Roman"/>
                <w:sz w:val="20"/>
                <w:szCs w:val="20"/>
              </w:rPr>
            </w:pP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sz w:val="20"/>
                <w:szCs w:val="20"/>
              </w:rPr>
              <w:t xml:space="preserve"> г.р.</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 xml:space="preserve">ХХХХХХХ </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 xml:space="preserve">урож.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sz w:val="20"/>
                <w:szCs w:val="20"/>
              </w:rPr>
              <w:t xml:space="preserve"> , паспорт серии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sz w:val="20"/>
                <w:szCs w:val="20"/>
              </w:rPr>
              <w:t xml:space="preserve">  №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sz w:val="20"/>
                <w:szCs w:val="20"/>
              </w:rPr>
              <w:t xml:space="preserve">  выдан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sz w:val="20"/>
                <w:szCs w:val="20"/>
              </w:rPr>
              <w:t xml:space="preserve"> </w:t>
            </w:r>
          </w:p>
          <w:p>
            <w:pPr>
              <w:pStyle w:val="Normal"/>
              <w:widowControl w:val="false"/>
              <w:tabs>
                <w:tab w:val="clear" w:pos="708"/>
                <w:tab w:val="left" w:pos="735" w:leader="none"/>
                <w:tab w:val="center" w:pos="2832" w:leader="none"/>
              </w:tabs>
              <w:spacing w:lineRule="auto" w:line="240" w:before="0" w:after="0"/>
              <w:jc w:val="both"/>
              <w:rPr>
                <w:rFonts w:ascii="PT Astra Serif" w:hAnsi="PT Astra Serif" w:cs="Times New Roman"/>
                <w:sz w:val="20"/>
                <w:szCs w:val="20"/>
              </w:rPr>
            </w:pPr>
            <w:r>
              <w:rPr>
                <w:rFonts w:cs="Times New Roman" w:ascii="PT Astra Serif" w:hAnsi="PT Astra Serif"/>
                <w:sz w:val="20"/>
                <w:szCs w:val="20"/>
              </w:rPr>
            </w:r>
          </w:p>
          <w:p>
            <w:pPr>
              <w:pStyle w:val="Normal"/>
              <w:widowControl w:val="false"/>
              <w:spacing w:lineRule="auto" w:line="240" w:before="0" w:after="0"/>
              <w:rPr>
                <w:rFonts w:ascii="PT Astra Serif" w:hAnsi="PT Astra Serif" w:eastAsia="Times New Roman" w:cs="Times New Roman"/>
                <w:bCs/>
                <w:sz w:val="20"/>
                <w:szCs w:val="20"/>
                <w:lang w:eastAsia="ru-RU"/>
              </w:rPr>
            </w:pPr>
            <w:r>
              <w:rPr>
                <w:rFonts w:eastAsia="Times New Roman" w:cs="Times New Roman" w:ascii="PT Astra Serif" w:hAnsi="PT Astra Serif"/>
                <w:bCs/>
                <w:sz w:val="20"/>
                <w:szCs w:val="20"/>
                <w:lang w:eastAsia="ru-RU"/>
              </w:rPr>
            </w:r>
          </w:p>
        </w:tc>
      </w:tr>
    </w:tbl>
    <w:p>
      <w:pPr>
        <w:pStyle w:val="Normal"/>
        <w:spacing w:lineRule="auto" w:line="240" w:before="0" w:after="0"/>
        <w:ind w:right="-1" w:hanging="0"/>
        <w:jc w:val="center"/>
        <w:rPr>
          <w:rFonts w:ascii="PT Astra Serif" w:hAnsi="PT Astra Serif"/>
          <w:sz w:val="26"/>
          <w:szCs w:val="26"/>
        </w:rPr>
      </w:pPr>
      <w:r>
        <w:rPr>
          <w:rFonts w:cs="Times New Roman" w:ascii="PT Astra Serif" w:hAnsi="PT Astra Serif"/>
          <w:b/>
          <w:sz w:val="26"/>
          <w:szCs w:val="26"/>
        </w:rPr>
        <w:t>ИСКОВОЕ ЗАЯВЛЕНИЕ</w:t>
      </w:r>
    </w:p>
    <w:p>
      <w:pPr>
        <w:pStyle w:val="Normal"/>
        <w:spacing w:lineRule="auto" w:line="240" w:before="0" w:after="0"/>
        <w:ind w:right="-1" w:hanging="0"/>
        <w:jc w:val="center"/>
        <w:rPr>
          <w:rFonts w:ascii="PT Astra Serif" w:hAnsi="PT Astra Serif"/>
          <w:sz w:val="26"/>
          <w:szCs w:val="26"/>
        </w:rPr>
      </w:pPr>
      <w:r>
        <w:rPr>
          <w:rFonts w:cs="Times New Roman" w:ascii="PT Astra Serif" w:hAnsi="PT Astra Serif"/>
          <w:sz w:val="26"/>
          <w:szCs w:val="26"/>
        </w:rPr>
        <w:t>о взыскании задолженности, пеней по арендной плате</w:t>
      </w:r>
    </w:p>
    <w:p>
      <w:pPr>
        <w:pStyle w:val="Normal"/>
        <w:spacing w:lineRule="auto" w:line="240" w:before="0" w:after="0"/>
        <w:ind w:right="-1" w:hanging="0"/>
        <w:jc w:val="center"/>
        <w:rPr>
          <w:rFonts w:ascii="PT Astra Serif" w:hAnsi="PT Astra Serif" w:cs="Times New Roman"/>
          <w:sz w:val="26"/>
          <w:szCs w:val="26"/>
        </w:rPr>
      </w:pPr>
      <w:r>
        <w:rPr>
          <w:rFonts w:cs="Times New Roman" w:ascii="PT Astra Serif" w:hAnsi="PT Astra Serif"/>
          <w:sz w:val="26"/>
          <w:szCs w:val="26"/>
        </w:rPr>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color w:val="000000" w:themeColor="text1"/>
          <w:sz w:val="20"/>
          <w:szCs w:val="20"/>
        </w:rPr>
        <w:t xml:space="preserve"> </w:t>
      </w:r>
      <w:r>
        <w:rPr>
          <w:rFonts w:cs="Times New Roman" w:ascii="PT Astra Serif" w:hAnsi="PT Astra Serif"/>
          <w:color w:val="000000" w:themeColor="text1"/>
          <w:sz w:val="26"/>
          <w:szCs w:val="26"/>
        </w:rPr>
        <w:t xml:space="preserve"> между администрацией Пролетарского района Управы г. Тулы   и гр.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color w:val="000000" w:themeColor="text1"/>
          <w:sz w:val="20"/>
          <w:szCs w:val="20"/>
        </w:rPr>
        <w:t xml:space="preserve"> </w:t>
      </w:r>
      <w:r>
        <w:rPr>
          <w:rFonts w:cs="Times New Roman" w:ascii="PT Astra Serif" w:hAnsi="PT Astra Serif"/>
          <w:color w:val="000000" w:themeColor="text1"/>
          <w:sz w:val="26"/>
          <w:szCs w:val="26"/>
        </w:rPr>
        <w:t xml:space="preserve"> (далее –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color w:val="000000" w:themeColor="text1"/>
          <w:sz w:val="20"/>
          <w:szCs w:val="20"/>
        </w:rPr>
        <w:t xml:space="preserve"> </w:t>
      </w:r>
      <w:r>
        <w:rPr>
          <w:rFonts w:cs="Times New Roman" w:ascii="PT Astra Serif" w:hAnsi="PT Astra Serif"/>
          <w:color w:val="000000" w:themeColor="text1"/>
          <w:sz w:val="26"/>
          <w:szCs w:val="26"/>
        </w:rPr>
        <w:t xml:space="preserve">.) заключен договор аренды земельного участка №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color w:val="000000" w:themeColor="text1"/>
          <w:sz w:val="20"/>
          <w:szCs w:val="20"/>
        </w:rPr>
        <w:t xml:space="preserve"> </w:t>
      </w:r>
      <w:r>
        <w:rPr>
          <w:rFonts w:cs="Times New Roman" w:ascii="PT Astra Serif" w:hAnsi="PT Astra Serif"/>
          <w:color w:val="000000" w:themeColor="text1"/>
          <w:sz w:val="26"/>
          <w:szCs w:val="26"/>
        </w:rPr>
        <w:t xml:space="preserve"> (далее - Договор).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Согласно условиям договора арендодатель предоставляет, а арендатор принимает в аренду земельный участок (далее — Участок) с К№ 71:30:030824:22 (ранее присвоенный К№ 71:30:030824:540), общей площадью 174 кв.м., расположенный по адресу: г. Тула, Епифанское шоссе, д. 51.</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 </w:t>
      </w:r>
      <w:r>
        <w:rPr>
          <w:rFonts w:cs="Times New Roman" w:ascii="PT Astra Serif" w:hAnsi="PT Astra Serif"/>
          <w:color w:val="000000" w:themeColor="text1"/>
          <w:sz w:val="26"/>
          <w:szCs w:val="26"/>
        </w:rPr>
        <w:t xml:space="preserve">Участок предоставляется для ведения личного подсобного хозяйства и размещения надворных построек.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Согласно п. 2.1 Договора, Договор был заключен на срок 49 лет с правом выкупа.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Согласно сведениям из ЕГРН, из земельного участка с К№  71:30:030824:22 образован земельный участок с К№ 71:30:030824:540, площадью 120 кв.м., право собственности на который было зарегистрировано 05.12.2013 г. за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color w:val="000000" w:themeColor="text1"/>
          <w:sz w:val="20"/>
          <w:szCs w:val="20"/>
        </w:rPr>
        <w:t xml:space="preserve"> </w:t>
      </w:r>
      <w:r>
        <w:rPr>
          <w:rFonts w:cs="Times New Roman" w:ascii="PT Astra Serif" w:hAnsi="PT Astra Serif"/>
          <w:color w:val="000000" w:themeColor="text1"/>
          <w:sz w:val="26"/>
          <w:szCs w:val="26"/>
        </w:rPr>
        <w:t xml:space="preserve"> при этом, земельный участок с К№ 71:30:030824:22, площадью 54 кв.м. остался в аренде у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color w:val="000000" w:themeColor="text1"/>
          <w:sz w:val="20"/>
          <w:szCs w:val="20"/>
        </w:rPr>
        <w:t xml:space="preserve">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Как следует из выписки ЕГРН на земельном участке с К№  71:30:030824:22 расположен объект недвижимости (жилой дом) с К№ 71:30:030824:283, право собственности на который 01.09.2020 зарегистрировано за </w:t>
      </w:r>
      <w:r>
        <w:rPr>
          <w:rFonts w:eastAsia="Calibri" w:cs="Times New Roman" w:ascii="PT Astra Serif" w:hAnsi="PT Astra Serif" w:eastAsiaTheme="minorHAnsi"/>
          <w:color w:val="auto"/>
          <w:kern w:val="0"/>
          <w:sz w:val="20"/>
          <w:szCs w:val="20"/>
          <w:lang w:val="ru-RU" w:eastAsia="en-US" w:bidi="ar-SA"/>
        </w:rPr>
        <w:t>ХХХХХХХ</w:t>
      </w:r>
      <w:r>
        <w:rPr>
          <w:rFonts w:eastAsia="Calibri" w:cs="Times New Roman" w:ascii="PT Astra Serif" w:hAnsi="PT Astra Serif"/>
          <w:color w:val="000000" w:themeColor="text1"/>
          <w:kern w:val="0"/>
          <w:sz w:val="20"/>
          <w:szCs w:val="20"/>
          <w:lang w:val="ru-RU" w:eastAsia="en-US" w:bidi="ar-SA"/>
        </w:rPr>
        <w:t>.</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соответствии со ст. 35 Земельного кодекса Российской Федерации при переходе права собственности на здание, сооружение, находящееся на чужом земельном участке, к другому лицу оно приобретает право на использование соответствующей части земельного участка, занятой зданием, сооружением и необходимой для их использования, на тех же условиях и в том же объеме, что и прежний их собственник.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Таким образом, до момента государственной регистрации права собственности на здание с К№ 71:30:030824:283 за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color w:val="000000" w:themeColor="text1"/>
          <w:sz w:val="20"/>
          <w:szCs w:val="20"/>
        </w:rPr>
        <w:t xml:space="preserve"> </w:t>
      </w:r>
      <w:r>
        <w:rPr>
          <w:rFonts w:cs="Times New Roman" w:ascii="PT Astra Serif" w:hAnsi="PT Astra Serif"/>
          <w:color w:val="000000" w:themeColor="text1"/>
          <w:sz w:val="26"/>
          <w:szCs w:val="26"/>
        </w:rPr>
        <w:t xml:space="preserve">, а именно до 01.09.2020 у </w:t>
      </w:r>
      <w:r>
        <w:rPr>
          <w:rFonts w:eastAsia="Calibri" w:cs="Times New Roman" w:ascii="PT Astra Serif" w:hAnsi="PT Astra Serif" w:eastAsiaTheme="minorHAnsi"/>
          <w:color w:val="auto"/>
          <w:kern w:val="0"/>
          <w:sz w:val="20"/>
          <w:szCs w:val="20"/>
          <w:lang w:val="ru-RU" w:eastAsia="en-US" w:bidi="ar-SA"/>
        </w:rPr>
        <w:t>ХХХХХХХ</w:t>
      </w:r>
      <w:r>
        <w:rPr>
          <w:rFonts w:cs="Times New Roman" w:ascii="PT Astra Serif" w:hAnsi="PT Astra Serif"/>
          <w:color w:val="000000" w:themeColor="text1"/>
          <w:sz w:val="20"/>
          <w:szCs w:val="20"/>
        </w:rPr>
        <w:t xml:space="preserve"> </w:t>
      </w:r>
      <w:r>
        <w:rPr>
          <w:rFonts w:cs="Times New Roman" w:ascii="PT Astra Serif" w:hAnsi="PT Astra Serif"/>
          <w:color w:val="000000" w:themeColor="text1"/>
          <w:sz w:val="26"/>
          <w:szCs w:val="26"/>
        </w:rPr>
        <w:t xml:space="preserve">была обязанность по уплате арендной платы по договору аренды земельного участка с К№ 71:30:030824:22.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решением Тульской городской Думы от 10.07.2002 года № 11/180 «О порядке предоставления земельных участков, находящихся в муниципальной собственности города Тулы», постановлением главы города Тулы от 28.01.2003 года № 150 «О передаче комитету по управлению имуществом Управы г. Тулы прав и обязанностей арендодателя земельных участков» права и обязанности арендодателя от МУП Тульский городской центр градостроительства и землеустройства по договору перешли к комитету по управлению имуществом Управы г. Тулы.</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связи с принятием Закона Тульской области от 10.12.2008 № 1168-ЗТО «О распоряжении земельными участками, государственная собственность на которые не разграничена, в административном центре Тульской области – городе Туле» распоряжение земельными участками с 01.01.2009, государственная собственность на которые не разграничена, в административном центре Тульской области – городе Туле осуществляется администрацией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соответствии с Постановлением администрации Тульской области от 04.05.2009 № 293 «О внесении дополнений в Постановление администрации Тульской области от 21.01.2008 № 34 «Об утверждении Положения о департаменте имущественных и земельных отношений Тульской области» департамент имущественных и земельных отношений Тульской области выступает в качестве арендодателя при заключении договоров аренды земельных участков, государственная собственность на которые не разграничена, в административном центре Тульской области - городе Туле, в том числе по действующим и вновь заключаемым договорам аренды, а также по прекращенным договорам аренды, обязательства по которым не исполнены.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Указом губернатора Тульской области № 1 от 15.09.2011 «О правительстве Тульской области и органах исполнительной власти Тульской области» департамент имущественных и земельных отношений Тульской области переименован в министерство имущественных и земельных отношений Тульской области.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28.09.2011 постановлением правительства Тульской области № 6 утверждено Положение о министерстве имущественных и земельных отношений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подпунктом 36 п. 4 названного Положения Министерство имущественных и земельных отношений Тульской области выступает в качестве арендодателя при заключении договоров аренды земельных участков, государственная собственность на которые не разграничена, в административном центре Тульской области - городе Туле, в том числе по действующим и вновь заключаемым договорам аренды, а также по прекращенным договорам аренды, обязательства по которым не исполнены.</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Министерство экономического развития Тульской области является правопреемником министерства имущественных и земельных отношений Тульской области в связи с реорганизацией министерства и министерства имущественных и земельных отношений Тульской области путем присоединения министерства имущественных и земельных отношений к министерству экономического развития Тульской области  на основании указа Губернатора Тульской области от 2 ноября 2015 года № 317 «Вопросы совершенствования структуры органов исполнительной власти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Указом губернатора Тульской области от 23.09.2016 N 120 постановлено реорганизовать министерство экономического развития Тульской области путем выделения из него министерства имущественных и земельных отношений Тульской области.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Постановлением правительства Тульской области от 13.10.2016 N 452 утверждено Положение о министерстве имущественных и земельных отношений Тульской области.</w:t>
      </w:r>
    </w:p>
    <w:p>
      <w:pPr>
        <w:pStyle w:val="Normal"/>
        <w:spacing w:lineRule="auto" w:line="240" w:before="0" w:after="0"/>
        <w:ind w:firstLine="709"/>
        <w:jc w:val="both"/>
        <w:rPr>
          <w:rFonts w:ascii="PT Astra Serif" w:hAnsi="PT Astra Serif"/>
          <w:sz w:val="26"/>
          <w:szCs w:val="26"/>
        </w:rPr>
      </w:pPr>
      <w:r>
        <w:rPr>
          <w:rFonts w:ascii="PT Astra Serif" w:hAnsi="PT Astra Serif"/>
          <w:sz w:val="26"/>
          <w:szCs w:val="26"/>
        </w:rPr>
        <w:t>20.11.2014 г. Тульской областной Думой принят Закон № 2218-ЗТО «О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 Согласно п. 1 ст. 1, п. 2 ст. 5 названного закона, с 01.01.2015 г.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 государственная собственность на которые не разграничена.</w:t>
      </w:r>
    </w:p>
    <w:p>
      <w:pPr>
        <w:pStyle w:val="Normal"/>
        <w:spacing w:lineRule="auto" w:line="240" w:before="0" w:after="0"/>
        <w:ind w:firstLine="709"/>
        <w:jc w:val="both"/>
        <w:rPr>
          <w:rFonts w:ascii="PT Astra Serif" w:hAnsi="PT Astra Serif"/>
          <w:sz w:val="26"/>
          <w:szCs w:val="26"/>
        </w:rPr>
      </w:pPr>
      <w:r>
        <w:rPr>
          <w:rFonts w:ascii="PT Astra Serif" w:hAnsi="PT Astra Serif"/>
          <w:sz w:val="26"/>
          <w:szCs w:val="26"/>
        </w:rPr>
        <w:t xml:space="preserve">В соответствии со ст. 1 Закона Тульской области “О перераспределении полномочий между органами местного самоуправления муниципального образования г. Тула и органами государственной власти Тульской области” от 28.11.2019 № 118-ЗТО </w:t>
      </w:r>
      <w:r>
        <w:rPr>
          <w:rFonts w:eastAsia="Times New Roman" w:cs="Times New Roman" w:ascii="PT Astra Serif" w:hAnsi="PT Astra Serif"/>
          <w:sz w:val="26"/>
          <w:szCs w:val="26"/>
          <w:lang w:eastAsia="ru-RU"/>
        </w:rPr>
        <w:t>Правительство Тульской области осуществляет полномочия органов местного самоуправления муниципального образования город Тула: по предоставлению земельных участков, государственная собственность на которые не разграничена, расположенных в границах муниципального образования город Тула.</w:t>
      </w:r>
    </w:p>
    <w:p>
      <w:pPr>
        <w:pStyle w:val="Normal"/>
        <w:spacing w:lineRule="auto" w:line="240" w:before="0" w:after="0"/>
        <w:ind w:firstLine="709"/>
        <w:jc w:val="both"/>
        <w:rPr>
          <w:rFonts w:ascii="PT Astra Serif" w:hAnsi="PT Astra Serif"/>
          <w:sz w:val="26"/>
          <w:szCs w:val="26"/>
        </w:rPr>
      </w:pPr>
      <w:r>
        <w:rPr>
          <w:rFonts w:eastAsia="Calibri" w:ascii="PT Astra Serif" w:hAnsi="PT Astra Serif"/>
          <w:sz w:val="26"/>
          <w:szCs w:val="26"/>
          <w:lang w:eastAsia="ru-RU"/>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w:t>
      </w:r>
      <w:r>
        <w:rPr>
          <w:rFonts w:eastAsia="Times New Roman" w:cs="Times New Roman" w:ascii="PT Astra Serif" w:hAnsi="PT Astra Serif"/>
          <w:sz w:val="26"/>
          <w:szCs w:val="26"/>
          <w:lang w:eastAsia="ru-RU"/>
        </w:rPr>
        <w:t xml:space="preserve">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sz w:val="26"/>
          <w:szCs w:val="26"/>
          <w:lang w:eastAsia="ru-RU"/>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 xml:space="preserve">Согласно п. 1 ст. 614 ГК РФ арендатор обязан своевременно вносить плату                              за пользование имуществом (арендную плату). </w:t>
      </w:r>
    </w:p>
    <w:p>
      <w:pPr>
        <w:pStyle w:val="Default"/>
        <w:ind w:firstLine="709"/>
        <w:jc w:val="both"/>
        <w:rPr>
          <w:rFonts w:ascii="PT Astra Serif" w:hAnsi="PT Astra Serif"/>
          <w:sz w:val="26"/>
          <w:szCs w:val="26"/>
        </w:rPr>
      </w:pPr>
      <w:r>
        <w:rPr>
          <w:rFonts w:ascii="PT Astra Serif" w:hAnsi="PT Astra Serif"/>
          <w:sz w:val="26"/>
          <w:szCs w:val="26"/>
        </w:rPr>
        <w:t xml:space="preserve">В соответствии с п. 3.1 Договора, ежегодная ставка арендной платы устанавливается равной ставке земельного налога, определенной в соответствии с действующим законодательством за данный вид использования земли, при этом выплата всей суммы арендной платы за текущий год должна быть произведена не позднее 15 ноября. </w:t>
      </w:r>
    </w:p>
    <w:p>
      <w:pPr>
        <w:pStyle w:val="Default"/>
        <w:ind w:firstLine="709"/>
        <w:jc w:val="both"/>
        <w:rPr>
          <w:rFonts w:ascii="PT Astra Serif" w:hAnsi="PT Astra Serif"/>
          <w:sz w:val="26"/>
          <w:szCs w:val="26"/>
        </w:rPr>
      </w:pPr>
      <w:r>
        <w:rPr>
          <w:rFonts w:ascii="PT Astra Serif" w:hAnsi="PT Astra Serif"/>
          <w:sz w:val="26"/>
          <w:szCs w:val="26"/>
        </w:rPr>
        <w:t xml:space="preserve">Арендные платежи начинают исчисляться с даты государственной регистрации договора. Начисление арендной платы производится органами государственной налоговой службы, которая вручает платежное извещение об уплате арендной платы. </w:t>
      </w:r>
    </w:p>
    <w:p>
      <w:pPr>
        <w:pStyle w:val="Default"/>
        <w:ind w:firstLine="709"/>
        <w:jc w:val="both"/>
        <w:rPr>
          <w:rFonts w:ascii="PT Astra Serif" w:hAnsi="PT Astra Serif"/>
          <w:sz w:val="26"/>
          <w:szCs w:val="26"/>
        </w:rPr>
      </w:pPr>
      <w:r>
        <w:rPr>
          <w:rFonts w:ascii="PT Astra Serif" w:hAnsi="PT Astra Serif"/>
          <w:sz w:val="26"/>
          <w:szCs w:val="26"/>
        </w:rPr>
        <w:t xml:space="preserve">В соответствии с п. 3.4 Договора, арендодатель вправе в одностороннем порядке изменить размер арендной платы в случае, если в г. Туле в установленном порядке определена иная (новая) ставка налога, о чем арендодатель информирует арендатора соответствующим уведомлением или через средства массовой печати. </w:t>
      </w:r>
    </w:p>
    <w:p>
      <w:pPr>
        <w:pStyle w:val="Default"/>
        <w:ind w:firstLine="709"/>
        <w:jc w:val="both"/>
        <w:rPr>
          <w:rFonts w:ascii="PT Astra Serif" w:hAnsi="PT Astra Serif"/>
          <w:sz w:val="26"/>
          <w:szCs w:val="26"/>
        </w:rPr>
      </w:pPr>
      <w:r>
        <w:rPr>
          <w:rFonts w:ascii="PT Astra Serif" w:hAnsi="PT Astra Serif"/>
          <w:sz w:val="26"/>
          <w:szCs w:val="26"/>
        </w:rPr>
        <w:t xml:space="preserve">Согласно п. 3.5 договора, в случае неуплаты арендной платы до 15 ноября текущего года и отсутствия соответствующего разрешения арендодателя на отсрочку платежа, арендатор уплачивает арендодателю за каждый день просрочки пеню в размере, определенном законом «О плате за землю». </w:t>
      </w:r>
    </w:p>
    <w:p>
      <w:pPr>
        <w:pStyle w:val="Default"/>
        <w:ind w:firstLine="709"/>
        <w:jc w:val="both"/>
        <w:rPr>
          <w:rFonts w:ascii="PT Astra Serif" w:hAnsi="PT Astra Serif"/>
          <w:sz w:val="26"/>
          <w:szCs w:val="26"/>
        </w:rPr>
      </w:pPr>
      <w:r>
        <w:rPr>
          <w:rFonts w:eastAsia="Calibri" w:ascii="PT Astra Serif" w:hAnsi="PT Astra Serif"/>
          <w:sz w:val="26"/>
          <w:szCs w:val="26"/>
        </w:rPr>
        <w:t>В установленной законодательством РФ и Договором срок обязанности                                   по своевременной оплате арендной платы Ответчик не исполнила. В результате чего за ней за период с 20.11.2010 по 31.08.2020 образовалась задолженность по арендной плате</w:t>
      </w:r>
      <w:r>
        <w:rPr>
          <w:rFonts w:eastAsia="Times New Roman" w:ascii="PT Astra Serif" w:hAnsi="PT Astra Serif"/>
          <w:color w:val="000000" w:themeColor="text1"/>
          <w:sz w:val="26"/>
          <w:szCs w:val="26"/>
          <w:lang w:eastAsia="ru-RU"/>
        </w:rPr>
        <w:t xml:space="preserve"> по договору аренды № Д-203 от 28.05.1999 </w:t>
      </w:r>
      <w:r>
        <w:rPr>
          <w:rFonts w:eastAsia="Calibri" w:ascii="PT Astra Serif" w:hAnsi="PT Astra Serif"/>
          <w:sz w:val="26"/>
          <w:szCs w:val="26"/>
        </w:rPr>
        <w:t>в размере 34 894,50 руб., пени в размере 27 497,24 руб., а всего 62 391,74  руб.</w:t>
      </w:r>
      <w:r>
        <w:rPr>
          <w:rFonts w:eastAsia="Calibri" w:ascii="PT Astra Serif" w:hAnsi="PT Astra Serif"/>
          <w:bCs/>
          <w:sz w:val="26"/>
          <w:szCs w:val="26"/>
        </w:rPr>
        <w:t xml:space="preserve"> (расчет – прилагается к иску).</w:t>
      </w:r>
    </w:p>
    <w:p>
      <w:pPr>
        <w:pStyle w:val="Default"/>
        <w:ind w:firstLine="709"/>
        <w:jc w:val="both"/>
        <w:rPr/>
      </w:pPr>
      <w:r>
        <w:rPr>
          <w:rFonts w:eastAsia="Times New Roman" w:ascii="PT Astra Serif" w:hAnsi="PT Astra Serif"/>
          <w:color w:val="000000" w:themeColor="text1"/>
          <w:sz w:val="26"/>
          <w:szCs w:val="26"/>
          <w:lang w:eastAsia="ru-RU"/>
        </w:rPr>
        <w:t xml:space="preserve">В силу положения п. 1 ст. 330 ГК РФ неустойкой (штрафом, пеней) признается определенная </w:t>
      </w:r>
      <w:hyperlink r:id="rId2">
        <w:r>
          <w:rPr>
            <w:rFonts w:eastAsia="Times New Roman" w:ascii="PT Astra Serif" w:hAnsi="PT Astra Serif"/>
            <w:color w:val="000000" w:themeColor="text1"/>
            <w:sz w:val="26"/>
            <w:szCs w:val="26"/>
            <w:lang w:eastAsia="ru-RU"/>
          </w:rPr>
          <w:t>законом</w:t>
        </w:r>
      </w:hyperlink>
      <w:r>
        <w:rPr>
          <w:rFonts w:eastAsia="Times New Roman" w:ascii="PT Astra Serif" w:hAnsi="PT Astra Serif"/>
          <w:color w:val="000000" w:themeColor="text1"/>
          <w:sz w:val="26"/>
          <w:szCs w:val="26"/>
          <w:lang w:eastAsia="ru-RU"/>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Default"/>
        <w:ind w:firstLine="709"/>
        <w:jc w:val="both"/>
        <w:rPr/>
      </w:pPr>
      <w:r>
        <w:rPr>
          <w:rFonts w:eastAsia="Times New Roman" w:ascii="PT Astra Serif" w:hAnsi="PT Astra Serif"/>
          <w:color w:val="000000" w:themeColor="text1"/>
          <w:sz w:val="26"/>
          <w:szCs w:val="26"/>
          <w:lang w:eastAsia="ru-RU"/>
        </w:rPr>
        <w:t xml:space="preserve">Из разъяснений, изложенных в п. 1 </w:t>
      </w:r>
      <w:r>
        <w:rPr>
          <w:rFonts w:ascii="PT Astra Serif" w:hAnsi="PT Astra Serif"/>
          <w:color w:val="000000" w:themeColor="text1"/>
          <w:sz w:val="26"/>
          <w:szCs w:val="26"/>
        </w:rPr>
        <w:t xml:space="preserve">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w:t>
      </w:r>
      <w:hyperlink r:id="rId3">
        <w:r>
          <w:rPr>
            <w:rFonts w:ascii="PT Astra Serif" w:hAnsi="PT Astra Serif"/>
            <w:color w:val="000000" w:themeColor="text1"/>
            <w:sz w:val="26"/>
            <w:szCs w:val="26"/>
          </w:rPr>
          <w:t>статей 330</w:t>
        </w:r>
      </w:hyperlink>
      <w:r>
        <w:rPr>
          <w:rFonts w:ascii="PT Astra Serif" w:hAnsi="PT Astra Serif"/>
          <w:color w:val="000000" w:themeColor="text1"/>
          <w:sz w:val="26"/>
          <w:szCs w:val="26"/>
        </w:rPr>
        <w:t xml:space="preserve">, </w:t>
      </w:r>
      <w:hyperlink r:id="rId4">
        <w:r>
          <w:rPr>
            <w:rFonts w:ascii="PT Astra Serif" w:hAnsi="PT Astra Serif"/>
            <w:color w:val="000000" w:themeColor="text1"/>
            <w:sz w:val="26"/>
            <w:szCs w:val="26"/>
          </w:rPr>
          <w:t>395</w:t>
        </w:r>
      </w:hyperlink>
      <w:r>
        <w:rPr>
          <w:rFonts w:ascii="PT Astra Serif" w:hAnsi="PT Astra Serif"/>
          <w:color w:val="000000" w:themeColor="text1"/>
          <w:sz w:val="26"/>
          <w:szCs w:val="26"/>
        </w:rPr>
        <w:t xml:space="preserve">, </w:t>
      </w:r>
      <w:hyperlink r:id="rId5">
        <w:r>
          <w:rPr>
            <w:rFonts w:ascii="PT Astra Serif" w:hAnsi="PT Astra Serif"/>
            <w:color w:val="000000" w:themeColor="text1"/>
            <w:sz w:val="26"/>
            <w:szCs w:val="26"/>
          </w:rPr>
          <w:t>809</w:t>
        </w:r>
      </w:hyperlink>
      <w:r>
        <w:rPr>
          <w:rFonts w:ascii="PT Astra Serif" w:hAnsi="PT Astra Serif"/>
          <w:color w:val="000000" w:themeColor="text1"/>
          <w:sz w:val="26"/>
          <w:szCs w:val="26"/>
        </w:rPr>
        <w:t xml:space="preserve">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Default"/>
        <w:ind w:firstLine="709"/>
        <w:jc w:val="both"/>
        <w:rPr>
          <w:rFonts w:ascii="PT Astra Serif" w:hAnsi="PT Astra Serif"/>
          <w:sz w:val="26"/>
          <w:szCs w:val="26"/>
        </w:rPr>
      </w:pPr>
      <w:r>
        <w:rPr>
          <w:rFonts w:eastAsia="Times New Roman" w:ascii="PT Astra Serif" w:hAnsi="PT Astra Serif"/>
          <w:sz w:val="26"/>
          <w:szCs w:val="26"/>
          <w:lang w:eastAsia="ru-RU"/>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sz w:val="26"/>
          <w:szCs w:val="26"/>
          <w:lang w:eastAsia="ru-RU"/>
        </w:rPr>
        <w:t>В подтверждение соблюдения досудебного порядка урегулирования спора министерством в адрес ответчика (</w:t>
      </w:r>
      <w:r>
        <w:rPr>
          <w:rFonts w:eastAsia="Calibri" w:cs="Times New Roman" w:ascii="PT Astra Serif" w:hAnsi="PT Astra Serif" w:eastAsiaTheme="minorHAnsi"/>
          <w:color w:val="auto"/>
          <w:kern w:val="0"/>
          <w:sz w:val="20"/>
          <w:szCs w:val="20"/>
          <w:lang w:val="ru-RU" w:eastAsia="en-US" w:bidi="ar-SA"/>
        </w:rPr>
        <w:t>ХХХХХХХ</w:t>
      </w:r>
      <w:r>
        <w:rPr>
          <w:rFonts w:eastAsia="Times New Roman" w:cs="Times New Roman" w:ascii="PT Astra Serif" w:hAnsi="PT Astra Serif"/>
          <w:sz w:val="20"/>
          <w:szCs w:val="20"/>
          <w:lang w:eastAsia="ru-RU"/>
        </w:rPr>
        <w:t xml:space="preserve"> </w:t>
      </w:r>
      <w:r>
        <w:rPr>
          <w:rFonts w:eastAsia="Times New Roman" w:cs="Times New Roman" w:ascii="PT Astra Serif" w:hAnsi="PT Astra Serif"/>
          <w:sz w:val="26"/>
          <w:szCs w:val="26"/>
          <w:lang w:eastAsia="ru-RU"/>
        </w:rPr>
        <w:t>) направлена претензия от 04.10.2022 № 29-01-13/13992  с требованием в 10-дневный срок со дня получения данной претензии оплатить образовавшуюся задолженность по арендной плате в размере 34 894,50</w:t>
      </w:r>
      <w:r>
        <w:rPr>
          <w:rFonts w:eastAsia="Calibri" w:cs="Times New Roman" w:ascii="PT Astra Serif" w:hAnsi="PT Astra Serif"/>
          <w:sz w:val="26"/>
          <w:szCs w:val="26"/>
          <w:lang w:eastAsia="ru-RU"/>
        </w:rPr>
        <w:t xml:space="preserve"> руб., пени в размере 27 497,24 руб., а всего 62 39,74 руб.</w:t>
      </w:r>
      <w:r>
        <w:rPr>
          <w:rFonts w:eastAsia="Calibri" w:cs="Times New Roman" w:ascii="PT Astra Serif" w:hAnsi="PT Astra Serif"/>
          <w:bCs/>
          <w:sz w:val="26"/>
          <w:szCs w:val="26"/>
          <w:lang w:eastAsia="ru-RU"/>
        </w:rPr>
        <w:t xml:space="preserve"> </w:t>
      </w:r>
      <w:r>
        <w:rPr>
          <w:rFonts w:eastAsia="Times New Roman" w:cs="Times New Roman" w:ascii="PT Astra Serif" w:hAnsi="PT Astra Serif"/>
          <w:sz w:val="26"/>
          <w:szCs w:val="26"/>
          <w:lang w:eastAsia="ru-RU"/>
        </w:rPr>
        <w:t xml:space="preserve">  Указанная претензия министерства оставлена ответчиком без ответа и без удовлетворения.</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sz w:val="26"/>
          <w:szCs w:val="26"/>
          <w:lang w:eastAsia="ru-RU"/>
        </w:rPr>
        <w:t>Таким образом, корреспонденция в адрес ответчика направлена в соответствии с пунктами 35, 36 Правил оказания услуг почтовой связи, утвержденных Постановлением Правительства Российской Федерации № 221 от 15.04.2005.</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Положениями ст. 11 ГК РФ установлено право на судебную защиту нарушенных или оспоренных гражданских прав.</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Защита гражданских прав осуществляется способами, указанными в ст. 12 ГК РФ, к которым, в том числе, относятся: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возмещения убытков;</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взыскания неустойки;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иные способы, предусмотренные законом.</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color w:val="000000" w:themeColor="text1"/>
          <w:sz w:val="26"/>
          <w:szCs w:val="26"/>
          <w:lang w:eastAsia="ru-RU"/>
        </w:rPr>
        <w:t>Предъявляя иск о взыскании задолженности, пеней по договору аренды земельного участка № Д-203 от 28.05.1999 г.</w:t>
      </w:r>
      <w:r>
        <w:rPr>
          <w:rFonts w:cs="Times New Roman" w:ascii="PT Astra Serif" w:hAnsi="PT Astra Serif"/>
          <w:color w:val="000000" w:themeColor="text1"/>
          <w:sz w:val="26"/>
          <w:szCs w:val="26"/>
        </w:rPr>
        <w:t xml:space="preserve">, </w:t>
      </w:r>
      <w:r>
        <w:rPr>
          <w:rFonts w:eastAsia="Times New Roman" w:cs="Times New Roman" w:ascii="PT Astra Serif" w:hAnsi="PT Astra Serif"/>
          <w:color w:val="000000" w:themeColor="text1"/>
          <w:sz w:val="26"/>
          <w:szCs w:val="26"/>
          <w:lang w:eastAsia="ru-RU"/>
        </w:rPr>
        <w:t>истец использует предусмотренный законом способ защиты права.</w:t>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color w:val="000000"/>
          <w:sz w:val="26"/>
          <w:szCs w:val="26"/>
          <w:lang w:eastAsia="ru-RU"/>
        </w:rPr>
        <w:t xml:space="preserve">В соответствии с подп. 19 п. 1 ст. 333.36 Налогового кодекса Российской Федерации государственные органы, органы местного самоуправления, выступающие в </w:t>
      </w:r>
      <w:r>
        <w:rPr>
          <w:rFonts w:eastAsia="Times New Roman" w:cs="Times New Roman" w:ascii="PT Astra Serif" w:hAnsi="PT Astra Serif"/>
          <w:color w:val="000000"/>
          <w:sz w:val="26"/>
          <w:szCs w:val="26"/>
          <w:lang w:eastAsia="ru-RU"/>
        </w:rPr>
        <w:t xml:space="preserve">судах общей юрисдикции в качестве истцов или ответчиков, </w:t>
      </w:r>
      <w:r>
        <w:rPr>
          <w:rFonts w:eastAsia="Calibri" w:cs="Times New Roman" w:ascii="PT Astra Serif" w:hAnsi="PT Astra Serif"/>
          <w:color w:val="000000"/>
          <w:sz w:val="26"/>
          <w:szCs w:val="26"/>
          <w:lang w:eastAsia="ru-RU"/>
        </w:rPr>
        <w:t>освобождены от уплаты госпошлины.</w:t>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color w:val="000000"/>
          <w:sz w:val="26"/>
          <w:szCs w:val="26"/>
          <w:lang w:eastAsia="ru-RU"/>
        </w:rPr>
        <w:t>На основании вышеизложенного, руководствуясь статьями 3, 28, 131, 132  Гражданского процессуального кодекса Российской Федерации, подпунктом 19 п. 1 статьи 333.36 Налогового кодекса Российской Федерации,</w:t>
      </w:r>
    </w:p>
    <w:p>
      <w:pPr>
        <w:pStyle w:val="Normal"/>
        <w:spacing w:lineRule="auto" w:line="240" w:before="0" w:after="0"/>
        <w:ind w:firstLine="709"/>
        <w:jc w:val="both"/>
        <w:rPr>
          <w:rFonts w:ascii="PT Astra Serif" w:hAnsi="PT Astra Serif" w:eastAsia="Calibri" w:cs="Times New Roman"/>
          <w:color w:val="000000"/>
          <w:sz w:val="26"/>
          <w:szCs w:val="26"/>
          <w:lang w:eastAsia="ru-RU"/>
        </w:rPr>
      </w:pPr>
      <w:r>
        <w:rPr>
          <w:rFonts w:eastAsia="Calibri" w:cs="Times New Roman" w:ascii="PT Astra Serif" w:hAnsi="PT Astra Serif"/>
          <w:color w:val="000000"/>
          <w:sz w:val="26"/>
          <w:szCs w:val="26"/>
          <w:lang w:eastAsia="ru-RU"/>
        </w:rPr>
      </w:r>
    </w:p>
    <w:p>
      <w:pPr>
        <w:pStyle w:val="Normal"/>
        <w:spacing w:lineRule="auto" w:line="240" w:before="0" w:after="0"/>
        <w:jc w:val="center"/>
        <w:rPr>
          <w:rFonts w:ascii="PT Astra Serif" w:hAnsi="PT Astra Serif"/>
          <w:sz w:val="26"/>
          <w:szCs w:val="26"/>
        </w:rPr>
      </w:pPr>
      <w:r>
        <w:rPr>
          <w:rFonts w:eastAsia="Times New Roman" w:cs="Times New Roman" w:ascii="PT Astra Serif" w:hAnsi="PT Astra Serif"/>
          <w:b/>
          <w:color w:val="000000"/>
          <w:sz w:val="26"/>
          <w:szCs w:val="26"/>
          <w:lang w:eastAsia="ru-RU"/>
        </w:rPr>
        <w:t>ПРОШУ:</w:t>
      </w:r>
    </w:p>
    <w:p>
      <w:pPr>
        <w:pStyle w:val="Normal"/>
        <w:spacing w:lineRule="auto" w:line="240" w:before="0" w:after="0"/>
        <w:ind w:firstLine="709"/>
        <w:rPr>
          <w:rFonts w:ascii="PT Astra Serif" w:hAnsi="PT Astra Serif"/>
          <w:sz w:val="26"/>
          <w:szCs w:val="26"/>
        </w:rPr>
      </w:pPr>
      <w:r>
        <w:rPr>
          <w:rFonts w:ascii="PT Astra Serif" w:hAnsi="PT Astra Serif"/>
          <w:sz w:val="26"/>
          <w:szCs w:val="26"/>
        </w:rPr>
      </w:r>
    </w:p>
    <w:p>
      <w:pPr>
        <w:pStyle w:val="Normal"/>
        <w:spacing w:lineRule="auto" w:line="240" w:before="0" w:after="0"/>
        <w:ind w:firstLine="709"/>
        <w:jc w:val="both"/>
        <w:rPr>
          <w:rFonts w:ascii="PT Astra Serif" w:hAnsi="PT Astra Serif"/>
          <w:sz w:val="26"/>
          <w:szCs w:val="26"/>
        </w:rPr>
      </w:pPr>
      <w:r>
        <w:rPr>
          <w:rFonts w:eastAsia="Times New Roman" w:cs="Times New Roman" w:ascii="PT Astra Serif" w:hAnsi="PT Astra Serif"/>
          <w:color w:val="000000"/>
          <w:sz w:val="26"/>
          <w:szCs w:val="26"/>
          <w:lang w:eastAsia="ru-RU"/>
        </w:rPr>
        <w:t xml:space="preserve">- взыскать с ответчика – </w:t>
      </w:r>
      <w:r>
        <w:rPr>
          <w:rFonts w:eastAsia="Calibri" w:cs="Times New Roman" w:ascii="PT Astra Serif" w:hAnsi="PT Astra Serif" w:eastAsiaTheme="minorHAnsi"/>
          <w:color w:val="auto"/>
          <w:kern w:val="0"/>
          <w:sz w:val="20"/>
          <w:szCs w:val="20"/>
          <w:lang w:val="ru-RU" w:eastAsia="en-US" w:bidi="ar-SA"/>
        </w:rPr>
        <w:t>ХХХХХХХ</w:t>
      </w:r>
      <w:r>
        <w:rPr>
          <w:rFonts w:eastAsia="Times New Roman" w:cs="Times New Roman" w:ascii="PT Astra Serif" w:hAnsi="PT Astra Serif"/>
          <w:color w:val="000000"/>
          <w:sz w:val="20"/>
          <w:szCs w:val="20"/>
          <w:lang w:eastAsia="ru-RU"/>
        </w:rPr>
        <w:t xml:space="preserve"> </w:t>
      </w:r>
      <w:r>
        <w:rPr>
          <w:rFonts w:eastAsia="Times New Roman" w:cs="Times New Roman" w:ascii="PT Astra Serif" w:hAnsi="PT Astra Serif"/>
          <w:color w:val="000000"/>
          <w:sz w:val="26"/>
          <w:szCs w:val="26"/>
          <w:lang w:eastAsia="ru-RU"/>
        </w:rPr>
        <w:t xml:space="preserve"> (</w:t>
      </w:r>
      <w:r>
        <w:rPr>
          <w:rFonts w:eastAsia="Calibri" w:cs="Times New Roman" w:ascii="PT Astra Serif" w:hAnsi="PT Astra Serif" w:eastAsiaTheme="minorHAnsi"/>
          <w:color w:val="auto"/>
          <w:kern w:val="0"/>
          <w:sz w:val="20"/>
          <w:szCs w:val="20"/>
          <w:lang w:val="ru-RU" w:eastAsia="en-US" w:bidi="ar-SA"/>
        </w:rPr>
        <w:t>ХХХХХХХ</w:t>
      </w:r>
      <w:r>
        <w:rPr>
          <w:rFonts w:eastAsia="Times New Roman" w:cs="Times New Roman" w:ascii="PT Astra Serif" w:hAnsi="PT Astra Serif"/>
          <w:color w:val="000000"/>
          <w:sz w:val="20"/>
          <w:szCs w:val="20"/>
          <w:lang w:eastAsia="ru-RU"/>
        </w:rPr>
        <w:t xml:space="preserve"> </w:t>
      </w:r>
      <w:r>
        <w:rPr>
          <w:rFonts w:eastAsia="Times New Roman" w:cs="Times New Roman" w:ascii="PT Astra Serif" w:hAnsi="PT Astra Serif"/>
          <w:color w:val="000000"/>
          <w:sz w:val="26"/>
          <w:szCs w:val="26"/>
          <w:lang w:eastAsia="ru-RU"/>
        </w:rPr>
        <w:t xml:space="preserve"> года рождения) в пользу истца - министерства имущественных и земельных отношений Тульской области задолженность по арендной плате по договору аренды земельного № Д-203 от 28.05.1999 за период с 20.11.2010 по 31.08.2020 включительно в сумме 34 894,50 </w:t>
      </w:r>
      <w:r>
        <w:rPr>
          <w:rFonts w:eastAsia="Calibri" w:cs="Times New Roman" w:ascii="PT Astra Serif" w:hAnsi="PT Astra Serif"/>
          <w:color w:val="000000"/>
          <w:sz w:val="26"/>
          <w:szCs w:val="26"/>
          <w:lang w:eastAsia="ru-RU"/>
        </w:rPr>
        <w:t>руб., пени в размере 27 497,24 руб., а всего 62 391,74  руб. с последующим начислением пени до момента фактического исполнения обязательства по договору аренды земельного участка.</w:t>
      </w:r>
    </w:p>
    <w:p>
      <w:pPr>
        <w:pStyle w:val="Normal"/>
        <w:spacing w:lineRule="auto" w:line="240" w:before="0" w:after="0"/>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r>
    </w:p>
    <w:p>
      <w:pPr>
        <w:pStyle w:val="Normal"/>
        <w:spacing w:lineRule="auto" w:line="240" w:before="0" w:after="0"/>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 xml:space="preserve">     </w:t>
      </w:r>
      <w:r>
        <w:rPr>
          <w:rFonts w:eastAsia="Times New Roman" w:cs="Times New Roman" w:ascii="PT Astra Serif" w:hAnsi="PT Astra Serif"/>
          <w:sz w:val="20"/>
          <w:szCs w:val="20"/>
          <w:lang w:eastAsia="ru-RU"/>
        </w:rPr>
        <w:t>Приложения:</w:t>
      </w:r>
    </w:p>
    <w:p>
      <w:pPr>
        <w:pStyle w:val="Normal"/>
        <w:numPr>
          <w:ilvl w:val="0"/>
          <w:numId w:val="14"/>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Копия договора аренды земельного участка № Д-203 от 28.05.1999 с приложенными документами;</w:t>
      </w:r>
    </w:p>
    <w:p>
      <w:pPr>
        <w:pStyle w:val="Normal"/>
        <w:numPr>
          <w:ilvl w:val="0"/>
          <w:numId w:val="15"/>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Расчет задолженности</w:t>
      </w:r>
      <w:r>
        <w:rPr>
          <w:rFonts w:cs="Times New Roman" w:ascii="PT Astra Serif" w:hAnsi="PT Astra Serif"/>
          <w:sz w:val="20"/>
          <w:szCs w:val="20"/>
        </w:rPr>
        <w:t>;</w:t>
      </w:r>
    </w:p>
    <w:p>
      <w:pPr>
        <w:pStyle w:val="Normal"/>
        <w:numPr>
          <w:ilvl w:val="0"/>
          <w:numId w:val="16"/>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 xml:space="preserve">Копия претензии от 04.10.2022; </w:t>
      </w:r>
    </w:p>
    <w:p>
      <w:pPr>
        <w:pStyle w:val="Normal"/>
        <w:numPr>
          <w:ilvl w:val="0"/>
          <w:numId w:val="17"/>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Копия отчета об отслеживании почтового отправления;</w:t>
      </w:r>
    </w:p>
    <w:p>
      <w:pPr>
        <w:pStyle w:val="Normal"/>
        <w:numPr>
          <w:ilvl w:val="0"/>
          <w:numId w:val="18"/>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Копия списка почтовых отправлений;</w:t>
      </w:r>
    </w:p>
    <w:p>
      <w:pPr>
        <w:pStyle w:val="Normal"/>
        <w:numPr>
          <w:ilvl w:val="0"/>
          <w:numId w:val="19"/>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Копия ответа УФНС по Тульской области от 20.09.2022;</w:t>
      </w:r>
    </w:p>
    <w:p>
      <w:pPr>
        <w:pStyle w:val="Normal"/>
        <w:numPr>
          <w:ilvl w:val="0"/>
          <w:numId w:val="20"/>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Копия адресной справки в отношении ответчика;</w:t>
      </w:r>
    </w:p>
    <w:p>
      <w:pPr>
        <w:pStyle w:val="Normal"/>
        <w:numPr>
          <w:ilvl w:val="0"/>
          <w:numId w:val="21"/>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Копия выписки из ЕГРН на з.у. с К№ 71:30:030824:22;</w:t>
      </w:r>
    </w:p>
    <w:p>
      <w:pPr>
        <w:pStyle w:val="Normal"/>
        <w:numPr>
          <w:ilvl w:val="0"/>
          <w:numId w:val="22"/>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Копия выписки из ЕГРН на з.у. с К№ 71:30:030824:540;</w:t>
      </w:r>
    </w:p>
    <w:p>
      <w:pPr>
        <w:pStyle w:val="Normal"/>
        <w:numPr>
          <w:ilvl w:val="0"/>
          <w:numId w:val="23"/>
        </w:numPr>
        <w:spacing w:lineRule="auto" w:line="240" w:before="0" w:after="0"/>
        <w:jc w:val="both"/>
        <w:rPr>
          <w:rFonts w:ascii="PT Astra Serif" w:hAnsi="PT Astra Serif" w:eastAsia="Times New Roman" w:cs="Times New Roman"/>
          <w:sz w:val="20"/>
          <w:szCs w:val="20"/>
          <w:lang w:eastAsia="ru-RU"/>
        </w:rPr>
      </w:pPr>
      <w:r>
        <w:rPr>
          <w:rFonts w:eastAsia="Times New Roman" w:cs="Times New Roman" w:ascii="PT Astra Serif" w:hAnsi="PT Astra Serif"/>
          <w:sz w:val="20"/>
          <w:szCs w:val="20"/>
          <w:lang w:eastAsia="ru-RU"/>
        </w:rPr>
        <w:t>Копия выписки из ЕГРН в отношении жилого дома с К№ 71:30:030824:283;</w:t>
      </w:r>
    </w:p>
    <w:p>
      <w:pPr>
        <w:pStyle w:val="ListParagraph"/>
        <w:numPr>
          <w:ilvl w:val="0"/>
          <w:numId w:val="24"/>
        </w:numPr>
        <w:spacing w:lineRule="auto" w:line="240" w:before="0" w:after="0"/>
        <w:ind w:left="284" w:hanging="0"/>
        <w:contextualSpacing/>
        <w:jc w:val="both"/>
        <w:rPr>
          <w:rFonts w:ascii="PT Astra Serif" w:hAnsi="PT Astra Serif" w:cs="Times New Roman"/>
          <w:bCs/>
          <w:sz w:val="20"/>
          <w:szCs w:val="20"/>
        </w:rPr>
      </w:pPr>
      <w:bookmarkStart w:id="0" w:name="_GoBack"/>
      <w:bookmarkEnd w:id="0"/>
      <w:r>
        <w:rPr>
          <w:rFonts w:cs="Times New Roman" w:ascii="PT Astra Serif" w:hAnsi="PT Astra Serif"/>
          <w:sz w:val="20"/>
          <w:szCs w:val="20"/>
        </w:rPr>
        <w:t xml:space="preserve">Копия доверенности представителя, подписавшего исковое заявление. </w:t>
      </w:r>
    </w:p>
    <w:p>
      <w:pPr>
        <w:pStyle w:val="ListParagraph"/>
        <w:numPr>
          <w:ilvl w:val="0"/>
          <w:numId w:val="25"/>
        </w:numPr>
        <w:spacing w:lineRule="auto" w:line="240" w:before="0" w:after="0"/>
        <w:ind w:left="284" w:hanging="0"/>
        <w:contextualSpacing/>
        <w:jc w:val="both"/>
        <w:rPr>
          <w:rFonts w:ascii="PT Astra Serif" w:hAnsi="PT Astra Serif" w:cs="Times New Roman"/>
          <w:bCs/>
          <w:sz w:val="20"/>
          <w:szCs w:val="20"/>
        </w:rPr>
      </w:pPr>
      <w:r>
        <w:rPr>
          <w:rFonts w:eastAsia="Times New Roman" w:cs="Times New Roman" w:ascii="PT Astra Serif" w:hAnsi="PT Astra Serif"/>
          <w:sz w:val="20"/>
          <w:szCs w:val="20"/>
          <w:lang w:eastAsia="ru-RU"/>
        </w:rPr>
        <w:t>Копия почтовых реестров о направлении иска с приложениями лицам участвующим в деле</w:t>
      </w:r>
      <w:r>
        <w:rPr>
          <w:rFonts w:cs="Times New Roman" w:ascii="PT Astra Serif" w:hAnsi="PT Astra Serif"/>
          <w:sz w:val="20"/>
          <w:szCs w:val="20"/>
        </w:rPr>
        <w:t>.</w:t>
      </w:r>
    </w:p>
    <w:p>
      <w:pPr>
        <w:pStyle w:val="ListParagraph"/>
        <w:spacing w:lineRule="auto" w:line="240" w:before="0" w:after="0"/>
        <w:ind w:left="284" w:hanging="0"/>
        <w:contextualSpacing/>
        <w:jc w:val="both"/>
        <w:rPr>
          <w:rFonts w:ascii="PT Astra Serif" w:hAnsi="PT Astra Serif" w:cs="Times New Roman"/>
          <w:bCs/>
          <w:sz w:val="24"/>
          <w:szCs w:val="24"/>
        </w:rPr>
      </w:pPr>
      <w:r>
        <w:rPr>
          <w:rFonts w:cs="Times New Roman" w:ascii="PT Astra Serif" w:hAnsi="PT Astra Serif"/>
          <w:bCs/>
          <w:sz w:val="24"/>
          <w:szCs w:val="24"/>
        </w:rPr>
      </w:r>
    </w:p>
    <w:p>
      <w:pPr>
        <w:pStyle w:val="ListParagraph"/>
        <w:spacing w:lineRule="auto" w:line="240" w:before="0" w:after="0"/>
        <w:ind w:left="284" w:hanging="0"/>
        <w:contextualSpacing/>
        <w:jc w:val="both"/>
        <w:rPr>
          <w:rFonts w:ascii="PT Astra Serif" w:hAnsi="PT Astra Serif" w:cs="Times New Roman"/>
          <w:bCs/>
          <w:sz w:val="24"/>
          <w:szCs w:val="24"/>
        </w:rPr>
      </w:pPr>
      <w:r>
        <w:rPr>
          <w:rFonts w:cs="Times New Roman" w:ascii="PT Astra Serif" w:hAnsi="PT Astra Serif"/>
          <w:bCs/>
          <w:sz w:val="24"/>
          <w:szCs w:val="24"/>
        </w:rPr>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 xml:space="preserve">Представитель министерства имущественных                                             </w:t>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 xml:space="preserve">и земельных отношений Тульской области  </w:t>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 xml:space="preserve">по доверенности                                                                                                 </w:t>
      </w:r>
      <w:r>
        <w:rPr>
          <w:rFonts w:eastAsia="Calibri" w:cs="Times New Roman" w:ascii="PT Astra Serif" w:hAnsi="PT Astra Serif" w:eastAsiaTheme="minorHAnsi"/>
          <w:b/>
          <w:color w:val="auto"/>
          <w:kern w:val="0"/>
          <w:sz w:val="20"/>
          <w:szCs w:val="20"/>
          <w:lang w:val="ru-RU" w:eastAsia="en-US" w:bidi="ar-SA"/>
        </w:rPr>
        <w:t>ХХХХХХХ</w:t>
      </w:r>
      <w:r>
        <w:rPr>
          <w:rFonts w:eastAsia="Calibri" w:cs="Times New Roman" w:ascii="PT Astra Serif" w:hAnsi="PT Astra Serif"/>
          <w:b/>
          <w:sz w:val="20"/>
          <w:szCs w:val="20"/>
        </w:rPr>
        <w:t xml:space="preserve"> </w:t>
      </w:r>
      <w:r>
        <w:rPr>
          <w:rFonts w:eastAsia="Calibri" w:cs="Times New Roman" w:ascii="PT Astra Serif" w:hAnsi="PT Astra Serif"/>
          <w:b/>
          <w:sz w:val="24"/>
          <w:szCs w:val="24"/>
        </w:rPr>
        <w:t xml:space="preserve">                                                                             </w:t>
      </w:r>
    </w:p>
    <w:p>
      <w:pPr>
        <w:pStyle w:val="Normal"/>
        <w:spacing w:lineRule="auto" w:line="240" w:before="0" w:after="0"/>
        <w:rPr>
          <w:rFonts w:ascii="PT Astra Serif" w:hAnsi="PT Astra Serif" w:eastAsia="Calibri" w:cs="Times New Roman"/>
          <w:b/>
          <w:b/>
          <w:sz w:val="20"/>
          <w:szCs w:val="20"/>
        </w:rPr>
      </w:pPr>
      <w:r>
        <w:rPr>
          <w:rFonts w:eastAsia="Calibri" w:cs="Times New Roman" w:ascii="PT Astra Serif" w:hAnsi="PT Astra Serif"/>
          <w:sz w:val="20"/>
          <w:szCs w:val="20"/>
        </w:rPr>
        <w:t xml:space="preserve">Тел. </w:t>
      </w:r>
      <w:r>
        <w:rPr>
          <w:rFonts w:eastAsia="Calibri" w:cs="Times New Roman" w:ascii="PT Astra Serif" w:hAnsi="PT Astra Serif" w:eastAsiaTheme="minorHAnsi"/>
          <w:color w:val="auto"/>
          <w:kern w:val="0"/>
          <w:sz w:val="20"/>
          <w:szCs w:val="20"/>
          <w:lang w:val="ru-RU" w:eastAsia="en-US" w:bidi="ar-SA"/>
        </w:rPr>
        <w:t>ХХХХХХХ</w:t>
      </w:r>
      <w:r>
        <w:rPr>
          <w:rFonts w:eastAsia="Calibri" w:cs="Times New Roman" w:ascii="PT Astra Serif" w:hAnsi="PT Astra Serif"/>
          <w:sz w:val="20"/>
          <w:szCs w:val="20"/>
        </w:rPr>
        <w:t xml:space="preserve"> </w:t>
      </w:r>
    </w:p>
    <w:sectPr>
      <w:headerReference w:type="default" r:id="rId6"/>
      <w:footerReference w:type="default" r:id="rId7"/>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63295459"/>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3</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lvlOverride w:ilvl="0">
      <w:startOverride w:val="1"/>
    </w:lvlOverride>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w="http://schemas.openxmlformats.org/wordprocessingml/2006/main">
  <w:zoom w:percent="1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9E24669F42A727CF9A822B4C9E1B5865E8E19EE7B9734EB49FA75070E7P23DN" TargetMode="External"/><Relationship Id="rId3" Type="http://schemas.openxmlformats.org/officeDocument/2006/relationships/hyperlink" Target="consultantplus://offline/ref=201B11482E39609B535E8191863C6749827A8A30FCAD3FD3727691056040F6311C70455ED99E4E9FJ3MCJ" TargetMode="External"/><Relationship Id="rId4" Type="http://schemas.openxmlformats.org/officeDocument/2006/relationships/hyperlink" Target="consultantplus://offline/ref=201B11482E39609B535E8191863C6749827A8A30FCAD3FD3727691056040F6311C70455ED99E4097J3M3J" TargetMode="External"/><Relationship Id="rId5" Type="http://schemas.openxmlformats.org/officeDocument/2006/relationships/hyperlink" Target="consultantplus://offline/ref=201B11482E39609B535E8191863C6749827B8237F9A93FD3727691056040F6311C70455ED99E4C9AJ3M1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A5CE2-F7F8-4B5C-94B9-03EB1756A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LibreOffice/7.2.0.4$Linux_X86_64 LibreOffice_project/9a9c6381e3f7a62afc1329bd359cc48accb6435b</Application>
  <AppVersion>15.0000</AppVersion>
  <Pages>5</Pages>
  <Words>1781</Words>
  <Characters>12086</Characters>
  <CharactersWithSpaces>14122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2022-04-25T09:28:00Z</dcterms:created>
  <dc:creator>Кузнецов Михаил Вадимович</dc:creator>
  <dc:description/>
  <dc:language>ru-RU</dc:language>
  <cp:lastModifiedBy/>
  <cp:lastPrinted>2023-03-01T13:05:02Z</cp:lastPrinted>
  <dcterms:modified xsi:type="dcterms:W3CDTF">2023-11-10T12:42:52Z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