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42"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4361"/>
        <w:gridCol w:w="5880"/>
      </w:tblGrid>
      <w:tr>
        <w:trPr>
          <w:trHeight w:val="3783" w:hRule="atLeast"/>
        </w:trPr>
        <w:tc>
          <w:tcPr>
            <w:tcW w:w="4361"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23.01.2023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tc>
        <w:tc>
          <w:tcPr>
            <w:tcW w:w="5880" w:type="dxa"/>
            <w:tcBorders/>
          </w:tcPr>
          <w:p>
            <w:pPr>
              <w:pStyle w:val="Normal"/>
              <w:widowControl w:val="false"/>
              <w:pBdr>
                <w:bottom w:val="single" w:sz="4" w:space="1" w:color="000000"/>
              </w:pBdr>
              <w:spacing w:lineRule="auto" w:line="240" w:before="0" w:after="0"/>
              <w:jc w:val="center"/>
              <w:rPr>
                <w:rFonts w:ascii="PT Astra Serif" w:hAnsi="PT Astra Serif" w:cs="Times New Roman"/>
                <w:b/>
                <w:b/>
                <w:sz w:val="26"/>
                <w:szCs w:val="26"/>
              </w:rPr>
            </w:pPr>
            <w:r>
              <w:rPr>
                <w:rFonts w:cs="Times New Roman" w:ascii="PT Astra Serif" w:hAnsi="PT Astra Serif"/>
                <w:b/>
                <w:sz w:val="26"/>
                <w:szCs w:val="26"/>
              </w:rPr>
              <w:t xml:space="preserve">Центральный районный суд г. Тулы </w:t>
            </w:r>
          </w:p>
          <w:p>
            <w:pPr>
              <w:pStyle w:val="Normal"/>
              <w:widowControl w:val="false"/>
              <w:spacing w:lineRule="auto" w:line="240" w:before="0" w:after="0"/>
              <w:jc w:val="center"/>
              <w:rPr>
                <w:rFonts w:ascii="PT Astra Serif" w:hAnsi="PT Astra Serif"/>
                <w:sz w:val="20"/>
                <w:szCs w:val="20"/>
              </w:rPr>
            </w:pPr>
            <w:r>
              <w:rPr>
                <w:rFonts w:ascii="PT Astra Serif" w:hAnsi="PT Astra Serif"/>
                <w:sz w:val="20"/>
                <w:szCs w:val="20"/>
              </w:rPr>
              <w:t>300002, г. Тула, ул. Луначарского, д. 76</w:t>
            </w:r>
          </w:p>
          <w:p>
            <w:pPr>
              <w:pStyle w:val="Normal"/>
              <w:widowControl w:val="false"/>
              <w:spacing w:lineRule="auto" w:line="240" w:before="0" w:after="0"/>
              <w:jc w:val="center"/>
              <w:rPr>
                <w:rFonts w:ascii="PT Astra Serif" w:hAnsi="PT Astra Serif"/>
                <w:sz w:val="20"/>
                <w:szCs w:val="20"/>
              </w:rPr>
            </w:pPr>
            <w:r>
              <w:rPr>
                <w:rFonts w:ascii="PT Astra Serif" w:hAnsi="PT Astra Serif"/>
                <w:sz w:val="20"/>
                <w:szCs w:val="20"/>
              </w:rPr>
            </w:r>
          </w:p>
          <w:p>
            <w:pPr>
              <w:pStyle w:val="Normal"/>
              <w:widowControl w:val="false"/>
              <w:tabs>
                <w:tab w:val="clear" w:pos="708"/>
                <w:tab w:val="left" w:pos="5786" w:leader="none"/>
              </w:tabs>
              <w:spacing w:lineRule="auto" w:line="240" w:before="0" w:after="0"/>
              <w:ind w:left="34" w:right="34" w:hanging="0"/>
              <w:jc w:val="center"/>
              <w:rPr>
                <w:rFonts w:ascii="PT Astra Serif" w:hAnsi="PT Astra Serif" w:eastAsia="Calibri"/>
                <w:b/>
                <w:b/>
                <w:sz w:val="24"/>
                <w:szCs w:val="24"/>
              </w:rPr>
            </w:pPr>
            <w:r>
              <w:rPr>
                <w:rFonts w:eastAsia="Calibri" w:ascii="PT Astra Serif" w:hAnsi="PT Astra Serif"/>
                <w:b/>
                <w:sz w:val="24"/>
                <w:szCs w:val="24"/>
              </w:rPr>
              <w:t>Истец:</w:t>
            </w:r>
          </w:p>
          <w:p>
            <w:pPr>
              <w:pStyle w:val="Normal"/>
              <w:widowControl w:val="false"/>
              <w:tabs>
                <w:tab w:val="clear" w:pos="708"/>
                <w:tab w:val="left" w:pos="5786" w:leader="none"/>
              </w:tabs>
              <w:spacing w:lineRule="auto" w:line="240" w:before="0" w:after="0"/>
              <w:ind w:right="34" w:hanging="0"/>
              <w:rPr>
                <w:rFonts w:ascii="PT Astra Serif" w:hAnsi="PT Astra Serif" w:eastAsia="Calibri"/>
                <w:b/>
                <w:b/>
                <w:sz w:val="24"/>
                <w:szCs w:val="24"/>
              </w:rPr>
            </w:pPr>
            <w:r>
              <w:rPr>
                <w:rFonts w:eastAsia="Calibri" w:ascii="PT Astra Serif" w:hAnsi="PT Astra Serif"/>
                <w:b/>
                <w:sz w:val="24"/>
                <w:szCs w:val="24"/>
              </w:rPr>
            </w:r>
          </w:p>
          <w:p>
            <w:pPr>
              <w:pStyle w:val="Normal"/>
              <w:widowControl w:val="false"/>
              <w:pBdr>
                <w:bottom w:val="single" w:sz="4" w:space="1" w:color="000000"/>
              </w:pBdr>
              <w:tabs>
                <w:tab w:val="clear" w:pos="708"/>
                <w:tab w:val="left" w:pos="5786" w:leader="none"/>
              </w:tabs>
              <w:spacing w:lineRule="auto" w:line="240" w:before="0" w:after="0"/>
              <w:ind w:left="34" w:right="34" w:hanging="0"/>
              <w:jc w:val="center"/>
              <w:rPr>
                <w:rFonts w:ascii="PT Astra Serif" w:hAnsi="PT Astra Serif" w:eastAsia="Calibri"/>
                <w:sz w:val="26"/>
                <w:szCs w:val="26"/>
              </w:rPr>
            </w:pPr>
            <w:r>
              <w:rPr>
                <w:rFonts w:eastAsia="Calibri" w:ascii="PT Astra Serif" w:hAnsi="PT Astra Serif"/>
                <w:sz w:val="26"/>
                <w:szCs w:val="26"/>
              </w:rPr>
              <w:t>Министерство имущественных и земельных отношений Тульской области</w:t>
            </w:r>
          </w:p>
          <w:p>
            <w:pPr>
              <w:pStyle w:val="Normal"/>
              <w:widowControl w:val="false"/>
              <w:pBdr>
                <w:bottom w:val="single" w:sz="4" w:space="1" w:color="000000"/>
              </w:pBdr>
              <w:tabs>
                <w:tab w:val="clear" w:pos="708"/>
                <w:tab w:val="left" w:pos="5786" w:leader="none"/>
              </w:tabs>
              <w:spacing w:lineRule="auto" w:line="240" w:before="0" w:after="0"/>
              <w:ind w:left="34" w:right="34" w:hanging="0"/>
              <w:jc w:val="center"/>
              <w:rPr>
                <w:rFonts w:ascii="PT Astra Serif" w:hAnsi="PT Astra Serif"/>
                <w:sz w:val="26"/>
                <w:szCs w:val="26"/>
              </w:rPr>
            </w:pPr>
            <w:r>
              <w:rPr>
                <w:rFonts w:ascii="PT Astra Serif" w:hAnsi="PT Astra Serif"/>
                <w:sz w:val="26"/>
                <w:szCs w:val="26"/>
              </w:rPr>
              <w:t xml:space="preserve">ИНН: </w:t>
            </w:r>
            <w:r>
              <w:rPr>
                <w:rFonts w:eastAsia="Calibri" w:cs="" w:ascii="PT Astra Serif" w:hAnsi="PT Astra Serif" w:cstheme="minorBidi" w:eastAsiaTheme="minorHAnsi"/>
                <w:color w:val="auto"/>
                <w:kern w:val="0"/>
                <w:sz w:val="26"/>
                <w:szCs w:val="26"/>
                <w:lang w:val="ru-RU" w:eastAsia="en-US" w:bidi="ar-SA"/>
              </w:rPr>
              <w:t>ХХХХХХ</w:t>
            </w:r>
            <w:r>
              <w:rPr>
                <w:rFonts w:ascii="PT Astra Serif" w:hAnsi="PT Astra Serif"/>
                <w:sz w:val="26"/>
                <w:szCs w:val="26"/>
              </w:rPr>
              <w:t>; ОГРН:</w:t>
            </w:r>
            <w:r>
              <w:rPr>
                <w:rFonts w:cs="TimesNewRomanPSMT" w:ascii="PT Astra Serif" w:hAnsi="PT Astra Serif"/>
                <w:sz w:val="26"/>
                <w:szCs w:val="26"/>
              </w:rPr>
              <w:t xml:space="preserve">  </w:t>
            </w:r>
            <w:r>
              <w:rPr>
                <w:rFonts w:eastAsia="Calibri" w:cs="" w:ascii="PT Astra Serif" w:hAnsi="PT Astra Serif" w:cstheme="minorBidi" w:eastAsiaTheme="minorHAnsi"/>
                <w:color w:val="auto"/>
                <w:kern w:val="0"/>
                <w:sz w:val="26"/>
                <w:szCs w:val="26"/>
                <w:lang w:val="ru-RU" w:eastAsia="en-US" w:bidi="ar-SA"/>
              </w:rPr>
              <w:t>ХХХХХХ</w:t>
            </w:r>
          </w:p>
          <w:p>
            <w:pPr>
              <w:pStyle w:val="Normal"/>
              <w:widowControl w:val="false"/>
              <w:pBdr>
                <w:bottom w:val="single" w:sz="4" w:space="1" w:color="000000"/>
              </w:pBdr>
              <w:tabs>
                <w:tab w:val="clear" w:pos="708"/>
                <w:tab w:val="left" w:pos="5786" w:leader="none"/>
              </w:tabs>
              <w:spacing w:lineRule="auto" w:line="240" w:before="0" w:after="0"/>
              <w:ind w:left="34" w:right="34" w:hanging="0"/>
              <w:jc w:val="center"/>
              <w:rPr>
                <w:rFonts w:ascii="PT Astra Serif" w:hAnsi="PT Astra Serif"/>
                <w:sz w:val="26"/>
                <w:szCs w:val="26"/>
              </w:rPr>
            </w:pPr>
            <w:r>
              <w:rPr>
                <w:rFonts w:eastAsia="Calibri" w:cs="" w:ascii="PT Astra Serif" w:hAnsi="PT Astra Serif" w:cstheme="minorBidi" w:eastAsiaTheme="minorHAnsi"/>
                <w:color w:val="auto"/>
                <w:kern w:val="0"/>
                <w:sz w:val="26"/>
                <w:szCs w:val="26"/>
                <w:lang w:val="ru-RU" w:eastAsia="en-US" w:bidi="ar-SA"/>
              </w:rPr>
              <w:t>ХХХХХХ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6"/>
                <w:szCs w:val="26"/>
                <w:u w:val="single"/>
              </w:rPr>
            </w:pPr>
            <w:r>
              <w:rPr>
                <w:rFonts w:cs="Times New Roman" w:ascii="PT Astra Serif" w:hAnsi="PT Astra Serif"/>
                <w:b/>
                <w:sz w:val="26"/>
                <w:szCs w:val="26"/>
                <w:u w:val="single"/>
              </w:rPr>
              <w:t xml:space="preserve">Ответчик: </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ХХХХХХ</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ХХХХХХ г.р.</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 xml:space="preserve">Паспорт гражданина РФ, серия </w:t>
            </w:r>
            <w:r>
              <w:rPr>
                <w:rFonts w:cs="Times New Roman" w:ascii="PT Astra Serif" w:hAnsi="PT Astra Serif"/>
                <w:sz w:val="26"/>
                <w:szCs w:val="26"/>
              </w:rPr>
              <w:t>ХХХХХХ</w:t>
            </w:r>
            <w:r>
              <w:rPr>
                <w:rFonts w:cs="Times New Roman" w:ascii="PT Astra Serif" w:hAnsi="PT Astra Serif"/>
                <w:sz w:val="20"/>
                <w:szCs w:val="20"/>
              </w:rPr>
              <w:t xml:space="preserve">№ </w:t>
            </w:r>
            <w:r>
              <w:rPr>
                <w:rFonts w:cs="Times New Roman" w:ascii="PT Astra Serif" w:hAnsi="PT Astra Serif"/>
                <w:sz w:val="26"/>
                <w:szCs w:val="26"/>
              </w:rPr>
              <w:t>ХХХХХХ</w:t>
            </w:r>
            <w:r>
              <w:rPr>
                <w:rFonts w:cs="Times New Roman" w:ascii="PT Astra Serif" w:hAnsi="PT Astra Serif"/>
                <w:sz w:val="20"/>
                <w:szCs w:val="20"/>
              </w:rPr>
              <w:t xml:space="preserve"> выдан </w:t>
            </w:r>
            <w:r>
              <w:rPr>
                <w:rFonts w:cs="Times New Roman" w:ascii="PT Astra Serif" w:hAnsi="PT Astra Serif"/>
                <w:sz w:val="26"/>
                <w:szCs w:val="26"/>
              </w:rPr>
              <w:t>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cs="Times New Roman" w:ascii="PT Astra Serif" w:hAnsi="PT Astra Serif"/>
          <w:b/>
          <w:sz w:val="26"/>
          <w:szCs w:val="26"/>
        </w:rPr>
        <w:t>ИСКОВОЕ ЗАЯВЛЕНИЕ</w:t>
      </w:r>
    </w:p>
    <w:p>
      <w:pPr>
        <w:pStyle w:val="Normal"/>
        <w:spacing w:lineRule="auto" w:line="240" w:before="0" w:after="0"/>
        <w:jc w:val="center"/>
        <w:rPr>
          <w:rFonts w:ascii="PT Astra Serif" w:hAnsi="PT Astra Serif"/>
          <w:sz w:val="26"/>
          <w:szCs w:val="26"/>
        </w:rPr>
      </w:pPr>
      <w:r>
        <w:rPr>
          <w:rFonts w:cs="Times New Roman" w:ascii="PT Astra Serif" w:hAnsi="PT Astra Serif"/>
          <w:sz w:val="26"/>
          <w:szCs w:val="26"/>
        </w:rPr>
        <w:t>о взыскании задолженности, пеней по арендной плате</w:t>
      </w:r>
    </w:p>
    <w:p>
      <w:pPr>
        <w:pStyle w:val="Normal"/>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решением Тульской городской Думы от 10.07.2002г. №11/180 «О порядке предоставления земельных участков, находящихся в муниципальной собственности Тулы», постановлением Главы г. Тулы от 28.01.2003г. № 150 «О передаче Комитету по управлению имуществом Управы г. Тулы прав и обязанностей арендодателя земельных участков», арендодателем земельных участков, распоряжение которыми находится в компетенции органа местного самоуправления муниципального образования город Тула Тульской области, в том числе по действующим и вновь заключаемым договорам аренды, а также по прекращенным договорам аренды, обязательства которых не исполнены, являлся Комитет по управлению имуществом Управы г. Тулы.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ХХХХХХ года между Комитетом по управлению имуществом Управы г. Тулы и ХХХХХХ составлен и подписан договор аренды земельного участка № ХХХХХХ, на основании Постановления Главы города Тулы № 1249  от 12.07.2005.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Согласно п. 1.1. Арендодатель предоставляет, а Арендатор принимает в аренду земельный участок:</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кадастровый номер: 71:30:080411:0033</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площадью 1117 кв.м.</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расположенный по адресу: г. Тула, Центральный район, пос. Менделеевский, пр. Бархатный, 26 (участок находится примерно в 80м по направлению на юг от ориентира жилой дом, расположенного за пределами участка, адрес ориентира: Тульская обл., Центральный р-н, п. Менделеевский, пр. Бархатный, 26);</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Договор заключен на срок 10 лет (п. 3.1 Договора).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соответствии с п. 3.3 договора Если арендатор продолжает пользоваться земельным участком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связи с принятием Закона Тульской области от 10.12.2008 № 1168-ЗТО «О распоряжении земельными участками, государственная собственность на которые не разграничена, в административном центре Тульской области – городе Туле» распоряжение земельными участками с 01.01.2009, государственная собственность на которые не разграничена, в административном центре Тульской области – городе Туле осуществляется администрацией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соответствии с Постановлением администрации Тульской области от 04.05.2009 № 293 «О внесении дополнений в Постановление администрации Тульской области от 21.01.2008 № 34 «Об утверждении Положения о департаменте имущественных и земельных отношений Тульской области» департамент имущественных и земельных отношений Тульской области выступает в качестве арендодателя при заключении договоров аренды земельных участков, государственная собственность на которые не разграничена, в административном центре Тульской области - городе Туле, в том числе по действующим и вновь заключаемым договорам аренды, а также по прекращенным договорам аренды, обязательства по которым не исполнены.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Указом губернатора Тульской области № 1 от 15.09.2011 «О правительстве Тульской области и органах исполнительной власти Тульской области» департамент имущественных и земельных отношений Тульской области переименован в министерство имущественных и земельных отношений Тульской области.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28.09.2011 постановлением правительства Тульской области № 6 утверждено Положение о министерстве имущественных и земельных отношений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подпунктом 36 п. 4 названного Положения Министерство имущественных и земельных отношений Тульской области выступает в качестве арендодателя при заключении договоров аренды земельных участков, государственная собственность на которые не разграничена, в административном центре Тульской области - городе Туле, в том числе по действующим и вновь заключаемым договорам аренды, а также по прекращенным договорам аренды, обязательства по которым не исполнены.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Министерство экономического развития Тульской области является правопреемником министерства имущественных и земельных отношений Тульской области в связи с реорганизацией министерства и министерства имущественных и земельных отношений Тульской области путем присоединения министерства имущественных и земельных отношений к министерству экономического развития Тульской области  на основании указа Губернатора Тульской области от 2 ноября 2015 года № 317 «Вопросы совершенствования структуры органов исполнительной власти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Указом губернатора Тульской области от 23.09.2016 N 120 постановлено реорганизовать министерство экономического развития Тульской области путем выделения из него министерства имущественных и земельных отношений Тульской области.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Постановлением правительства Тульской области от 13.10.2016 N 452 утверждено Положение о министерстве имущественных и земельных отношений Тульской области.</w:t>
      </w:r>
    </w:p>
    <w:p>
      <w:pPr>
        <w:pStyle w:val="Normal"/>
        <w:spacing w:lineRule="auto" w:line="240" w:before="0" w:after="0"/>
        <w:ind w:firstLine="709"/>
        <w:jc w:val="both"/>
        <w:rPr>
          <w:rFonts w:ascii="PT Astra Serif" w:hAnsi="PT Astra Serif"/>
          <w:sz w:val="26"/>
          <w:szCs w:val="26"/>
        </w:rPr>
      </w:pPr>
      <w:r>
        <w:rPr>
          <w:rFonts w:ascii="PT Astra Serif" w:hAnsi="PT Astra Serif"/>
          <w:sz w:val="26"/>
          <w:szCs w:val="26"/>
        </w:rPr>
        <w:t>20.11.2014 г. Тульской областной Думой принят Закон № 2218-ЗТО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Согласно п. 1 ст. 1, п. 2 ст. 5 названного закона, с 01.01.2015 г.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w:t>
      </w:r>
    </w:p>
    <w:p>
      <w:pPr>
        <w:pStyle w:val="Normal"/>
        <w:spacing w:lineRule="auto" w:line="240" w:before="0" w:after="0"/>
        <w:ind w:firstLine="709"/>
        <w:jc w:val="both"/>
        <w:rPr>
          <w:rFonts w:ascii="PT Astra Serif" w:hAnsi="PT Astra Serif"/>
          <w:sz w:val="26"/>
          <w:szCs w:val="26"/>
        </w:rPr>
      </w:pPr>
      <w:r>
        <w:rPr>
          <w:rFonts w:ascii="PT Astra Serif" w:hAnsi="PT Astra Serif"/>
          <w:sz w:val="26"/>
          <w:szCs w:val="26"/>
        </w:rPr>
        <w:t xml:space="preserve">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w:t>
      </w:r>
      <w:r>
        <w:rPr>
          <w:rFonts w:eastAsia="Times New Roman" w:cs="Times New Roman" w:ascii="PT Astra Serif" w:hAnsi="PT Astra Serif"/>
          <w:sz w:val="26"/>
          <w:szCs w:val="26"/>
          <w:lang w:eastAsia="ru-RU"/>
        </w:rPr>
        <w:t>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firstLine="709"/>
        <w:jc w:val="both"/>
        <w:rPr>
          <w:rFonts w:ascii="PT Astra Serif" w:hAnsi="PT Astra Serif"/>
          <w:sz w:val="26"/>
          <w:szCs w:val="26"/>
        </w:rPr>
      </w:pPr>
      <w:r>
        <w:rPr>
          <w:rFonts w:eastAsia="Calibri" w:ascii="PT Astra Serif" w:hAnsi="PT Astra Serif"/>
          <w:sz w:val="26"/>
          <w:szCs w:val="26"/>
          <w:lang w:eastAsia="ru-RU"/>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w:t>
      </w:r>
      <w:r>
        <w:rPr>
          <w:rFonts w:eastAsia="Times New Roman" w:cs="Times New Roman" w:ascii="PT Astra Serif" w:hAnsi="PT Astra Serif"/>
          <w:sz w:val="26"/>
          <w:szCs w:val="26"/>
          <w:lang w:eastAsia="ru-RU"/>
        </w:rPr>
        <w:t xml:space="preserve">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sz w:val="26"/>
          <w:szCs w:val="26"/>
          <w:lang w:eastAsia="ru-RU"/>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color w:val="000000"/>
          <w:sz w:val="26"/>
          <w:szCs w:val="26"/>
        </w:rPr>
        <w:t xml:space="preserve">В силу положения п. 1 ст. 382 ГК РФ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закона. </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color w:val="000000"/>
          <w:sz w:val="26"/>
          <w:szCs w:val="26"/>
        </w:rPr>
        <w:t xml:space="preserve">Согласно п. 1 ст. 387 ГК РФ права кредитора по обязательству переходят к другому лицу на основании закона и наступления указанных в нем обстоятельств: в результате универсального </w:t>
      </w:r>
      <w:r>
        <w:rPr>
          <w:rFonts w:eastAsia="Calibri" w:cs="Times New Roman" w:ascii="PT Astra Serif" w:hAnsi="PT Astra Serif"/>
          <w:sz w:val="26"/>
          <w:szCs w:val="26"/>
        </w:rPr>
        <w:t>правопреемства в правах кредитора; по решению суда о переводе прав кредитора на другое лицо, когда возможность такого перевода предусмотрена законом; вследствие исполнения обязательства должника его поручителем или залогодателем, не являющимся должником по этому обязательству; при суброгации страховщику прав кредитора к должнику, ответственному за наступление страхового случая; в других случаях, предусмотренных законом.</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sz w:val="26"/>
          <w:szCs w:val="26"/>
        </w:rPr>
        <w:t>Поскольку в силу прямого указания закона Министерству переданы полномочия по осуществлению распоряжения земельными участками, государственная собственность на которые не разграничена, в МО г. Тула, к нему перешли права арендодателя по Договору.</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sz w:val="26"/>
          <w:szCs w:val="26"/>
        </w:rPr>
        <w:t xml:space="preserve">Заочным решением Центрального районного суда г. Тулы от ХХХХХХ по делу № ХХХХХХ договор аренды земельного участка № 05Ц0984Г от  30.12.2005 расторгнут. Суд обязал ХХХХХХ в течении 30 календарных дней с  даты вступления решения суда в законную силу освободить земельный участок с К№ 71:30:080411:33, передать земельный участок по акту приема-передачи Министерству. </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sz w:val="26"/>
          <w:szCs w:val="26"/>
        </w:rPr>
        <w:t xml:space="preserve">Заочное решение Центрального районного суда г. Тулы от ХХХХХХ по делу №ХХХХХХ вступило в законную силу 22.09.2021. </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color w:val="000000" w:themeColor="text1"/>
          <w:sz w:val="26"/>
          <w:szCs w:val="26"/>
          <w:lang w:eastAsia="ru-RU"/>
        </w:rPr>
        <w:t>В силу положения ст. 622 ГК РФ 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sz w:val="26"/>
          <w:szCs w:val="26"/>
        </w:rPr>
        <w:t xml:space="preserve">До настоящего времени земельный участок с К№  71:30:080411:33 по акту приема-передачи Министерству не передан. </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 xml:space="preserve">Согласно п. 1 ст. 614 ГК РФ арендатор обязан своевременно вносить плату                              за пользование имуществом (арендную плату). </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В силу п. 1 ст. 65 ЗК РФ формами платы за использование земли являются земельный налог и арендная плата.</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Как разъяснено в п. 8 Постановления Пленума ВАС РФ от 06.06.2014 № 35                               «О последствиях расторжения договора» в случае расторжения договора, предусматривавшего передачу имущества во владение или пользование (например, аренда, ссуда), лицо, получившее имущество по договору, обязано в разумный срок возвратить его стороне, передавшей это имущество. Порядок исполнения этого обязательства определяется положениями общей части обязательственного права, включая правила главы 22 ГК РФ, и специальными нормами об отдельных видах договоров (например, статьи 622, 655, 664 Кодекса) либо договором, в том числе, если договор регулирует порядок возврата имущества по окончании срока его действия. В таком случае положения главы 60 ГК РФ применению не подлежат.</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При этом в случае расторжения договора аренды взысканию также подлежат установленные договором платежи за пользование имуществом до дня фактического возвращения имущества лицу, предоставившему это имущество в пользование, а также убытки и неустойка за просрочку арендатора по день фактического исполнения им всех своих обязательств (статья 622 ГК РФ).</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color w:val="000000" w:themeColor="text1"/>
          <w:sz w:val="26"/>
          <w:szCs w:val="26"/>
          <w:lang w:eastAsia="ru-RU"/>
        </w:rPr>
        <w:t xml:space="preserve">Таким образом, поскольку ответчик до настоящего времени не передала Министерству земельный участок с К№  </w:t>
      </w:r>
      <w:r>
        <w:rPr>
          <w:rFonts w:eastAsia="Calibri" w:cs="Times New Roman" w:ascii="PT Astra Serif" w:hAnsi="PT Astra Serif"/>
          <w:color w:val="000000" w:themeColor="text1"/>
          <w:sz w:val="26"/>
          <w:szCs w:val="26"/>
          <w:lang w:eastAsia="ru-RU"/>
        </w:rPr>
        <w:t xml:space="preserve"> 71:30:080411:33</w:t>
      </w:r>
      <w:r>
        <w:rPr>
          <w:rFonts w:eastAsia="Times New Roman" w:cs="Times New Roman" w:ascii="PT Astra Serif" w:hAnsi="PT Astra Serif"/>
          <w:color w:val="000000" w:themeColor="text1"/>
          <w:sz w:val="26"/>
          <w:szCs w:val="26"/>
          <w:lang w:eastAsia="ru-RU"/>
        </w:rPr>
        <w:t xml:space="preserve"> по акту приема-передачи, то в силу Закона за ней сохранилась обязанность по внесению арендной платы за период фактического использования земельного участка. </w:t>
      </w:r>
    </w:p>
    <w:p>
      <w:pPr>
        <w:pStyle w:val="Default"/>
        <w:ind w:firstLine="709"/>
        <w:jc w:val="both"/>
        <w:rPr>
          <w:rFonts w:ascii="PT Astra Serif" w:hAnsi="PT Astra Serif"/>
          <w:sz w:val="26"/>
          <w:szCs w:val="26"/>
        </w:rPr>
      </w:pPr>
      <w:r>
        <w:rPr>
          <w:rFonts w:eastAsia="Calibri" w:ascii="PT Astra Serif" w:hAnsi="PT Astra Serif"/>
          <w:bCs/>
          <w:sz w:val="26"/>
          <w:szCs w:val="26"/>
        </w:rPr>
        <w:t xml:space="preserve">В соответствии с п. 4.3 договора, размер арендной платы определяется на основании государственных и муниципальных нормативно-правовых актов. В соответствии с п.п. 4.5, 4.6 договора, в период действия договора размер арендной платы изменяется арендодателем в одностороннем порядке, то есть независимо от согласия арендатора. Основанием изменения размера арендной платы являются нормативные акты, изменяющие порядок исчисления арендной платы и (или) отдельные показатели, используемые при исчислении размера арендной платы. Размер арендной платы изменяется не чаще, чем один раз в календарный год независимо от даты заключения договора и даты предыдущего изменения размера арендной платы. </w:t>
      </w:r>
    </w:p>
    <w:p>
      <w:pPr>
        <w:pStyle w:val="Default"/>
        <w:ind w:firstLine="709"/>
        <w:jc w:val="both"/>
        <w:rPr>
          <w:rFonts w:ascii="PT Astra Serif" w:hAnsi="PT Astra Serif"/>
          <w:sz w:val="26"/>
          <w:szCs w:val="26"/>
        </w:rPr>
      </w:pPr>
      <w:r>
        <w:rPr>
          <w:rFonts w:eastAsia="Calibri" w:ascii="PT Astra Serif" w:hAnsi="PT Astra Serif"/>
          <w:sz w:val="26"/>
          <w:szCs w:val="26"/>
        </w:rPr>
        <w:t>В установленной законодательством РФ и Договором срок обязанности                                   по своевременной оплате арендной платы Ответчик не исполнил. В результате чего за ней за период с 01.01.2021 по 31.12.2022 образовалась задолженность по арендной плате</w:t>
      </w:r>
      <w:r>
        <w:rPr>
          <w:rFonts w:eastAsia="Times New Roman" w:ascii="PT Astra Serif" w:hAnsi="PT Astra Serif"/>
          <w:color w:val="000000" w:themeColor="text1"/>
          <w:sz w:val="26"/>
          <w:szCs w:val="26"/>
          <w:lang w:eastAsia="ru-RU"/>
        </w:rPr>
        <w:t xml:space="preserve"> по договору аренды № 05Ц0984Г от 30.12.2005 </w:t>
      </w:r>
      <w:r>
        <w:rPr>
          <w:rFonts w:eastAsia="Calibri" w:ascii="PT Astra Serif" w:hAnsi="PT Astra Serif"/>
          <w:sz w:val="26"/>
          <w:szCs w:val="26"/>
        </w:rPr>
        <w:t xml:space="preserve">в размере 54 044 руб., пени в размере 810,66 руб., а всего 54 854,66 руб. (расчет прилагается к иску). </w:t>
      </w:r>
    </w:p>
    <w:p>
      <w:pPr>
        <w:pStyle w:val="Default"/>
        <w:ind w:firstLine="709"/>
        <w:jc w:val="both"/>
        <w:rPr>
          <w:rFonts w:ascii="PT Astra Serif" w:hAnsi="PT Astra Serif"/>
          <w:sz w:val="26"/>
          <w:szCs w:val="26"/>
        </w:rPr>
      </w:pPr>
      <w:r>
        <w:rPr>
          <w:rFonts w:eastAsia="Calibri" w:ascii="PT Astra Serif" w:hAnsi="PT Astra Serif"/>
          <w:sz w:val="26"/>
          <w:szCs w:val="26"/>
        </w:rPr>
        <w:t>В силу положения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Default"/>
        <w:ind w:firstLine="709"/>
        <w:jc w:val="both"/>
        <w:rPr>
          <w:rFonts w:ascii="PT Astra Serif" w:hAnsi="PT Astra Serif"/>
          <w:sz w:val="26"/>
          <w:szCs w:val="26"/>
        </w:rPr>
      </w:pPr>
      <w:r>
        <w:rPr>
          <w:rFonts w:eastAsia="Calibri" w:ascii="PT Astra Serif" w:hAnsi="PT Astra Serif"/>
          <w:sz w:val="26"/>
          <w:szCs w:val="26"/>
        </w:rPr>
        <w:t>Из разъяснений, изложенных в п. 1 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статей 330, 395, 809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Default"/>
        <w:ind w:firstLine="709"/>
        <w:jc w:val="both"/>
        <w:rPr>
          <w:rFonts w:ascii="PT Astra Serif" w:hAnsi="PT Astra Serif"/>
          <w:sz w:val="26"/>
          <w:szCs w:val="26"/>
        </w:rPr>
      </w:pPr>
      <w:r>
        <w:rPr>
          <w:rFonts w:eastAsia="Calibri" w:ascii="PT Astra Serif" w:hAnsi="PT Astra Serif"/>
          <w:sz w:val="26"/>
          <w:szCs w:val="26"/>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sz w:val="26"/>
          <w:szCs w:val="26"/>
          <w:lang w:eastAsia="ru-RU"/>
        </w:rPr>
        <w:t>В подтверждение соблюдения досудебного порядка урегулирования спора Министерством в адрес ответчика (ХХХХХХ) направлена претензия от 08.12.2022 № 29-01-13/17630 с требованием о погашении образовавшейся задолженности по арендной плате и пени. Указанная претензия Министерства оставлена ответчиком без ответа и без удовлетворения.</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sz w:val="26"/>
          <w:szCs w:val="26"/>
          <w:lang w:eastAsia="ru-RU"/>
        </w:rPr>
        <w:t xml:space="preserve">Согласно уведомлению о вручении претензия получена ответчиком 13.12.2022.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sz w:val="26"/>
          <w:szCs w:val="26"/>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возмещения убытков;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взыскания неустойки;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иные способы, предусмотренные законом.</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Предъявляя иск о взыскании задолженности, пеней по договору аренды земельного участка № 13З3126 от 25.12.2013, истец использует предусмотренный законом способ защиты права.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подп. 19 п. 1 ст. 333.36 Налогового кодекса Российской Федерации государственные органы, органы местного самоуправления, выступающие в судах общей юрисдикции в качестве истцов или ответчиков, освобождены от уплаты госпошлины.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 </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b/>
          <w:b/>
          <w:color w:val="000000" w:themeColor="text1"/>
          <w:sz w:val="26"/>
          <w:szCs w:val="26"/>
        </w:rPr>
      </w:pPr>
      <w:r>
        <w:rPr>
          <w:rFonts w:cs="Times New Roman" w:ascii="PT Astra Serif" w:hAnsi="PT Astra Serif"/>
          <w:b/>
          <w:color w:val="000000" w:themeColor="text1"/>
          <w:sz w:val="26"/>
          <w:szCs w:val="26"/>
        </w:rPr>
      </w:r>
    </w:p>
    <w:p>
      <w:pPr>
        <w:pStyle w:val="Normal"/>
        <w:tabs>
          <w:tab w:val="clear" w:pos="708"/>
          <w:tab w:val="left" w:pos="-142" w:leader="none"/>
          <w:tab w:val="left" w:pos="993" w:leader="none"/>
        </w:tabs>
        <w:spacing w:lineRule="auto" w:line="240" w:before="0" w:after="0"/>
        <w:ind w:firstLine="709"/>
        <w:jc w:val="center"/>
        <w:rPr>
          <w:rFonts w:ascii="PT Astra Serif" w:hAnsi="PT Astra Serif"/>
          <w:sz w:val="26"/>
          <w:szCs w:val="26"/>
        </w:rPr>
      </w:pPr>
      <w:r>
        <w:rPr>
          <w:rFonts w:cs="Times New Roman" w:ascii="PT Astra Serif" w:hAnsi="PT Astra Serif"/>
          <w:b/>
          <w:color w:val="000000" w:themeColor="text1"/>
          <w:sz w:val="26"/>
          <w:szCs w:val="26"/>
        </w:rPr>
        <w:t>ПРОШУ СУД:</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color w:val="000000" w:themeColor="text1"/>
          <w:sz w:val="26"/>
          <w:szCs w:val="26"/>
        </w:rPr>
      </w:pPr>
      <w:r>
        <w:rPr>
          <w:rFonts w:cs="Times New Roman" w:ascii="PT Astra Serif" w:hAnsi="PT Astra Serif"/>
          <w:color w:val="000000" w:themeColor="text1"/>
          <w:sz w:val="26"/>
          <w:szCs w:val="26"/>
        </w:rPr>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color w:val="000000" w:themeColor="text1"/>
          <w:sz w:val="26"/>
          <w:szCs w:val="26"/>
          <w:lang w:eastAsia="ru-RU"/>
        </w:rPr>
        <w:t>- взыскать с ответчика ХХХХХХ в пользу Министерства имущественных и земельных отношений Тульской области задолженность по договору аренды земельного участка от 30.05.2005 № 05Ц0984Г за период  с 01.01.2021 по 31.12.2022 включительно в сумме 54 044 руб., пени в сумме 810,66 руб., а всего: 54854,66 рублей с последующим начислением пени до момента фактического исполнения обязательства по договору аренды земельного участка.</w:t>
      </w:r>
    </w:p>
    <w:p>
      <w:pPr>
        <w:pStyle w:val="Normal"/>
        <w:spacing w:lineRule="auto" w:line="240" w:before="0" w:after="0"/>
        <w:ind w:firstLine="709"/>
        <w:jc w:val="both"/>
        <w:rPr>
          <w:rFonts w:ascii="PT Astra Serif" w:hAnsi="PT Astra Serif"/>
          <w:sz w:val="26"/>
          <w:szCs w:val="26"/>
        </w:rPr>
      </w:pPr>
      <w:r>
        <w:rPr>
          <w:rFonts w:ascii="PT Astra Serif" w:hAnsi="PT Astra Serif"/>
          <w:sz w:val="26"/>
          <w:szCs w:val="26"/>
        </w:rPr>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Реквизиты для оплаты:</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Получатель: УФК по Тульской области (Министерство имущественных и земельных отношений  Тульской области)</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ИНН: 7106058814</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КПП: 710601001</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Расчетный счет: 03100643000000016600</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КОРСЧЕТ: 40102810445370000059</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Банк получателя: ОТДЕЛЕНИЕ ТУЛА БАНКА РОССИИ//УФК по Тульской области г. Тула</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БИК: 017003983</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Код ОКТМО: 70701000</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Коды бюджетной классификации:</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82311105012040000120 – арендная плата по договору аренды земельного участка;</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82311607090040000140 – пени по договору аренды земельного участка;</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82311105012040000120 – неосновательное обогащение;</w:t>
      </w:r>
    </w:p>
    <w:p>
      <w:pPr>
        <w:pStyle w:val="Normal"/>
        <w:spacing w:lineRule="auto" w:line="240" w:before="0" w:after="0"/>
        <w:ind w:firstLine="709"/>
        <w:jc w:val="both"/>
        <w:rPr>
          <w:sz w:val="20"/>
          <w:szCs w:val="20"/>
        </w:rPr>
      </w:pPr>
      <w:r>
        <w:rPr>
          <w:rFonts w:eastAsia="Times New Roman" w:cs="Times New Roman" w:ascii="PT Astra Serif" w:hAnsi="PT Astra Serif"/>
          <w:color w:val="000000" w:themeColor="text1"/>
          <w:sz w:val="20"/>
          <w:szCs w:val="20"/>
          <w:lang w:eastAsia="ru-RU"/>
        </w:rPr>
        <w:t>82311607090040000140 – проценты за пользование денежными средствами</w:t>
      </w:r>
    </w:p>
    <w:p>
      <w:pPr>
        <w:pStyle w:val="Normal"/>
        <w:spacing w:lineRule="auto" w:line="240" w:before="0" w:after="0"/>
        <w:ind w:firstLine="709"/>
        <w:jc w:val="both"/>
        <w:rPr>
          <w:rFonts w:ascii="PT Astra Serif" w:hAnsi="PT Astra Serif" w:eastAsia="Times New Roman" w:cs="Times New Roman"/>
          <w:color w:val="000000" w:themeColor="text1"/>
          <w:sz w:val="24"/>
          <w:szCs w:val="24"/>
          <w:lang w:eastAsia="ru-RU"/>
        </w:rPr>
      </w:pPr>
      <w:r>
        <w:rPr>
          <w:rFonts w:eastAsia="Times New Roman" w:cs="Times New Roman" w:ascii="PT Astra Serif" w:hAnsi="PT Astra Serif"/>
          <w:color w:val="000000" w:themeColor="text1"/>
          <w:sz w:val="24"/>
          <w:szCs w:val="24"/>
          <w:lang w:eastAsia="ru-RU"/>
        </w:rPr>
      </w:r>
    </w:p>
    <w:p>
      <w:pPr>
        <w:pStyle w:val="Normal"/>
        <w:spacing w:lineRule="auto" w:line="240" w:before="0" w:after="0"/>
        <w:ind w:firstLine="709"/>
        <w:jc w:val="both"/>
        <w:rPr>
          <w:rFonts w:ascii="PT Astra Serif" w:hAnsi="PT Astra Serif" w:eastAsia="Times New Roman" w:cs="Times New Roman"/>
          <w:color w:val="000000" w:themeColor="text1"/>
          <w:sz w:val="24"/>
          <w:szCs w:val="24"/>
          <w:lang w:eastAsia="ru-RU"/>
        </w:rPr>
      </w:pPr>
      <w:r>
        <w:rPr>
          <w:rFonts w:eastAsia="Times New Roman" w:cs="Times New Roman" w:ascii="PT Astra Serif" w:hAnsi="PT Astra Serif"/>
          <w:color w:val="000000" w:themeColor="text1"/>
          <w:sz w:val="24"/>
          <w:szCs w:val="24"/>
          <w:lang w:eastAsia="ru-RU"/>
        </w:rPr>
      </w:r>
    </w:p>
    <w:p>
      <w:pPr>
        <w:pStyle w:val="Normal"/>
        <w:spacing w:lineRule="auto" w:line="240" w:before="0" w:after="0"/>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 xml:space="preserve">          </w:t>
      </w:r>
      <w:r>
        <w:rPr>
          <w:rFonts w:eastAsia="Times New Roman" w:cs="Times New Roman" w:ascii="PT Astra Serif" w:hAnsi="PT Astra Serif"/>
          <w:sz w:val="20"/>
          <w:szCs w:val="20"/>
          <w:lang w:eastAsia="ru-RU"/>
        </w:rPr>
        <w:t>Приложение:</w:t>
      </w:r>
    </w:p>
    <w:p>
      <w:pPr>
        <w:pStyle w:val="Normal"/>
        <w:spacing w:lineRule="auto" w:line="240" w:before="0" w:after="0"/>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r>
    </w:p>
    <w:p>
      <w:pPr>
        <w:pStyle w:val="Normal"/>
        <w:numPr>
          <w:ilvl w:val="0"/>
          <w:numId w:val="4"/>
        </w:numPr>
        <w:spacing w:lineRule="auto" w:line="240" w:before="0" w:after="0"/>
        <w:contextualSpacing/>
        <w:rPr>
          <w:sz w:val="20"/>
          <w:szCs w:val="20"/>
        </w:rPr>
      </w:pPr>
      <w:r>
        <w:rPr>
          <w:rFonts w:eastAsia="Times New Roman" w:cs="Times New Roman" w:ascii="PT Astra Serif" w:hAnsi="PT Astra Serif"/>
          <w:sz w:val="20"/>
          <w:szCs w:val="20"/>
          <w:lang w:eastAsia="ru-RU"/>
        </w:rPr>
        <w:t>Копия договора аренды № 05Ц0984Г от 30.12.2005 с приложениями;</w:t>
      </w:r>
    </w:p>
    <w:p>
      <w:pPr>
        <w:pStyle w:val="Normal"/>
        <w:numPr>
          <w:ilvl w:val="0"/>
          <w:numId w:val="5"/>
        </w:numPr>
        <w:spacing w:lineRule="auto" w:line="240" w:before="0" w:after="0"/>
        <w:jc w:val="both"/>
        <w:rPr>
          <w:sz w:val="20"/>
          <w:szCs w:val="20"/>
        </w:rPr>
      </w:pPr>
      <w:r>
        <w:rPr>
          <w:rFonts w:eastAsia="Times New Roman" w:cs="Times New Roman" w:ascii="PT Astra Serif" w:hAnsi="PT Astra Serif"/>
          <w:sz w:val="20"/>
          <w:szCs w:val="20"/>
          <w:lang w:eastAsia="ru-RU"/>
        </w:rPr>
        <w:t>Расчет задолженности;</w:t>
      </w:r>
    </w:p>
    <w:p>
      <w:pPr>
        <w:pStyle w:val="Normal"/>
        <w:numPr>
          <w:ilvl w:val="0"/>
          <w:numId w:val="6"/>
        </w:numPr>
        <w:spacing w:lineRule="auto" w:line="240" w:before="0" w:after="0"/>
        <w:jc w:val="both"/>
        <w:rPr>
          <w:sz w:val="20"/>
          <w:szCs w:val="20"/>
        </w:rPr>
      </w:pPr>
      <w:r>
        <w:rPr>
          <w:rFonts w:eastAsia="Times New Roman" w:cs="Times New Roman" w:ascii="PT Astra Serif" w:hAnsi="PT Astra Serif"/>
          <w:sz w:val="20"/>
          <w:szCs w:val="20"/>
          <w:lang w:eastAsia="ru-RU"/>
        </w:rPr>
        <w:t>Копия заочного решения суда от 11.08.2021;</w:t>
      </w:r>
    </w:p>
    <w:p>
      <w:pPr>
        <w:pStyle w:val="Normal"/>
        <w:numPr>
          <w:ilvl w:val="0"/>
          <w:numId w:val="7"/>
        </w:numPr>
        <w:spacing w:lineRule="auto" w:line="240" w:before="0" w:after="0"/>
        <w:jc w:val="both"/>
        <w:rPr>
          <w:sz w:val="20"/>
          <w:szCs w:val="20"/>
        </w:rPr>
      </w:pPr>
      <w:r>
        <w:rPr>
          <w:rFonts w:eastAsia="Times New Roman" w:cs="Times New Roman" w:ascii="PT Astra Serif" w:hAnsi="PT Astra Serif"/>
          <w:sz w:val="20"/>
          <w:szCs w:val="20"/>
          <w:lang w:eastAsia="ru-RU"/>
        </w:rPr>
        <w:t>Копия акта осмотра земельного участка от 07.12.2022;</w:t>
      </w:r>
    </w:p>
    <w:p>
      <w:pPr>
        <w:pStyle w:val="Normal"/>
        <w:numPr>
          <w:ilvl w:val="0"/>
          <w:numId w:val="8"/>
        </w:numPr>
        <w:spacing w:lineRule="auto" w:line="240" w:before="0" w:after="0"/>
        <w:jc w:val="both"/>
        <w:rPr>
          <w:sz w:val="20"/>
          <w:szCs w:val="20"/>
        </w:rPr>
      </w:pPr>
      <w:r>
        <w:rPr>
          <w:rFonts w:eastAsia="Times New Roman" w:cs="Times New Roman" w:ascii="PT Astra Serif" w:hAnsi="PT Astra Serif"/>
          <w:sz w:val="20"/>
          <w:szCs w:val="20"/>
          <w:lang w:eastAsia="ru-RU"/>
        </w:rPr>
        <w:t>Копия претензии от 08.12.2022 № 29-01-13/17630;</w:t>
      </w:r>
    </w:p>
    <w:p>
      <w:pPr>
        <w:pStyle w:val="Normal"/>
        <w:numPr>
          <w:ilvl w:val="0"/>
          <w:numId w:val="9"/>
        </w:numPr>
        <w:spacing w:lineRule="auto" w:line="240" w:before="0" w:after="0"/>
        <w:jc w:val="both"/>
        <w:rPr>
          <w:sz w:val="20"/>
          <w:szCs w:val="20"/>
        </w:rPr>
      </w:pPr>
      <w:r>
        <w:rPr>
          <w:rFonts w:eastAsia="Times New Roman" w:cs="Times New Roman" w:ascii="PT Astra Serif" w:hAnsi="PT Astra Serif"/>
          <w:sz w:val="20"/>
          <w:szCs w:val="20"/>
          <w:lang w:eastAsia="ru-RU"/>
        </w:rPr>
        <w:t>Копия почтового реестра о направлении претензии в адрес ответчика;</w:t>
      </w:r>
    </w:p>
    <w:p>
      <w:pPr>
        <w:pStyle w:val="Normal"/>
        <w:numPr>
          <w:ilvl w:val="0"/>
          <w:numId w:val="10"/>
        </w:numPr>
        <w:spacing w:lineRule="auto" w:line="240" w:before="0" w:after="0"/>
        <w:jc w:val="both"/>
        <w:rPr>
          <w:sz w:val="20"/>
          <w:szCs w:val="20"/>
        </w:rPr>
      </w:pPr>
      <w:r>
        <w:rPr>
          <w:rFonts w:eastAsia="Times New Roman" w:cs="Times New Roman" w:ascii="PT Astra Serif" w:hAnsi="PT Astra Serif"/>
          <w:sz w:val="20"/>
          <w:szCs w:val="20"/>
          <w:lang w:eastAsia="ru-RU"/>
        </w:rPr>
        <w:t>Копия уведомления о вручении;</w:t>
      </w:r>
    </w:p>
    <w:p>
      <w:pPr>
        <w:pStyle w:val="Normal"/>
        <w:numPr>
          <w:ilvl w:val="0"/>
          <w:numId w:val="11"/>
        </w:numPr>
        <w:spacing w:lineRule="auto" w:line="240" w:before="0" w:after="0"/>
        <w:jc w:val="both"/>
        <w:rPr>
          <w:rFonts w:ascii="PT Astra Serif" w:hAnsi="PT Astra Serif" w:eastAsia="Times New Roman" w:cs="Times New Roman"/>
          <w:lang w:eastAsia="ru-RU"/>
        </w:rPr>
      </w:pPr>
      <w:r>
        <w:rPr>
          <w:rFonts w:eastAsia="Times New Roman" w:cs="Times New Roman" w:ascii="PT Astra Serif" w:hAnsi="PT Astra Serif"/>
          <w:sz w:val="20"/>
          <w:szCs w:val="20"/>
          <w:lang w:eastAsia="ru-RU"/>
        </w:rPr>
        <w:t xml:space="preserve">Копия адресной справки в отношении </w:t>
      </w:r>
      <w:r>
        <w:rPr>
          <w:rFonts w:eastAsia="Times New Roman" w:cs="Times New Roman" w:ascii="PT Astra Serif" w:hAnsi="PT Astra Serif"/>
          <w:sz w:val="26"/>
          <w:szCs w:val="26"/>
          <w:lang w:eastAsia="ru-RU"/>
        </w:rPr>
        <w:t>ХХХХХХ</w:t>
      </w:r>
    </w:p>
    <w:p>
      <w:pPr>
        <w:pStyle w:val="Normal"/>
        <w:numPr>
          <w:ilvl w:val="0"/>
          <w:numId w:val="12"/>
        </w:numPr>
        <w:spacing w:lineRule="auto" w:line="240" w:before="0" w:after="0"/>
        <w:jc w:val="both"/>
        <w:rPr>
          <w:sz w:val="20"/>
          <w:szCs w:val="20"/>
        </w:rPr>
      </w:pPr>
      <w:r>
        <w:rPr>
          <w:rFonts w:eastAsia="Times New Roman" w:cs="Times New Roman" w:ascii="PT Astra Serif" w:hAnsi="PT Astra Serif"/>
          <w:sz w:val="20"/>
          <w:szCs w:val="20"/>
          <w:lang w:eastAsia="ru-RU"/>
        </w:rPr>
        <w:t>Копия выписки из ЕГРН;</w:t>
      </w:r>
    </w:p>
    <w:p>
      <w:pPr>
        <w:pStyle w:val="ListParagraph"/>
        <w:numPr>
          <w:ilvl w:val="0"/>
          <w:numId w:val="13"/>
        </w:numPr>
        <w:spacing w:lineRule="auto" w:line="240" w:before="0" w:after="0"/>
        <w:ind w:left="284" w:hanging="0"/>
        <w:contextualSpacing/>
        <w:jc w:val="both"/>
        <w:rPr>
          <w:sz w:val="20"/>
          <w:szCs w:val="20"/>
        </w:rPr>
      </w:pPr>
      <w:bookmarkStart w:id="0" w:name="_GoBack"/>
      <w:bookmarkEnd w:id="0"/>
      <w:r>
        <w:rPr>
          <w:rFonts w:cs="Times New Roman" w:ascii="PT Astra Serif" w:hAnsi="PT Astra Serif"/>
          <w:sz w:val="20"/>
          <w:szCs w:val="20"/>
        </w:rPr>
        <w:t xml:space="preserve">Копия доверенности представителя, подписавшего исковое заявление. </w:t>
      </w:r>
    </w:p>
    <w:p>
      <w:pPr>
        <w:pStyle w:val="ListParagraph"/>
        <w:numPr>
          <w:ilvl w:val="0"/>
          <w:numId w:val="14"/>
        </w:numPr>
        <w:spacing w:lineRule="auto" w:line="240" w:before="0" w:after="0"/>
        <w:ind w:left="284" w:hanging="0"/>
        <w:contextualSpacing/>
        <w:jc w:val="both"/>
        <w:rPr>
          <w:sz w:val="20"/>
          <w:szCs w:val="20"/>
        </w:rPr>
      </w:pPr>
      <w:r>
        <w:rPr>
          <w:rFonts w:eastAsia="Times New Roman" w:cs="Times New Roman" w:ascii="PT Astra Serif" w:hAnsi="PT Astra Serif"/>
          <w:sz w:val="20"/>
          <w:szCs w:val="20"/>
          <w:lang w:eastAsia="ru-RU"/>
        </w:rPr>
        <w:t>Копия почтовых реестров о направлении иска с приложениями лицам участвующим в деле</w:t>
      </w:r>
      <w:r>
        <w:rPr>
          <w:rFonts w:cs="Times New Roman" w:ascii="PT Astra Serif" w:hAnsi="PT Astra Serif"/>
          <w:sz w:val="20"/>
          <w:szCs w:val="20"/>
        </w:rPr>
        <w:t>.</w:t>
      </w:r>
    </w:p>
    <w:p>
      <w:pPr>
        <w:pStyle w:val="Normal"/>
        <w:spacing w:lineRule="auto" w:line="240" w:before="0" w:after="0"/>
        <w:ind w:left="644" w:hanging="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r>
    </w:p>
    <w:p>
      <w:pPr>
        <w:pStyle w:val="Normal"/>
        <w:spacing w:lineRule="auto" w:line="240" w:before="0" w:after="0"/>
        <w:ind w:right="-5" w:hanging="0"/>
        <w:jc w:val="both"/>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p>
      <w:pPr>
        <w:pStyle w:val="Normal"/>
        <w:spacing w:lineRule="auto" w:line="240" w:before="0" w:after="0"/>
        <w:rPr>
          <w:sz w:val="26"/>
          <w:szCs w:val="26"/>
        </w:rPr>
      </w:pPr>
      <w:r>
        <w:rPr>
          <w:rFonts w:eastAsia="Calibri" w:cs="Times New Roman" w:ascii="PT Astra Serif" w:hAnsi="PT Astra Serif"/>
          <w:b/>
          <w:sz w:val="26"/>
          <w:szCs w:val="26"/>
        </w:rPr>
        <w:t>Представитель министерства</w:t>
      </w:r>
    </w:p>
    <w:p>
      <w:pPr>
        <w:pStyle w:val="Normal"/>
        <w:spacing w:lineRule="auto" w:line="240" w:before="0" w:after="0"/>
        <w:rPr>
          <w:sz w:val="26"/>
          <w:szCs w:val="26"/>
        </w:rPr>
      </w:pPr>
      <w:r>
        <w:rPr>
          <w:rFonts w:eastAsia="Calibri" w:cs="Times New Roman" w:ascii="PT Astra Serif" w:hAnsi="PT Astra Serif"/>
          <w:b/>
          <w:sz w:val="26"/>
          <w:szCs w:val="26"/>
        </w:rPr>
        <w:t xml:space="preserve">имущественных и земельных </w:t>
      </w:r>
    </w:p>
    <w:p>
      <w:pPr>
        <w:pStyle w:val="Normal"/>
        <w:spacing w:lineRule="auto" w:line="240" w:before="0" w:after="0"/>
        <w:rPr>
          <w:sz w:val="26"/>
          <w:szCs w:val="26"/>
        </w:rPr>
      </w:pPr>
      <w:r>
        <w:rPr>
          <w:rFonts w:eastAsia="Calibri" w:cs="Times New Roman" w:ascii="PT Astra Serif" w:hAnsi="PT Astra Serif"/>
          <w:b/>
          <w:sz w:val="26"/>
          <w:szCs w:val="26"/>
        </w:rPr>
        <w:t xml:space="preserve">отношений Тульской области  </w:t>
      </w:r>
    </w:p>
    <w:p>
      <w:pPr>
        <w:pStyle w:val="Normal"/>
        <w:spacing w:lineRule="auto" w:line="240" w:before="0" w:after="0"/>
        <w:rPr>
          <w:rFonts w:ascii="PT Astra Serif" w:hAnsi="PT Astra Serif" w:eastAsia="Calibri" w:cs="Times New Roman"/>
          <w:sz w:val="24"/>
          <w:szCs w:val="24"/>
        </w:rPr>
      </w:pPr>
      <w:r>
        <w:rPr>
          <w:rFonts w:eastAsia="Calibri" w:cs="Times New Roman" w:ascii="PT Astra Serif" w:hAnsi="PT Astra Serif"/>
          <w:b/>
          <w:sz w:val="26"/>
          <w:szCs w:val="26"/>
        </w:rPr>
        <w:t>по доверенности                                                                                         ХХХХХХ</w:t>
      </w:r>
      <w:r>
        <w:rPr>
          <w:rFonts w:eastAsia="Calibri" w:cs="Times New Roman" w:ascii="PT Astra Serif" w:hAnsi="PT Astra Serif"/>
          <w:b/>
          <w:sz w:val="24"/>
          <w:szCs w:val="24"/>
        </w:rPr>
        <w:t xml:space="preserve"> </w:t>
      </w:r>
    </w:p>
    <w:p>
      <w:pPr>
        <w:pStyle w:val="Normal"/>
        <w:spacing w:lineRule="auto" w:line="240" w:before="0" w:after="0"/>
        <w:rPr>
          <w:rFonts w:ascii="PT Astra Serif" w:hAnsi="PT Astra Serif" w:eastAsia="Calibri" w:cs="Times New Roman"/>
          <w:sz w:val="16"/>
          <w:szCs w:val="16"/>
        </w:rPr>
      </w:pPr>
      <w:r>
        <w:rPr>
          <w:rFonts w:eastAsia="Calibri" w:cs="Times New Roman" w:ascii="PT Astra Serif" w:hAnsi="PT Astra Serif"/>
          <w:sz w:val="16"/>
          <w:szCs w:val="16"/>
        </w:rPr>
      </w:r>
    </w:p>
    <w:p>
      <w:pPr>
        <w:pStyle w:val="Normal"/>
        <w:spacing w:lineRule="auto" w:line="240" w:before="0" w:after="0"/>
        <w:rPr>
          <w:rFonts w:ascii="PT Astra Serif" w:hAnsi="PT Astra Serif" w:eastAsia="Calibri" w:cs="Times New Roman"/>
          <w:b/>
          <w:b/>
          <w:sz w:val="20"/>
          <w:szCs w:val="20"/>
        </w:rPr>
      </w:pPr>
      <w:r>
        <w:rPr>
          <w:rFonts w:eastAsia="Calibri" w:cs="Times New Roman" w:ascii="PT Astra Serif" w:hAnsi="PT Astra Serif"/>
          <w:sz w:val="20"/>
          <w:szCs w:val="20"/>
        </w:rPr>
        <w:t xml:space="preserve">Тел. </w:t>
      </w:r>
      <w:r>
        <w:rPr>
          <w:rFonts w:eastAsia="Calibri" w:cs="Times New Roman" w:ascii="PT Astra Serif" w:hAnsi="PT Astra Serif"/>
          <w:sz w:val="26"/>
          <w:szCs w:val="26"/>
        </w:rPr>
        <w:t>ХХХХХХ</w:t>
      </w:r>
    </w:p>
    <w:sectPr>
      <w:headerReference w:type="default" r:id="rId2"/>
      <w:footerReference w:type="default" r:id="rId3"/>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88877056"/>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5</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538EE-6430-4DCB-87DD-4E2DC5AD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LibreOffice/7.2.0.4$Linux_X86_64 LibreOffice_project/9a9c6381e3f7a62afc1329bd359cc48accb6435b</Application>
  <AppVersion>15.0000</AppVersion>
  <Pages>7</Pages>
  <Words>2214</Words>
  <Characters>15179</Characters>
  <CharactersWithSpaces>17515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2021-05-25T14:22:00Z</dcterms:created>
  <dc:creator>Кузнецов Михаил Вадимович</dc:creator>
  <dc:description/>
  <dc:language>ru-RU</dc:language>
  <cp:lastModifiedBy/>
  <cp:lastPrinted>2020-12-02T13:46:00Z</cp:lastPrinted>
  <dcterms:modified xsi:type="dcterms:W3CDTF">2023-11-10T12:55:41Z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