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4E21DA" w:rsidRDefault="000A0787" w:rsidP="000A0787">
      <w:pPr>
        <w:pStyle w:val="Titolo1"/>
      </w:pPr>
      <w:bookmarkStart w:id="0" w:name="bookmark_body"/>
      <w:bookmarkEnd w:id="0"/>
      <w:r w:rsidRPr="004E21DA">
        <w:t>PROVVEDIMENTO</w:t>
      </w:r>
    </w:p>
    <w:p w14:paraId="05C5059A" w14:textId="3E68B367" w:rsidR="00532EA3" w:rsidRPr="004E21DA" w:rsidRDefault="00285E0C" w:rsidP="00532EA3">
      <w:pPr>
        <w:spacing w:after="0"/>
        <w:rPr>
          <w:i/>
          <w:iCs/>
          <w:u w:val="single"/>
        </w:rPr>
      </w:pPr>
      <w:r w:rsidRPr="004E21DA">
        <w:rPr>
          <w:rFonts w:eastAsia="Calibri" w:cstheme="minorHAnsi"/>
          <w:b/>
          <w:bCs/>
          <w:szCs w:val="20"/>
        </w:rPr>
        <w:t>OGGETTO:</w:t>
      </w:r>
      <w:r w:rsidRPr="004E21DA">
        <w:rPr>
          <w:rFonts w:eastAsia="Calibri" w:cstheme="minorHAnsi"/>
          <w:i/>
          <w:iCs/>
          <w:szCs w:val="20"/>
        </w:rPr>
        <w:t xml:space="preserve"> </w:t>
      </w:r>
      <w:r w:rsidR="004C7D01" w:rsidRPr="004E21DA">
        <w:rPr>
          <w:rFonts w:eastAsia="Calibri" w:cstheme="minorHAnsi"/>
          <w:i/>
          <w:iCs/>
          <w:szCs w:val="20"/>
        </w:rPr>
        <w:t xml:space="preserve">DECISIONE DI CONTRATTARE PER L’AFFIDAMENTO DIRETTO </w:t>
      </w:r>
      <w:r w:rsidRPr="004E21DA">
        <w:rPr>
          <w:i/>
          <w:iCs/>
        </w:rPr>
        <w:t>CAMPO.DELLA.FORNITURA</w:t>
      </w:r>
    </w:p>
    <w:p w14:paraId="5FE9D82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dicembre 2009 n. 213, recante “</w:t>
      </w:r>
      <w:r w:rsidRPr="004E21DA">
        <w:rPr>
          <w:rFonts w:eastAsia="Calibri" w:cstheme="minorHAnsi"/>
          <w:i/>
          <w:szCs w:val="20"/>
        </w:rPr>
        <w:t>Riordino del Consiglio Nazionale delle Ricerche in attuazione</w:t>
      </w:r>
      <w:r w:rsidRPr="004E21DA">
        <w:rPr>
          <w:rFonts w:eastAsia="Calibri" w:cstheme="minorHAnsi"/>
          <w:szCs w:val="20"/>
        </w:rPr>
        <w:t xml:space="preserve"> </w:t>
      </w:r>
      <w:r w:rsidRPr="004E21DA">
        <w:rPr>
          <w:rFonts w:eastAsia="Calibri" w:cstheme="minorHAnsi"/>
          <w:i/>
          <w:szCs w:val="20"/>
        </w:rPr>
        <w:t>dell’articolo 1 della Legge 27 settembre 2007, n. 165</w:t>
      </w:r>
      <w:r w:rsidRPr="004E21DA">
        <w:rPr>
          <w:rFonts w:eastAsia="Calibri" w:cstheme="minorHAnsi"/>
          <w:szCs w:val="20"/>
        </w:rPr>
        <w:t>”;</w:t>
      </w:r>
    </w:p>
    <w:p w14:paraId="2915B618"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25 novembre 2016 n. 218, recante “</w:t>
      </w:r>
      <w:r w:rsidRPr="004E21DA">
        <w:rPr>
          <w:rFonts w:eastAsia="Calibri" w:cstheme="minorHAnsi"/>
          <w:i/>
          <w:szCs w:val="20"/>
        </w:rPr>
        <w:t>Semplificazione delle attività degli enti pubblici di ricerca ai sensi dell'articolo 13 della legge 7 agosto 2015, n. 124</w:t>
      </w:r>
      <w:r w:rsidRPr="004E21DA">
        <w:rPr>
          <w:rFonts w:eastAsia="Calibri" w:cstheme="minorHAnsi"/>
          <w:szCs w:val="20"/>
        </w:rPr>
        <w:t>”;</w:t>
      </w:r>
    </w:p>
    <w:p w14:paraId="40F788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7 agosto 1990, n. 241 recante “</w:t>
      </w:r>
      <w:r w:rsidRPr="004E21DA">
        <w:rPr>
          <w:rFonts w:eastAsia="Calibri" w:cstheme="minorHAnsi"/>
          <w:i/>
          <w:szCs w:val="20"/>
        </w:rPr>
        <w:t>Nuove norme in materia di procedimento amministrativo e di diritto di accesso ai documenti amministrativi</w:t>
      </w:r>
      <w:r w:rsidRPr="004E21DA">
        <w:rPr>
          <w:rFonts w:eastAsia="Calibri" w:cstheme="minorHAnsi"/>
          <w:szCs w:val="20"/>
        </w:rPr>
        <w:t>” pubblicata sulla Gazzetta Ufficiale n. 192 del 18/08/1990 e s.m.i.;</w:t>
      </w:r>
    </w:p>
    <w:p w14:paraId="6A08BD23" w14:textId="77777777" w:rsidR="003736CE" w:rsidRPr="004E21DA" w:rsidRDefault="003736CE" w:rsidP="003736CE">
      <w:pPr>
        <w:widowControl w:val="0"/>
        <w:spacing w:before="60"/>
        <w:ind w:right="-45"/>
        <w:rPr>
          <w:rFonts w:eastAsia="Calibri" w:cstheme="minorHAnsi"/>
          <w:b/>
          <w:bCs/>
          <w:szCs w:val="20"/>
        </w:rPr>
      </w:pPr>
      <w:r w:rsidRPr="004E21DA">
        <w:rPr>
          <w:rFonts w:eastAsia="Calibri" w:cstheme="minorHAnsi"/>
          <w:b/>
          <w:bCs/>
          <w:szCs w:val="20"/>
        </w:rPr>
        <w:t xml:space="preserve">VISTO </w:t>
      </w:r>
      <w:r w:rsidRPr="004E21DA">
        <w:rPr>
          <w:rFonts w:eastAsia="Calibri" w:cstheme="minorHAnsi"/>
          <w:szCs w:val="20"/>
        </w:rPr>
        <w:t>lo Statuto del Consiglio Nazionale delle Ricerche, emanato con provvedimento del Presidente n. 93, prot. n. 0051080 del 19 luglio 2018, entrato in vigore in data 1° agosto 2018;</w:t>
      </w:r>
    </w:p>
    <w:p w14:paraId="733B1D96" w14:textId="06EC0349"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w:t>
      </w:r>
      <w:r w:rsidR="00226F55" w:rsidRPr="004E21DA">
        <w:t xml:space="preserve">Regolamento di Organizzazione e Funzionamento del Consiglio Nazionale delle Ricerche emanato con Provvedimento del Presidente n. 119, prot. n. 241776 del 10/07/2024, in vigore dal </w:t>
      </w:r>
      <w:r w:rsidR="00064780" w:rsidRPr="004E21DA">
        <w:t>1° agosto 2024</w:t>
      </w:r>
      <w:r w:rsidRPr="004E21DA">
        <w:rPr>
          <w:rFonts w:eastAsia="Calibri" w:cstheme="minorHAnsi"/>
          <w:szCs w:val="20"/>
        </w:rPr>
        <w:t>;</w:t>
      </w:r>
    </w:p>
    <w:p w14:paraId="73EE9554" w14:textId="77777777"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Regolamento di amministrazione contabilità e finanza, emanato con </w:t>
      </w:r>
      <w:r w:rsidRPr="004E21DA">
        <w:rPr>
          <w:rFonts w:eastAsia="Calibri" w:cstheme="minorHAnsi"/>
          <w:szCs w:val="20"/>
          <w:lang w:bidi="it-IT"/>
        </w:rPr>
        <w:t>Provvedimento della Presidente n. 201 prot. n. 0507722 del 23 dicembre 2024, entrato in vigore dal 1° gennaio 2025 ed,</w:t>
      </w:r>
      <w:r w:rsidRPr="004E21DA">
        <w:rPr>
          <w:rFonts w:eastAsia="Calibri" w:cstheme="minorHAnsi"/>
          <w:szCs w:val="20"/>
        </w:rPr>
        <w:t xml:space="preserve"> in particolare, l’art.32 rubricato “Decisione di contrattare”;</w:t>
      </w:r>
    </w:p>
    <w:p w14:paraId="3DEAF3F6"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marzo 2023, n. 36 rubricato “</w:t>
      </w:r>
      <w:r w:rsidRPr="004E21DA">
        <w:rPr>
          <w:rFonts w:eastAsia="Calibri" w:cstheme="minorHAnsi"/>
          <w:i/>
          <w:iCs/>
          <w:szCs w:val="20"/>
        </w:rPr>
        <w:t>Codice dei Contratti Pubblici in attuazione dell’articolo 1 della legge 21 giugno 2022, n. 78, recante delega al Governo in materia di contratti pubblici</w:t>
      </w:r>
      <w:r w:rsidRPr="004E21DA">
        <w:rPr>
          <w:rFonts w:eastAsia="Calibri" w:cstheme="minorHAnsi"/>
          <w:szCs w:val="20"/>
        </w:rPr>
        <w:t>”, pubblicato sul Supplemento Ordinario n. 12 della GU n. 77 del 31 marzo 2023 (nel seguito per brevità “Codice”);</w:t>
      </w:r>
    </w:p>
    <w:p w14:paraId="3209BE88" w14:textId="77777777" w:rsidR="00045224" w:rsidRPr="004E21DA" w:rsidRDefault="00045224" w:rsidP="00045224">
      <w:pPr>
        <w:widowControl w:val="0"/>
        <w:spacing w:before="60"/>
        <w:ind w:right="-45"/>
        <w:rPr>
          <w:rFonts w:eastAsia="Calibri" w:cstheme="minorHAnsi"/>
          <w:i/>
          <w:iCs/>
          <w:szCs w:val="20"/>
        </w:rPr>
      </w:pPr>
      <w:r w:rsidRPr="004E21DA">
        <w:rPr>
          <w:rFonts w:eastAsia="Calibri" w:cstheme="minorHAnsi"/>
          <w:b/>
          <w:bCs/>
          <w:szCs w:val="20"/>
        </w:rPr>
        <w:t xml:space="preserve">VISTO </w:t>
      </w:r>
      <w:r w:rsidRPr="004E21DA">
        <w:rPr>
          <w:rFonts w:eastAsia="Calibri" w:cstheme="minorHAnsi"/>
          <w:szCs w:val="20"/>
        </w:rPr>
        <w:t>il D.lgs. 31 dicembre 2024, n. 209 rubricato</w:t>
      </w:r>
      <w:r w:rsidRPr="004E21DA">
        <w:rPr>
          <w:rFonts w:eastAsiaTheme="minorHAnsi"/>
          <w:i/>
          <w:iCs/>
          <w:sz w:val="19"/>
          <w:szCs w:val="19"/>
          <w:lang w:eastAsia="en-US"/>
          <w14:ligatures w14:val="standardContextual"/>
        </w:rPr>
        <w:t xml:space="preserve"> “</w:t>
      </w:r>
      <w:r w:rsidRPr="004E21DA">
        <w:rPr>
          <w:rFonts w:eastAsia="Calibri" w:cstheme="minorHAnsi"/>
          <w:i/>
          <w:iCs/>
          <w:szCs w:val="20"/>
        </w:rPr>
        <w:t xml:space="preserve">Disposizioni integrative e correttive al codice dei contratti pubblici, di cui al decreto legislativo 31 marzo 2023, n. 36”, </w:t>
      </w:r>
      <w:r w:rsidRPr="004E21DA">
        <w:rPr>
          <w:rFonts w:eastAsia="Calibri" w:cstheme="minorHAnsi"/>
          <w:szCs w:val="20"/>
        </w:rPr>
        <w:t>pubblicato sul Supplemento Ordinario n.45/L della GU n. 305 del 31 dicembre 2024</w:t>
      </w:r>
      <w:r w:rsidRPr="004E21DA">
        <w:rPr>
          <w:rFonts w:eastAsia="Calibri" w:cstheme="minorHAnsi"/>
          <w:i/>
          <w:iCs/>
          <w:szCs w:val="20"/>
        </w:rPr>
        <w:t>;</w:t>
      </w:r>
    </w:p>
    <w:p w14:paraId="799DF091"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16 luglio 2020 n. 76 convertito, con modificazioni, dalla Legge 11 settembre 2020, n. 120, per le parti ancora in vigore;</w:t>
      </w:r>
    </w:p>
    <w:p w14:paraId="3B22E0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31 maggio 2021 n. 77, convertito con modificazioni dalla legge n. 108 del 2021;</w:t>
      </w:r>
    </w:p>
    <w:p w14:paraId="4409FD6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24 febbraio 2023, n. 13 convertito con modificazioni dalla legge 21 aprile 2023, n 41;</w:t>
      </w:r>
    </w:p>
    <w:p w14:paraId="4E4A95BB"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30 dicembre 2023 n. 215, convertito con modificazioni dalla L. 23 febbraio 2024, n. 18;</w:t>
      </w:r>
    </w:p>
    <w:p w14:paraId="1E5F0DD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 marzo 2024, n. 19, convertito con modificazioni dalla L. 29 aprile 2024, n. 56;</w:t>
      </w:r>
    </w:p>
    <w:p w14:paraId="4FB372C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6 novembre 2012, n. 190 recante “</w:t>
      </w:r>
      <w:r w:rsidRPr="004E21DA">
        <w:rPr>
          <w:rFonts w:eastAsia="Calibri" w:cstheme="minorHAnsi"/>
          <w:i/>
          <w:szCs w:val="20"/>
        </w:rPr>
        <w:t>Disposizioni per la prevenzione e la repressione della corruzione e</w:t>
      </w:r>
      <w:r w:rsidRPr="004E21DA">
        <w:rPr>
          <w:rFonts w:eastAsia="Calibri" w:cstheme="minorHAnsi"/>
          <w:szCs w:val="20"/>
        </w:rPr>
        <w:t xml:space="preserve"> </w:t>
      </w:r>
      <w:r w:rsidRPr="004E21DA">
        <w:rPr>
          <w:rFonts w:eastAsia="Calibri" w:cstheme="minorHAnsi"/>
          <w:i/>
          <w:szCs w:val="20"/>
        </w:rPr>
        <w:t>dell’illegalità nella pubblica amministrazione</w:t>
      </w:r>
      <w:r w:rsidRPr="004E21DA">
        <w:rPr>
          <w:rFonts w:eastAsia="Calibri" w:cstheme="minorHAnsi"/>
          <w:szCs w:val="20"/>
        </w:rPr>
        <w:t>” pubblicata sulla G.U.R.I. n. 265 del 13/11/2012;</w:t>
      </w:r>
    </w:p>
    <w:p w14:paraId="3245FC8D"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14 marzo 2013, n. 33 recante “</w:t>
      </w:r>
      <w:r w:rsidRPr="004E21DA">
        <w:rPr>
          <w:rFonts w:eastAsia="Calibri" w:cstheme="minorHAnsi"/>
          <w:i/>
          <w:szCs w:val="20"/>
        </w:rPr>
        <w:t>Riordino della disciplina riguardante il diritto di accesso civico e gli obblighi di pubblicità, trasparenza e diffusione di informazioni da parte delle pubbliche amministrazioni</w:t>
      </w:r>
      <w:r w:rsidRPr="004E21DA">
        <w:rPr>
          <w:rFonts w:eastAsia="Calibri" w:cstheme="minorHAnsi"/>
          <w:szCs w:val="20"/>
        </w:rPr>
        <w:t>” pubblicato sulla G.U.R.I. n. 80 del 05/04/2013 e successive modifiche introdotte dal d.lgs. 25 maggio 2016 n. 97;</w:t>
      </w:r>
    </w:p>
    <w:p w14:paraId="41F68E08"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Codice di comportamento dei dipendenti del Consiglio Nazionale delle Ricerche approvato con delibera del Consiglio di Amministrazione n° 137/2017;</w:t>
      </w:r>
    </w:p>
    <w:p w14:paraId="2AB39675" w14:textId="14F64C04"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lastRenderedPageBreak/>
        <w:t xml:space="preserve">VISTO </w:t>
      </w:r>
      <w:r w:rsidRPr="004E21DA">
        <w:rPr>
          <w:rFonts w:eastAsia="Calibri" w:cstheme="minorHAnsi"/>
          <w:szCs w:val="20"/>
        </w:rPr>
        <w:t xml:space="preserve">il vigente Piano triennale </w:t>
      </w:r>
      <w:r w:rsidR="000A09DF" w:rsidRPr="000A09DF">
        <w:rPr>
          <w:rFonts w:eastAsia="Calibri" w:cstheme="minorHAnsi"/>
          <w:szCs w:val="20"/>
        </w:rPr>
        <w:t>per la prevenzione della corruzione e della trasparenza (PTPCT) contenuto nel Piano Integrato di Attività e Organizzazione (PIAO), adottato con delibera del Consiglio di Amministrazione del Consiglio Nazionale delle Ricerche ai sensi dell’articolo 6 del decreto legge n. 80/2021</w:t>
      </w:r>
      <w:r w:rsidRPr="004E21DA">
        <w:rPr>
          <w:rFonts w:eastAsia="Calibri" w:cstheme="minorHAnsi"/>
          <w:szCs w:val="20"/>
        </w:rPr>
        <w:t>;</w:t>
      </w:r>
    </w:p>
    <w:p w14:paraId="469FE045"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23 dicembre 1999 n 488 e s.m.i.,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2000)</w:t>
      </w:r>
      <w:r w:rsidRPr="004E21DA">
        <w:rPr>
          <w:rFonts w:eastAsia="Calibri" w:cstheme="minorHAnsi"/>
          <w:szCs w:val="20"/>
        </w:rPr>
        <w:t>”, ed in particolare l'articolo 26;</w:t>
      </w:r>
    </w:p>
    <w:p w14:paraId="7E6B81C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27 dicembre 2006 n. 296, recante “</w:t>
      </w:r>
      <w:r w:rsidRPr="004E21DA">
        <w:rPr>
          <w:rFonts w:eastAsia="Calibri" w:cstheme="minorHAnsi"/>
          <w:i/>
          <w:szCs w:val="20"/>
        </w:rPr>
        <w:t>Disposizioni per la formazione del bilancio annuale e pluriennale</w:t>
      </w:r>
      <w:r w:rsidRPr="004E21DA">
        <w:rPr>
          <w:rFonts w:eastAsia="Calibri" w:cstheme="minorHAnsi"/>
          <w:i/>
          <w:w w:val="99"/>
          <w:szCs w:val="20"/>
        </w:rPr>
        <w:t xml:space="preserve"> </w:t>
      </w:r>
      <w:r w:rsidRPr="004E21DA">
        <w:rPr>
          <w:rFonts w:eastAsia="Calibri" w:cstheme="minorHAnsi"/>
          <w:i/>
          <w:szCs w:val="20"/>
        </w:rPr>
        <w:t>dello Stato (Legge finanziaria 2007)</w:t>
      </w:r>
      <w:r w:rsidRPr="004E21DA">
        <w:rPr>
          <w:rFonts w:eastAsia="Calibri" w:cstheme="minorHAnsi"/>
          <w:szCs w:val="20"/>
        </w:rPr>
        <w:t>”;</w:t>
      </w:r>
    </w:p>
    <w:p w14:paraId="7D5E401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24 dicembre 2007 n. 244 e s.m.i.,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2008)</w:t>
      </w:r>
      <w:r w:rsidRPr="004E21DA">
        <w:rPr>
          <w:rFonts w:eastAsia="Calibri" w:cstheme="minorHAnsi"/>
          <w:szCs w:val="20"/>
        </w:rPr>
        <w:t>”;</w:t>
      </w:r>
    </w:p>
    <w:p w14:paraId="23CD0D1E"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7 maggio 2012 n. 52, convertito dalla legge 6 luglio 2012 n. 94 recante “</w:t>
      </w:r>
      <w:r w:rsidRPr="004E21DA">
        <w:rPr>
          <w:rFonts w:eastAsia="Calibri" w:cstheme="minorHAnsi"/>
          <w:i/>
          <w:szCs w:val="20"/>
        </w:rPr>
        <w:t>Disposizioni urgenti per</w:t>
      </w:r>
      <w:r w:rsidRPr="004E21DA">
        <w:rPr>
          <w:rFonts w:eastAsia="Calibri" w:cstheme="minorHAnsi"/>
          <w:i/>
          <w:w w:val="99"/>
          <w:szCs w:val="20"/>
        </w:rPr>
        <w:t xml:space="preserve"> </w:t>
      </w:r>
      <w:r w:rsidRPr="004E21DA">
        <w:rPr>
          <w:rFonts w:eastAsia="Calibri" w:cstheme="minorHAnsi"/>
          <w:i/>
          <w:szCs w:val="20"/>
        </w:rPr>
        <w:t>la razionalizzazione della spesa pubblica</w:t>
      </w:r>
      <w:r w:rsidRPr="004E21DA">
        <w:rPr>
          <w:rFonts w:eastAsia="Calibri" w:cstheme="minorHAnsi"/>
          <w:szCs w:val="20"/>
        </w:rPr>
        <w:t>”;</w:t>
      </w:r>
    </w:p>
    <w:p w14:paraId="0C7D074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6 luglio 2012 n. 95, convertito con modificazioni dalla legge 7 agosto 2012 n. 135, recante “</w:t>
      </w:r>
      <w:r w:rsidRPr="004E21DA">
        <w:rPr>
          <w:rFonts w:eastAsia="Calibri" w:cstheme="minorHAnsi"/>
          <w:i/>
          <w:szCs w:val="20"/>
        </w:rPr>
        <w:t>Disposizioni urgenti per la revisione della spesa pubblica con invarianza dei servizi ai cittadini</w:t>
      </w:r>
      <w:r w:rsidRPr="004E21DA">
        <w:rPr>
          <w:rFonts w:eastAsia="Calibri" w:cstheme="minorHAnsi"/>
          <w:szCs w:val="20"/>
        </w:rPr>
        <w:t>”;</w:t>
      </w:r>
    </w:p>
    <w:p w14:paraId="70B27A47" w14:textId="0DD3026A"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CONSIDERATE </w:t>
      </w:r>
      <w:r w:rsidR="000A09DF" w:rsidRPr="000A09DF">
        <w:rPr>
          <w:rFonts w:eastAsia="Calibri" w:cstheme="minorHAnsi"/>
          <w:szCs w:val="20"/>
        </w:rPr>
        <w:t>le soglie di rilievo comunitario definite al comma 1 dell'articolo 14 del Codice dei contratti pubblici vigenti, pari a € 5.538.000,00 per gli appalti pubblici di lavori e per concessioni, pari a € 143.000 per appalti di forniture servizi e concorsi pubblici di progettazione, pari ad € 221.000 per gli appalti pubblici di forniture, servizi e per i concorsi pubblici di progettazione aggiudicati da stazioni appaltanti sub-centrali</w:t>
      </w:r>
      <w:r w:rsidRPr="004E21DA">
        <w:rPr>
          <w:rFonts w:eastAsia="Calibri" w:cstheme="minorHAnsi"/>
          <w:szCs w:val="20"/>
        </w:rPr>
        <w:t xml:space="preserve">; </w:t>
      </w:r>
    </w:p>
    <w:p w14:paraId="0A09DA47" w14:textId="77777777" w:rsidR="00045224" w:rsidRPr="004E21DA" w:rsidRDefault="00045224" w:rsidP="00045224">
      <w:pPr>
        <w:widowControl w:val="0"/>
        <w:spacing w:before="60"/>
        <w:ind w:right="-45"/>
        <w:rPr>
          <w:rFonts w:eastAsia="Calibri" w:cstheme="minorHAnsi"/>
          <w:b/>
          <w:szCs w:val="20"/>
        </w:rPr>
      </w:pPr>
      <w:r w:rsidRPr="004E21DA">
        <w:rPr>
          <w:rFonts w:eastAsia="Calibri" w:cstheme="minorHAnsi"/>
          <w:b/>
          <w:bCs/>
          <w:szCs w:val="20"/>
        </w:rPr>
        <w:t>VISTA</w:t>
      </w:r>
      <w:r w:rsidRPr="004E21DA">
        <w:rPr>
          <w:rFonts w:eastAsia="Calibri" w:cstheme="minorHAnsi"/>
          <w:b/>
          <w:szCs w:val="20"/>
        </w:rPr>
        <w:t xml:space="preserve"> </w:t>
      </w:r>
      <w:r w:rsidRPr="004E21DA">
        <w:rPr>
          <w:rFonts w:eastAsia="Calibri" w:cstheme="minorHAnsi"/>
          <w:bCs/>
          <w:szCs w:val="20"/>
        </w:rPr>
        <w:t>la vigente delibera dell’Autorità Nazionale Anticorruzione (ANAC), in attuazione dell’art. 1, commi 65 e 67, della legge 23 dicembre 2005 n. 266, relativa all’entità e modalità di versamento dei contributi dovuti all’ANAC per l’anno in corso;</w:t>
      </w:r>
      <w:r w:rsidRPr="004E21DA">
        <w:rPr>
          <w:rFonts w:eastAsia="Calibri" w:cstheme="minorHAnsi"/>
          <w:b/>
          <w:szCs w:val="20"/>
        </w:rPr>
        <w:t xml:space="preserve"> </w:t>
      </w:r>
    </w:p>
    <w:p w14:paraId="18A11A94" w14:textId="1497DEEF"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VISTO</w:t>
      </w:r>
      <w:r w:rsidRPr="004E21DA">
        <w:rPr>
          <w:rFonts w:eastAsia="Calibri" w:cstheme="minorHAnsi"/>
          <w:szCs w:val="20"/>
        </w:rPr>
        <w:t xml:space="preserve"> il Regolamento (UE) 18 giugno 2020, n.</w:t>
      </w:r>
      <w:r w:rsidR="00045224" w:rsidRPr="004E21DA">
        <w:rPr>
          <w:rFonts w:eastAsia="Calibri" w:cstheme="minorHAnsi"/>
          <w:szCs w:val="20"/>
        </w:rPr>
        <w:t xml:space="preserve"> </w:t>
      </w:r>
      <w:r w:rsidRPr="004E21DA">
        <w:rPr>
          <w:rFonts w:eastAsia="Calibri" w:cstheme="minorHAnsi"/>
          <w:szCs w:val="20"/>
        </w:rPr>
        <w:t>852, in particolare l’art. 17 che definisce gli obiettivi ambientali, tra cui il principio di non arrecare un danno significativo (DNSH “Do no significant harm”) nonché la Comunicazione della Commissione UE 2021/C 58/01 recante “Orientamenti tecnici sull’applicazione del principio DNSH a norma del regolamento sul dispositivo per la ripresa e la resilienza”;</w:t>
      </w:r>
    </w:p>
    <w:p w14:paraId="77855FE7" w14:textId="6F72E5C2"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Regolamento (UE) 12 febbraio 2021, n.</w:t>
      </w:r>
      <w:r w:rsidR="000A09DF">
        <w:rPr>
          <w:rFonts w:eastAsia="Calibri" w:cstheme="minorHAnsi"/>
          <w:szCs w:val="20"/>
        </w:rPr>
        <w:t xml:space="preserve"> </w:t>
      </w:r>
      <w:r w:rsidRPr="004E21DA">
        <w:rPr>
          <w:rFonts w:eastAsia="Calibri" w:cstheme="minorHAnsi"/>
          <w:szCs w:val="20"/>
        </w:rPr>
        <w:t>241, che istituisce il dispositivo per la ripresa e la resilienza;</w:t>
      </w:r>
      <w:r w:rsidRPr="004E21DA">
        <w:rPr>
          <w:rFonts w:cstheme="minorHAnsi"/>
          <w:color w:val="000000" w:themeColor="text1"/>
          <w:szCs w:val="20"/>
        </w:rPr>
        <w:t xml:space="preserve"> </w:t>
      </w:r>
    </w:p>
    <w:p w14:paraId="52BD0D57" w14:textId="44757C3C"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4 giugno 2021 n.</w:t>
      </w:r>
      <w:r w:rsidR="003932D5" w:rsidRPr="004E21DA">
        <w:rPr>
          <w:rFonts w:eastAsia="Calibri" w:cstheme="minorHAnsi"/>
          <w:szCs w:val="20"/>
        </w:rPr>
        <w:t xml:space="preserve"> </w:t>
      </w:r>
      <w:r w:rsidRPr="004E21DA">
        <w:rPr>
          <w:rFonts w:eastAsia="Calibri" w:cstheme="minorHAnsi"/>
          <w:szCs w:val="20"/>
        </w:rPr>
        <w:t>2139 che fissa i criteri di vaglio tecnico che consentono di determinare a quali condizioni si possa considerare che una data attività economica contribuisce in modo sostanziale alla mitigazione dei cambiamenti climatici o all'adattamento ai medesimi;</w:t>
      </w:r>
    </w:p>
    <w:p w14:paraId="39B59627" w14:textId="77777777"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27 giugno 2023, n. 2485 che 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p>
    <w:p w14:paraId="064E1DF4" w14:textId="6A2BDA31" w:rsidR="004C7D01" w:rsidRPr="004E21DA" w:rsidRDefault="004C7D01" w:rsidP="004C7D01">
      <w:pPr>
        <w:widowControl w:val="0"/>
        <w:spacing w:before="60"/>
        <w:rPr>
          <w:rFonts w:cstheme="minorHAnsi"/>
          <w:color w:val="000000" w:themeColor="text1"/>
          <w:szCs w:val="20"/>
        </w:rPr>
      </w:pPr>
      <w:r w:rsidRPr="004E21DA">
        <w:rPr>
          <w:rFonts w:cstheme="minorHAnsi"/>
          <w:b/>
          <w:bCs/>
          <w:color w:val="000000" w:themeColor="text1"/>
          <w:szCs w:val="20"/>
        </w:rPr>
        <w:t>VISTO</w:t>
      </w:r>
      <w:r w:rsidRPr="004E21DA">
        <w:rPr>
          <w:rFonts w:cstheme="minorHAnsi"/>
          <w:color w:val="000000" w:themeColor="text1"/>
          <w:szCs w:val="20"/>
        </w:rPr>
        <w:t xml:space="preserve"> il Regolamento Delegato (UE) 27 giugno 2023 n.</w:t>
      </w:r>
      <w:r w:rsidR="003932D5" w:rsidRPr="004E21DA">
        <w:rPr>
          <w:rFonts w:cstheme="minorHAnsi"/>
          <w:color w:val="000000" w:themeColor="text1"/>
          <w:szCs w:val="20"/>
        </w:rPr>
        <w:t xml:space="preserve"> </w:t>
      </w:r>
      <w:r w:rsidRPr="004E21DA">
        <w:rPr>
          <w:rFonts w:cstheme="minorHAnsi"/>
          <w:color w:val="000000" w:themeColor="text1"/>
          <w:szCs w:val="20"/>
        </w:rPr>
        <w:t>2486 che indica i 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sidRPr="004E21DA">
        <w:rPr>
          <w:rFonts w:cstheme="minorHAnsi"/>
          <w:i/>
          <w:iCs/>
          <w:color w:val="000000" w:themeColor="text1"/>
          <w:szCs w:val="20"/>
        </w:rPr>
        <w:t>;</w:t>
      </w:r>
    </w:p>
    <w:p w14:paraId="7DDFCD90" w14:textId="084CB989" w:rsidR="004C7D01" w:rsidRPr="004E21DA" w:rsidRDefault="004C7D01" w:rsidP="004C7D01">
      <w:pPr>
        <w:widowControl w:val="0"/>
        <w:spacing w:before="60"/>
        <w:ind w:right="-45"/>
        <w:rPr>
          <w:rFonts w:eastAsia="Calibri" w:cstheme="minorHAnsi"/>
          <w:szCs w:val="20"/>
        </w:rPr>
      </w:pPr>
      <w:r w:rsidRPr="004E21DA">
        <w:rPr>
          <w:rFonts w:eastAsia="Calibri" w:cstheme="minorBidi"/>
          <w:b/>
          <w:bCs/>
          <w:szCs w:val="20"/>
        </w:rPr>
        <w:t>CONSIDERATI</w:t>
      </w:r>
      <w:r w:rsidRPr="004E21DA">
        <w:rPr>
          <w:rFonts w:eastAsia="Calibri" w:cstheme="minorBidi"/>
          <w:szCs w:val="20"/>
        </w:rPr>
        <w:t xml:space="preserve"> altresì i principi trasversali previsti dal Regolamento (UE) 12 febbraio 2021, n. 241, tra i quali, il principio </w:t>
      </w:r>
      <w:r w:rsidRPr="004E21DA">
        <w:rPr>
          <w:rFonts w:eastAsia="Calibri" w:cstheme="minorBidi"/>
          <w:szCs w:val="20"/>
        </w:rPr>
        <w:lastRenderedPageBreak/>
        <w:t>del contributo all’obiettivo climatico e digitale (c.d. tagging), il principio di parità di genere e l’obbligo di protezione e valorizzazione dei giovani nonché l’inclusione lavorativa delle persone con disabilità;</w:t>
      </w:r>
    </w:p>
    <w:p w14:paraId="0DDE08CC" w14:textId="25E53538" w:rsidR="004C7D01" w:rsidRPr="004E21DA" w:rsidRDefault="004C7D01" w:rsidP="004C7D01">
      <w:pPr>
        <w:spacing w:before="60"/>
        <w:ind w:right="-45"/>
        <w:rPr>
          <w:rFonts w:eastAsia="Calibri" w:cs="Calibri"/>
          <w:color w:val="000000" w:themeColor="text1"/>
          <w:szCs w:val="20"/>
        </w:rPr>
      </w:pPr>
      <w:r w:rsidRPr="004E21DA">
        <w:rPr>
          <w:rFonts w:eastAsia="Calibri" w:cs="Calibri"/>
          <w:b/>
          <w:bCs/>
          <w:color w:val="000000" w:themeColor="text1"/>
          <w:szCs w:val="20"/>
        </w:rPr>
        <w:t>VISTO</w:t>
      </w:r>
      <w:r w:rsidRPr="004E21DA">
        <w:rPr>
          <w:rFonts w:eastAsia="Calibri" w:cs="Calibri"/>
          <w:color w:val="000000" w:themeColor="text1"/>
          <w:szCs w:val="20"/>
        </w:rPr>
        <w:t> il Decreto della Presidenza del Consiglio dei Ministri – Dipartimento per le pari opportunità del 7 dicembre 2021 nonché le disposizioni contenute nel Titolo IV del D.L. n.</w:t>
      </w:r>
      <w:r w:rsidR="000A09DF">
        <w:rPr>
          <w:rFonts w:eastAsia="Calibri" w:cs="Calibri"/>
          <w:color w:val="000000" w:themeColor="text1"/>
          <w:szCs w:val="20"/>
        </w:rPr>
        <w:t xml:space="preserve"> </w:t>
      </w:r>
      <w:r w:rsidRPr="004E21DA">
        <w:rPr>
          <w:rFonts w:eastAsia="Calibri" w:cs="Calibri"/>
          <w:color w:val="000000" w:themeColor="text1"/>
          <w:szCs w:val="20"/>
        </w:rPr>
        <w:t>77/2021 rubricato “Contratti pubblici”, per le parti relative alle misure premiali e clausole;</w:t>
      </w:r>
    </w:p>
    <w:p w14:paraId="1A043AC6" w14:textId="77777777"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decreto-legge del 6 novembre 2021 n. 152 recante “</w:t>
      </w:r>
      <w:r w:rsidRPr="004E21DA">
        <w:rPr>
          <w:rFonts w:eastAsia="Calibri" w:cstheme="minorHAnsi"/>
          <w:i/>
          <w:iCs/>
          <w:szCs w:val="20"/>
        </w:rPr>
        <w:t>Disposizioni per l’attuazione del Piano nazionale di ripresa e resilienza (PNRR) e per la prevenzione delle infiltrazioni mafiose</w:t>
      </w:r>
      <w:r w:rsidRPr="004E21DA">
        <w:rPr>
          <w:rFonts w:eastAsia="Calibri" w:cstheme="minorHAnsi"/>
          <w:szCs w:val="20"/>
        </w:rPr>
        <w:t>”;</w:t>
      </w:r>
    </w:p>
    <w:p w14:paraId="4573F49D" w14:textId="338A89EF" w:rsidR="00CE7CFC" w:rsidRPr="004E21DA" w:rsidRDefault="00CE7CFC" w:rsidP="000A0787">
      <w:pPr>
        <w:spacing w:before="60"/>
        <w:rPr>
          <w:rFonts w:cstheme="minorHAnsi"/>
          <w:szCs w:val="20"/>
        </w:rPr>
      </w:pPr>
      <w:bookmarkStart w:id="1" w:name="_Hlk165457906"/>
      <w:r w:rsidRPr="004E21DA">
        <w:rPr>
          <w:rFonts w:cstheme="minorHAnsi"/>
          <w:szCs w:val="20"/>
        </w:rPr>
        <w:t>CAMPO.NOMINE</w:t>
      </w:r>
    </w:p>
    <w:bookmarkEnd w:id="1"/>
    <w:p w14:paraId="707A56F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l’art. 50, c.1, lett. b) del D.Lgs. 36/2023 il quale prevede che, per affidamenti di contratti di servizi e forniture, ivi compresi i servizi di ingegneria e architettura e l'attività di progettazione di importo inferiore a euro 140.000,00, si può procedere mediante affidamento diretto, 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p>
    <w:p w14:paraId="2066811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 xml:space="preserve">che, dal 1° gennaio 2024 ha acquisito efficacia la disciplina sulla digitalizzazione dell’intero ciclo dei contratti pubblici prevista dal Libro I, Parte II del codice dei contratti pubblici, pertanto si rende necessario formalizzare gli affidamenti diretti attraverso le piattaforme telematiche di negoziazione invitando a presentare offerta l’O.E. individuato a seguito di indagine informale di mercato e procedendo, contemporaneamente all’acquisizione del codice CIG all’interno della medesima piattaforma; </w:t>
      </w:r>
    </w:p>
    <w:p w14:paraId="406190B9" w14:textId="38B4D1B8" w:rsidR="003578C4" w:rsidRPr="004E21DA" w:rsidRDefault="003578C4" w:rsidP="006436AB">
      <w:pPr>
        <w:spacing w:before="60"/>
        <w:rPr>
          <w:rFonts w:cs="Calibri"/>
          <w:szCs w:val="20"/>
        </w:rPr>
      </w:pPr>
      <w:r w:rsidRPr="004E21DA">
        <w:rPr>
          <w:rFonts w:cs="Calibri"/>
          <w:szCs w:val="20"/>
        </w:rPr>
        <w:t>CAMPO.NOMINA.RUP</w:t>
      </w:r>
    </w:p>
    <w:p w14:paraId="6147FC2D" w14:textId="77777777" w:rsidR="003B4AC7" w:rsidRPr="00156666" w:rsidRDefault="003B4AC7" w:rsidP="003B4AC7">
      <w:r w:rsidRPr="00156666">
        <w:rPr>
          <w:rFonts w:eastAsia="Source Sans Pro" w:cs="Source Sans Pro"/>
          <w:b/>
          <w:color w:val="000000"/>
          <w:szCs w:val="20"/>
        </w:rPr>
        <w:t>CONSIDERATO</w:t>
      </w:r>
      <w:r w:rsidRPr="00156666">
        <w:t xml:space="preserve"> che non sono stati individuati, tra quelli messi a disposizione da CONSIP (Convenzioni, Accordi Quadro o Bandi del Sistema dinamico di acquisizione), strumenti idonei a soddisfare le già menzionate esigenze di approvvigionamento;</w:t>
      </w:r>
    </w:p>
    <w:p w14:paraId="21A2448F" w14:textId="77777777" w:rsidR="003B4AC7" w:rsidRPr="00156666" w:rsidRDefault="003B4AC7" w:rsidP="003B4AC7">
      <w:r w:rsidRPr="00156666">
        <w:rPr>
          <w:rFonts w:eastAsia="Source Sans Pro" w:cs="Source Sans Pro"/>
          <w:b/>
          <w:color w:val="000000"/>
          <w:szCs w:val="20"/>
        </w:rPr>
        <w:t>CONSIDERATO</w:t>
      </w:r>
      <w:r w:rsidRPr="00156666">
        <w:t xml:space="preserve"> che i servizi/le forniture di cui trattasi non sono presenti nel MEPA;</w:t>
      </w:r>
    </w:p>
    <w:p w14:paraId="692CDF3D" w14:textId="6FB42E12" w:rsidR="003B4AC7" w:rsidRPr="00156666" w:rsidRDefault="003B4AC7" w:rsidP="003B4AC7">
      <w:r w:rsidRPr="00156666">
        <w:rPr>
          <w:rFonts w:eastAsia="Source Sans Pro" w:cs="Source Sans Pro"/>
          <w:b/>
          <w:color w:val="000000"/>
          <w:szCs w:val="20"/>
        </w:rPr>
        <w:t>CONSIDERATO</w:t>
      </w:r>
      <w:r w:rsidR="00F6233F">
        <w:rPr>
          <w:rFonts w:eastAsia="Source Sans Pro" w:cs="Source Sans Pro"/>
          <w:b/>
          <w:color w:val="000000"/>
          <w:szCs w:val="20"/>
        </w:rPr>
        <w:t xml:space="preserve"> </w:t>
      </w:r>
      <w:r w:rsidR="00F6233F">
        <w:t xml:space="preserve">che </w:t>
      </w:r>
      <w:r w:rsidRPr="00156666">
        <w:rPr>
          <w:rFonts w:eastAsia="Calibri" w:cstheme="minorHAnsi"/>
          <w:szCs w:val="20"/>
        </w:rPr>
        <w:t>le prestazioni richieste non rientrano nell'elenco dei lavori, beni e servizi assoggettati a centralizzazione degli acquisti ai sensi dell'art.1 del Decreto del Presidente del Consiglio dei ministri del 16 agosto 2018;</w:t>
      </w:r>
      <w:r w:rsidRPr="00156666">
        <w:t xml:space="preserve"> </w:t>
      </w:r>
    </w:p>
    <w:p w14:paraId="4F9AFCDE" w14:textId="6941F581" w:rsidR="006436AB" w:rsidRPr="004E21DA" w:rsidRDefault="006436AB" w:rsidP="006436AB">
      <w:pPr>
        <w:spacing w:before="60"/>
        <w:rPr>
          <w:rFonts w:eastAsia="Calibri" w:cstheme="minorHAnsi"/>
          <w:szCs w:val="20"/>
        </w:rPr>
      </w:pPr>
      <w:r w:rsidRPr="004E21DA">
        <w:rPr>
          <w:rFonts w:cs="Calibri"/>
          <w:b/>
          <w:bCs/>
          <w:szCs w:val="20"/>
        </w:rPr>
        <w:t>CONSIDERATO</w:t>
      </w:r>
      <w:r w:rsidRPr="004E21DA">
        <w:rPr>
          <w:rFonts w:eastAsia="Calibri" w:cstheme="minorHAnsi"/>
          <w:szCs w:val="20"/>
        </w:rPr>
        <w:t xml:space="preserve"> che l</w:t>
      </w:r>
      <w:r w:rsidRPr="004E21DA">
        <w:rPr>
          <w:rFonts w:cs="Calibri"/>
          <w:color w:val="212121"/>
          <w:szCs w:val="20"/>
        </w:rPr>
        <w:t>a stazione appaltante ai sensi dell’art. 48 comma 2 del Codice, ha accertato che il presente appalto non presenta un interesse transfrontaliero certo per cui non segue le procedure ordinarie di cui alla parte IV del Libro II;</w:t>
      </w:r>
    </w:p>
    <w:p w14:paraId="07E3AC70" w14:textId="77777777" w:rsidR="006436AB" w:rsidRPr="004E21DA" w:rsidRDefault="006436AB" w:rsidP="006436AB">
      <w:pPr>
        <w:spacing w:before="60"/>
        <w:rPr>
          <w:rFonts w:cstheme="minorHAnsi"/>
          <w:color w:val="000000" w:themeColor="text1"/>
          <w:szCs w:val="20"/>
        </w:rPr>
      </w:pPr>
      <w:r w:rsidRPr="004E21DA">
        <w:rPr>
          <w:rFonts w:cs="Calibri"/>
          <w:b/>
          <w:bCs/>
          <w:szCs w:val="20"/>
        </w:rPr>
        <w:t>CONSIDERATO</w:t>
      </w:r>
      <w:r w:rsidRPr="004E21DA">
        <w:rPr>
          <w:rFonts w:cstheme="minorHAnsi"/>
          <w:bCs/>
          <w:color w:val="000000" w:themeColor="text1"/>
          <w:szCs w:val="20"/>
        </w:rPr>
        <w:t xml:space="preserve"> che ai sensi del</w:t>
      </w:r>
      <w:r w:rsidRPr="004E21DA">
        <w:rPr>
          <w:rFonts w:cstheme="minorHAnsi"/>
          <w:color w:val="000000" w:themeColor="text1"/>
          <w:szCs w:val="20"/>
        </w:rPr>
        <w:t>l’art. 53, comma 1, del Codice la procedura in argomento rientra tra quelle previste dall’art. 50, comma 1, lettera b) del medesimo Codice, pertanto, non è prevista la presentazione di garanzia provvisoria;</w:t>
      </w:r>
    </w:p>
    <w:p w14:paraId="1BEF3816" w14:textId="77777777" w:rsidR="00045224" w:rsidRPr="004E21DA" w:rsidRDefault="00045224" w:rsidP="00045224">
      <w:pPr>
        <w:spacing w:before="60"/>
        <w:rPr>
          <w:rFonts w:cstheme="minorHAnsi"/>
          <w:color w:val="000000" w:themeColor="text1"/>
          <w:szCs w:val="20"/>
        </w:rPr>
      </w:pPr>
      <w:r w:rsidRPr="004E21DA">
        <w:rPr>
          <w:rFonts w:cs="Calibri"/>
          <w:b/>
          <w:bCs/>
          <w:szCs w:val="20"/>
        </w:rPr>
        <w:t>VISTO</w:t>
      </w:r>
      <w:r w:rsidRPr="004E21DA">
        <w:rPr>
          <w:rFonts w:cstheme="minorHAnsi"/>
          <w:b/>
          <w:bCs/>
          <w:color w:val="000000" w:themeColor="text1"/>
          <w:szCs w:val="20"/>
        </w:rPr>
        <w:t xml:space="preserve"> </w:t>
      </w:r>
      <w:r w:rsidRPr="004E21DA">
        <w:rPr>
          <w:rFonts w:cstheme="minorHAnsi"/>
          <w:color w:val="000000" w:themeColor="text1"/>
          <w:szCs w:val="20"/>
        </w:rPr>
        <w:t xml:space="preserve">il bilancio di previsione del Consiglio Nazionale delle Ricerche per l'esercizio </w:t>
      </w:r>
      <w:r w:rsidRPr="004E21DA">
        <w:rPr>
          <w:rFonts w:cstheme="minorHAnsi"/>
          <w:szCs w:val="20"/>
        </w:rPr>
        <w:t xml:space="preserve">finanziario 2025, approvato </w:t>
      </w:r>
      <w:r w:rsidRPr="004E21DA">
        <w:rPr>
          <w:rFonts w:cstheme="minorHAnsi"/>
          <w:color w:val="000000" w:themeColor="text1"/>
          <w:szCs w:val="20"/>
        </w:rPr>
        <w:t xml:space="preserve">dal Consiglio di Amministrazione con deliberazione </w:t>
      </w:r>
      <w:r w:rsidRPr="004E21DA">
        <w:rPr>
          <w:rFonts w:eastAsia="Calibri" w:cstheme="minorHAnsi"/>
          <w:szCs w:val="20"/>
        </w:rPr>
        <w:t>n° 420/2024 del 17/12/2024</w:t>
      </w:r>
      <w:r w:rsidRPr="004E21DA">
        <w:rPr>
          <w:rFonts w:cstheme="minorHAnsi"/>
          <w:color w:val="000000" w:themeColor="text1"/>
          <w:szCs w:val="20"/>
        </w:rPr>
        <w:t>;</w:t>
      </w:r>
    </w:p>
    <w:p w14:paraId="5EACB883" w14:textId="77777777" w:rsidR="006436AB" w:rsidRPr="004E21DA" w:rsidRDefault="006436AB" w:rsidP="000B635E">
      <w:pPr>
        <w:spacing w:before="60"/>
        <w:rPr>
          <w:rFonts w:cstheme="minorHAnsi"/>
          <w:szCs w:val="20"/>
        </w:rPr>
      </w:pPr>
      <w:r w:rsidRPr="004E21DA">
        <w:rPr>
          <w:rFonts w:cstheme="minorHAnsi"/>
          <w:szCs w:val="20"/>
        </w:rPr>
        <w:t>CAMPO.DISPONIBILITA</w:t>
      </w:r>
    </w:p>
    <w:p w14:paraId="6FC9D7E8" w14:textId="77777777" w:rsidR="006436AB" w:rsidRPr="004E21DA" w:rsidRDefault="006436AB" w:rsidP="006436AB">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che vi sono i presupposti normativi e di fatto per acquisire il servizio/la fornitura in oggetto;</w:t>
      </w:r>
    </w:p>
    <w:p w14:paraId="7D851DF2" w14:textId="415B0CB7" w:rsidR="000A0787" w:rsidRPr="004E21DA" w:rsidRDefault="000A0787" w:rsidP="003846EF">
      <w:pPr>
        <w:pStyle w:val="Titolo2"/>
        <w:rPr>
          <w:rStyle w:val="markedcontent"/>
          <w:rFonts w:cstheme="minorHAnsi"/>
          <w:szCs w:val="20"/>
        </w:rPr>
      </w:pPr>
      <w:r w:rsidRPr="004E21DA">
        <w:rPr>
          <w:rStyle w:val="markedcontent"/>
          <w:rFonts w:cstheme="minorHAnsi"/>
          <w:szCs w:val="20"/>
        </w:rPr>
        <w:lastRenderedPageBreak/>
        <w:t>DISPONE</w:t>
      </w:r>
    </w:p>
    <w:p w14:paraId="5D03AEAE" w14:textId="269652A7" w:rsidR="00045224" w:rsidRPr="004E21DA" w:rsidRDefault="00045224" w:rsidP="00045224">
      <w:pPr>
        <w:widowControl w:val="0"/>
        <w:numPr>
          <w:ilvl w:val="0"/>
          <w:numId w:val="1"/>
        </w:numPr>
        <w:spacing w:before="60" w:after="0"/>
        <w:ind w:left="284" w:right="-45" w:hanging="284"/>
      </w:pPr>
      <w:r w:rsidRPr="004E21DA">
        <w:rPr>
          <w:b/>
          <w:bCs/>
        </w:rPr>
        <w:t>DI</w:t>
      </w:r>
      <w:r w:rsidRPr="004E21DA">
        <w:t xml:space="preserve"> </w:t>
      </w:r>
      <w:r w:rsidRPr="004E21DA">
        <w:rPr>
          <w:rFonts w:eastAsia="Calibri" w:cstheme="minorHAnsi"/>
          <w:b/>
          <w:bCs/>
          <w:szCs w:val="20"/>
        </w:rPr>
        <w:t>STABILIRE</w:t>
      </w:r>
      <w:r w:rsidRPr="004E21DA">
        <w:t xml:space="preserve"> che le premesse sono parte integrante del presente atto e ne costituiscono le motivazioni;</w:t>
      </w:r>
    </w:p>
    <w:p w14:paraId="35A60D69" w14:textId="11D1A8C1" w:rsidR="0081197B" w:rsidRPr="004E21DA" w:rsidRDefault="0081197B" w:rsidP="00B13131">
      <w:pPr>
        <w:pStyle w:val="Elenconumero"/>
      </w:pPr>
      <w:bookmarkStart w:id="2" w:name="bookmark_procedere"/>
      <w:r w:rsidRPr="004E21DA">
        <w:t>CAMPO.PROCEDERE</w:t>
      </w:r>
      <w:bookmarkEnd w:id="2"/>
    </w:p>
    <w:p w14:paraId="23B5310D" w14:textId="2D78DD94" w:rsidR="006436AB" w:rsidRPr="004E21DA" w:rsidRDefault="006436AB" w:rsidP="000B73D6">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che non sussistono oneri di sicurezza dovuti a rischio da interferenze;</w:t>
      </w:r>
    </w:p>
    <w:p w14:paraId="2068CD27" w14:textId="4805F573" w:rsidR="002332AC" w:rsidRPr="004E21DA" w:rsidRDefault="00045224" w:rsidP="00AE537E">
      <w:pPr>
        <w:widowControl w:val="0"/>
        <w:numPr>
          <w:ilvl w:val="0"/>
          <w:numId w:val="1"/>
        </w:numPr>
        <w:spacing w:before="60" w:after="0"/>
        <w:ind w:left="284" w:right="-45" w:hanging="284"/>
      </w:pPr>
      <w:bookmarkStart w:id="3" w:name="bookmark_confermare"/>
      <w:r w:rsidRPr="004E21DA">
        <w:rPr>
          <w:rFonts w:eastAsia="Calibri" w:cstheme="minorHAnsi"/>
          <w:szCs w:val="20"/>
        </w:rPr>
        <w:t>CAMPO.CONFERMARE</w:t>
      </w:r>
      <w:bookmarkEnd w:id="3"/>
    </w:p>
    <w:p w14:paraId="783728B5" w14:textId="77777777" w:rsidR="004810C2" w:rsidRPr="004E21DA" w:rsidRDefault="004810C2" w:rsidP="00327998">
      <w:pPr>
        <w:widowControl w:val="0"/>
        <w:numPr>
          <w:ilvl w:val="0"/>
          <w:numId w:val="1"/>
        </w:numPr>
        <w:spacing w:before="60" w:after="0"/>
        <w:ind w:left="284" w:right="-45" w:hanging="284"/>
      </w:pPr>
      <w:r w:rsidRPr="004E21DA">
        <w:rPr>
          <w:b/>
          <w:bCs/>
        </w:rPr>
        <w:t>DI INCARICARE</w:t>
      </w:r>
      <w:r w:rsidRPr="004E21DA">
        <w:t xml:space="preserve"> il RUP di compiere gli adempimenti consequenziali sulla piattaforma telematica di negoziazione, consistenti nella richiesta del codice CIG e nella compilazione di tutte le schede ANAC necessarie a garantire la pubblicità e trasparenza dell’affidamento di che trattasi; </w:t>
      </w:r>
    </w:p>
    <w:p w14:paraId="7721B13F" w14:textId="30463CCD"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NOTIFICARE</w:t>
      </w:r>
      <w:r w:rsidRPr="004E21DA">
        <w:rPr>
          <w:rFonts w:eastAsia="Calibri" w:cstheme="minorHAnsi"/>
          <w:szCs w:val="20"/>
        </w:rPr>
        <w:t xml:space="preserve"> il presente atto all’</w:t>
      </w:r>
      <w:r w:rsidR="003C1FC5" w:rsidRPr="004E21DA">
        <w:rPr>
          <w:rFonts w:eastAsia="Calibri" w:cstheme="minorHAnsi"/>
          <w:szCs w:val="20"/>
        </w:rPr>
        <w:t>operatore economico</w:t>
      </w:r>
      <w:r w:rsidRPr="004E21DA">
        <w:rPr>
          <w:rFonts w:eastAsia="Calibri" w:cstheme="minorHAnsi"/>
          <w:szCs w:val="20"/>
        </w:rPr>
        <w:t xml:space="preserve"> affidatario;</w:t>
      </w:r>
    </w:p>
    <w:p w14:paraId="11975386" w14:textId="41E932B4"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STABILIRE</w:t>
      </w:r>
      <w:r w:rsidRPr="004E21DA">
        <w:rPr>
          <w:rFonts w:eastAsia="Calibri" w:cstheme="minorHAnsi"/>
          <w:b/>
          <w:bCs/>
          <w:szCs w:val="20"/>
        </w:rPr>
        <w:t xml:space="preserve"> </w:t>
      </w:r>
      <w:r w:rsidRPr="004E21DA">
        <w:rPr>
          <w:rFonts w:eastAsia="Calibri" w:cstheme="minorHAnsi"/>
          <w:szCs w:val="20"/>
        </w:rPr>
        <w:t>altresì che</w:t>
      </w:r>
      <w:r w:rsidRPr="004E21DA">
        <w:rPr>
          <w:rFonts w:eastAsia="Calibri" w:cstheme="minorHAnsi"/>
          <w:bCs/>
          <w:szCs w:val="20"/>
        </w:rPr>
        <w:t xml:space="preserve"> l’affidatario in conformità a quanto disposto dall’art. 53, comma 4, del Codice, </w:t>
      </w:r>
      <w:r w:rsidRPr="004E21DA">
        <w:rPr>
          <w:rFonts w:cstheme="minorHAnsi"/>
        </w:rPr>
        <w:t>non sarà tenuto a presentare la garanzia definitiva in quanto l'ammontare garantito sarebbe di importo così esiguo da non costituire reale garanzia per la stazione appaltante, determinando esclusivamente un appesantimento del procedimento;</w:t>
      </w:r>
    </w:p>
    <w:p w14:paraId="2A4AF896" w14:textId="4B8FC659"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DARE</w:t>
      </w:r>
      <w:r w:rsidRPr="004E21DA">
        <w:rPr>
          <w:rFonts w:eastAsia="Calibri" w:cstheme="minorHAnsi"/>
          <w:b/>
          <w:bCs/>
          <w:szCs w:val="20"/>
        </w:rPr>
        <w:t xml:space="preserve"> ATTO </w:t>
      </w:r>
      <w:r w:rsidRPr="004E21DA">
        <w:rPr>
          <w:rFonts w:eastAsia="Calibri" w:cstheme="minorHAnsi"/>
          <w:szCs w:val="20"/>
        </w:rPr>
        <w:t>che la data di affidamento è quella di cui al presente provvedimento;</w:t>
      </w:r>
    </w:p>
    <w:p w14:paraId="115EBEFC" w14:textId="1C3F82F6"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altresì, che nelle more che venga resa disponibile la nuova scheda SIM (scheda indagine di mercato) da parte dell’ANAC, la quale consentirà di gestire digitalmente la fase preventiva all’affidamento, ed in particolare di effettuare la verifica dei requisiti anche per gli affidamenti diretti tramite accesso al FVOE, nella scheda AD3 (per gli affidamenti aventi valore a partire dai 5000 euro) utilizzata per la richiesta del CIG, è stata inserita una data presunta di affidamento stimata dal RUP;</w:t>
      </w:r>
    </w:p>
    <w:p w14:paraId="0B212395" w14:textId="0D5266BB"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DARE ATTO</w:t>
      </w:r>
      <w:r w:rsidRPr="004E21DA">
        <w:rPr>
          <w:rFonts w:eastAsia="Calibri" w:cstheme="minorHAnsi"/>
          <w:szCs w:val="20"/>
        </w:rPr>
        <w:t xml:space="preserve"> che il ruolo del DEC sarà svolto dal RUP;</w:t>
      </w:r>
    </w:p>
    <w:p w14:paraId="684CC51A"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szCs w:val="20"/>
        </w:rPr>
        <w:t xml:space="preserve">DI </w:t>
      </w:r>
      <w:r w:rsidRPr="004E21DA">
        <w:rPr>
          <w:rFonts w:eastAsia="Calibri" w:cstheme="minorHAnsi"/>
          <w:b/>
          <w:bCs/>
          <w:szCs w:val="20"/>
        </w:rPr>
        <w:t>ADOTTARE</w:t>
      </w:r>
      <w:r w:rsidRPr="004E21DA">
        <w:rPr>
          <w:rFonts w:cstheme="minorHAnsi"/>
          <w:bCs/>
          <w:szCs w:val="20"/>
        </w:rPr>
        <w:t xml:space="preserve"> per il presente appalto le forme di pubblicità secondo le disposizioni previste dal Codice;</w:t>
      </w:r>
    </w:p>
    <w:p w14:paraId="643257B3"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bCs/>
          <w:szCs w:val="20"/>
        </w:rPr>
        <w:t xml:space="preserve">DI </w:t>
      </w:r>
      <w:r w:rsidRPr="004E21DA">
        <w:rPr>
          <w:rFonts w:eastAsia="Calibri" w:cstheme="minorHAnsi"/>
          <w:b/>
          <w:bCs/>
          <w:szCs w:val="20"/>
        </w:rPr>
        <w:t>ASSOLVERE</w:t>
      </w:r>
      <w:r w:rsidRPr="004E21DA">
        <w:rPr>
          <w:rFonts w:cstheme="minorHAnsi"/>
          <w:b/>
          <w:bCs/>
          <w:szCs w:val="20"/>
        </w:rPr>
        <w:t xml:space="preserve"> </w:t>
      </w:r>
      <w:r w:rsidRPr="004E21DA">
        <w:rPr>
          <w:rFonts w:cstheme="minorHAnsi"/>
          <w:bCs/>
          <w:szCs w:val="20"/>
        </w:rPr>
        <w:t>agli obblighi di trasparenza di cui all’art. 28 del D.lgs. 36/2023, nonché dell’art. 37 del D.lgs. 33/2013, tramite la pubblicazione del presente provvedimento sul sito del CNR nella sezione “Amministrazione Trasparente” e sulla Banca dati nazionale dei Contratti Pubblici (BDNCP);</w:t>
      </w:r>
    </w:p>
    <w:p w14:paraId="3B2A77A0" w14:textId="77777777"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PROCEDERE</w:t>
      </w:r>
      <w:r w:rsidRPr="004E21DA">
        <w:rPr>
          <w:rFonts w:eastAsia="Calibri" w:cstheme="minorHAnsi"/>
          <w:szCs w:val="20"/>
        </w:rPr>
        <w:t xml:space="preserve"> alla pubblicazione del presente provvedimento ai sensi del combinato disposto dell’art. 37 del D.lgs. 14 marzo 2013, n. 33 e dell'art. 20 del Codice;</w:t>
      </w:r>
    </w:p>
    <w:p w14:paraId="202D1C75" w14:textId="418A98FD" w:rsidR="000A0787" w:rsidRPr="004E21DA" w:rsidRDefault="004810C2" w:rsidP="0098726D">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LA CONSERVAZIONE</w:t>
      </w:r>
      <w:r w:rsidRPr="004E21DA">
        <w:rPr>
          <w:rFonts w:eastAsia="Calibri" w:cstheme="minorHAnsi"/>
          <w:szCs w:val="20"/>
        </w:rPr>
        <w:t xml:space="preserve"> e la messa a disposizione presso la Stazione appaltante degli atti e dei documenti relativi al presente procedimento, al fine di consentire l'accertamento della regolarità della procedura anche tramite il sistema informativo ReGIS come previsto dalla Legge di Bilancio 2021 e dal DPCM 15 settembre 2021.</w:t>
      </w:r>
    </w:p>
    <w:p w14:paraId="15B5A73C" w14:textId="2E35551A" w:rsidR="009760D0" w:rsidRPr="004E21DA" w:rsidRDefault="009760D0" w:rsidP="009760D0">
      <w:pPr>
        <w:widowControl w:val="0"/>
        <w:spacing w:before="60" w:after="0"/>
        <w:ind w:right="-45"/>
        <w:rPr>
          <w:rFonts w:eastAsia="Calibri" w:cstheme="minorHAnsi"/>
          <w:b/>
          <w:bCs/>
          <w:szCs w:val="20"/>
        </w:rPr>
      </w:pPr>
    </w:p>
    <w:p w14:paraId="6E2B55A5" w14:textId="7B1064F6" w:rsidR="00667F02" w:rsidRPr="004E21DA" w:rsidRDefault="007E5596" w:rsidP="004810C2">
      <w:pPr>
        <w:spacing w:after="0"/>
      </w:pPr>
      <w:r w:rsidRPr="004E21DA">
        <w:t>CAMPO.FIRMA</w:t>
      </w:r>
      <w:bookmarkStart w:id="4" w:name="bookmark_dich"/>
    </w:p>
    <w:bookmarkEnd w:id="4"/>
    <w:p w14:paraId="3EFE21D6" w14:textId="77777777" w:rsidR="004810C2" w:rsidRPr="004E21DA" w:rsidRDefault="004810C2" w:rsidP="004810C2">
      <w:pPr>
        <w:spacing w:after="0"/>
      </w:pPr>
    </w:p>
    <w:sectPr w:rsidR="004810C2" w:rsidRPr="004E21DA"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22A9" w14:textId="77777777" w:rsidR="00EC0E7B" w:rsidRDefault="00EC0E7B" w:rsidP="00D74435">
      <w:r>
        <w:separator/>
      </w:r>
    </w:p>
  </w:endnote>
  <w:endnote w:type="continuationSeparator" w:id="0">
    <w:p w14:paraId="32BEF024" w14:textId="77777777" w:rsidR="00EC0E7B" w:rsidRDefault="00EC0E7B"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AEA9D" w14:textId="77777777" w:rsidR="00EC0E7B" w:rsidRDefault="00EC0E7B" w:rsidP="00D74435">
      <w:r>
        <w:separator/>
      </w:r>
    </w:p>
  </w:footnote>
  <w:footnote w:type="continuationSeparator" w:id="0">
    <w:p w14:paraId="56BE6BEB" w14:textId="77777777" w:rsidR="00EC0E7B" w:rsidRDefault="00EC0E7B"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0BECB310"/>
    <w:lvl w:ilvl="0" w:tplc="06506C60">
      <w:start w:val="1"/>
      <w:numFmt w:val="decimal"/>
      <w:pStyle w:val="Elenconumero"/>
      <w:lvlText w:val="%1."/>
      <w:lvlJc w:val="left"/>
      <w:pPr>
        <w:ind w:hanging="360"/>
      </w:pPr>
      <w:rPr>
        <w:rFonts w:ascii="Source Sans Pro" w:eastAsia="Calibri" w:hAnsi="Source Sans Pro" w:cs="Times New Roman" w:hint="default"/>
        <w:b w:val="0"/>
        <w:bCs w:val="0"/>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9528913">
    <w:abstractNumId w:val="7"/>
  </w:num>
  <w:num w:numId="2" w16cid:durableId="1299921120">
    <w:abstractNumId w:val="3"/>
  </w:num>
  <w:num w:numId="3" w16cid:durableId="1255431995">
    <w:abstractNumId w:val="9"/>
  </w:num>
  <w:num w:numId="4" w16cid:durableId="817114857">
    <w:abstractNumId w:val="0"/>
  </w:num>
  <w:num w:numId="5" w16cid:durableId="551892533">
    <w:abstractNumId w:val="21"/>
  </w:num>
  <w:num w:numId="6" w16cid:durableId="1637829664">
    <w:abstractNumId w:val="13"/>
  </w:num>
  <w:num w:numId="7" w16cid:durableId="1987271083">
    <w:abstractNumId w:val="8"/>
  </w:num>
  <w:num w:numId="8" w16cid:durableId="1282155332">
    <w:abstractNumId w:val="30"/>
  </w:num>
  <w:num w:numId="9" w16cid:durableId="1554003141">
    <w:abstractNumId w:val="11"/>
  </w:num>
  <w:num w:numId="10" w16cid:durableId="323438967">
    <w:abstractNumId w:val="10"/>
  </w:num>
  <w:num w:numId="11" w16cid:durableId="1096756202">
    <w:abstractNumId w:val="19"/>
  </w:num>
  <w:num w:numId="12" w16cid:durableId="848256348">
    <w:abstractNumId w:val="31"/>
  </w:num>
  <w:num w:numId="13" w16cid:durableId="573584417">
    <w:abstractNumId w:val="2"/>
  </w:num>
  <w:num w:numId="14" w16cid:durableId="237323239">
    <w:abstractNumId w:val="28"/>
  </w:num>
  <w:num w:numId="15" w16cid:durableId="174808417">
    <w:abstractNumId w:val="14"/>
  </w:num>
  <w:num w:numId="16" w16cid:durableId="138543332">
    <w:abstractNumId w:val="1"/>
  </w:num>
  <w:num w:numId="17" w16cid:durableId="888153683">
    <w:abstractNumId w:val="5"/>
  </w:num>
  <w:num w:numId="18" w16cid:durableId="434790767">
    <w:abstractNumId w:val="26"/>
  </w:num>
  <w:num w:numId="19" w16cid:durableId="674649597">
    <w:abstractNumId w:val="27"/>
  </w:num>
  <w:num w:numId="20" w16cid:durableId="1165706598">
    <w:abstractNumId w:val="15"/>
  </w:num>
  <w:num w:numId="21" w16cid:durableId="1353801232">
    <w:abstractNumId w:val="24"/>
  </w:num>
  <w:num w:numId="22" w16cid:durableId="749692115">
    <w:abstractNumId w:val="20"/>
  </w:num>
  <w:num w:numId="23" w16cid:durableId="1106118564">
    <w:abstractNumId w:val="29"/>
  </w:num>
  <w:num w:numId="24" w16cid:durableId="878980459">
    <w:abstractNumId w:val="25"/>
  </w:num>
  <w:num w:numId="25" w16cid:durableId="2116514828">
    <w:abstractNumId w:val="23"/>
  </w:num>
  <w:num w:numId="26" w16cid:durableId="1450202806">
    <w:abstractNumId w:val="6"/>
  </w:num>
  <w:num w:numId="27" w16cid:durableId="1161508976">
    <w:abstractNumId w:val="16"/>
  </w:num>
  <w:num w:numId="28" w16cid:durableId="914626264">
    <w:abstractNumId w:val="22"/>
  </w:num>
  <w:num w:numId="29" w16cid:durableId="979192426">
    <w:abstractNumId w:val="12"/>
  </w:num>
  <w:num w:numId="30" w16cid:durableId="723913548">
    <w:abstractNumId w:val="18"/>
  </w:num>
  <w:num w:numId="31" w16cid:durableId="1293443983">
    <w:abstractNumId w:val="4"/>
  </w:num>
  <w:num w:numId="32" w16cid:durableId="20579728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51A3"/>
    <w:rsid w:val="00022A13"/>
    <w:rsid w:val="00022CBE"/>
    <w:rsid w:val="00023829"/>
    <w:rsid w:val="00023D03"/>
    <w:rsid w:val="0002705C"/>
    <w:rsid w:val="00027900"/>
    <w:rsid w:val="0004213A"/>
    <w:rsid w:val="00045224"/>
    <w:rsid w:val="000509EE"/>
    <w:rsid w:val="000575EB"/>
    <w:rsid w:val="000617AF"/>
    <w:rsid w:val="0006258E"/>
    <w:rsid w:val="00063044"/>
    <w:rsid w:val="00064780"/>
    <w:rsid w:val="000672A7"/>
    <w:rsid w:val="00067FF2"/>
    <w:rsid w:val="00071EC4"/>
    <w:rsid w:val="00073B9F"/>
    <w:rsid w:val="00082ED4"/>
    <w:rsid w:val="00083011"/>
    <w:rsid w:val="000921FA"/>
    <w:rsid w:val="00093660"/>
    <w:rsid w:val="0009468B"/>
    <w:rsid w:val="0009722D"/>
    <w:rsid w:val="000A0787"/>
    <w:rsid w:val="000A09DF"/>
    <w:rsid w:val="000B635E"/>
    <w:rsid w:val="000B73D6"/>
    <w:rsid w:val="000C56A1"/>
    <w:rsid w:val="000C6569"/>
    <w:rsid w:val="000C7296"/>
    <w:rsid w:val="000D09AF"/>
    <w:rsid w:val="000D112A"/>
    <w:rsid w:val="000D3FEF"/>
    <w:rsid w:val="000D78EB"/>
    <w:rsid w:val="000E3B01"/>
    <w:rsid w:val="000E77E0"/>
    <w:rsid w:val="00111B9A"/>
    <w:rsid w:val="00115583"/>
    <w:rsid w:val="00116553"/>
    <w:rsid w:val="00117A8C"/>
    <w:rsid w:val="0012096C"/>
    <w:rsid w:val="00123FAE"/>
    <w:rsid w:val="001367FB"/>
    <w:rsid w:val="001374BA"/>
    <w:rsid w:val="001459F0"/>
    <w:rsid w:val="00150787"/>
    <w:rsid w:val="00164145"/>
    <w:rsid w:val="0017026A"/>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E5CBF"/>
    <w:rsid w:val="001F5B46"/>
    <w:rsid w:val="001F6CA7"/>
    <w:rsid w:val="00200B05"/>
    <w:rsid w:val="00220B9A"/>
    <w:rsid w:val="00220C03"/>
    <w:rsid w:val="00223965"/>
    <w:rsid w:val="00226BDB"/>
    <w:rsid w:val="00226F55"/>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2667B"/>
    <w:rsid w:val="00327998"/>
    <w:rsid w:val="00335844"/>
    <w:rsid w:val="003434DC"/>
    <w:rsid w:val="003504A6"/>
    <w:rsid w:val="003540C1"/>
    <w:rsid w:val="003578C4"/>
    <w:rsid w:val="00357DBF"/>
    <w:rsid w:val="00360D75"/>
    <w:rsid w:val="003614FA"/>
    <w:rsid w:val="003630F4"/>
    <w:rsid w:val="00371B5D"/>
    <w:rsid w:val="00371C46"/>
    <w:rsid w:val="003736CE"/>
    <w:rsid w:val="00373EDB"/>
    <w:rsid w:val="00375CB8"/>
    <w:rsid w:val="00380146"/>
    <w:rsid w:val="0038037A"/>
    <w:rsid w:val="00380C4F"/>
    <w:rsid w:val="00380F49"/>
    <w:rsid w:val="003846EF"/>
    <w:rsid w:val="0038640F"/>
    <w:rsid w:val="003932D5"/>
    <w:rsid w:val="00395B82"/>
    <w:rsid w:val="003A18F1"/>
    <w:rsid w:val="003A32AE"/>
    <w:rsid w:val="003B06BE"/>
    <w:rsid w:val="003B10E4"/>
    <w:rsid w:val="003B4AC7"/>
    <w:rsid w:val="003B5F96"/>
    <w:rsid w:val="003C1FC5"/>
    <w:rsid w:val="003C7594"/>
    <w:rsid w:val="003D4D75"/>
    <w:rsid w:val="003E4C33"/>
    <w:rsid w:val="003E54A2"/>
    <w:rsid w:val="003F4497"/>
    <w:rsid w:val="003F5E7E"/>
    <w:rsid w:val="003F6E46"/>
    <w:rsid w:val="00413E93"/>
    <w:rsid w:val="004178D4"/>
    <w:rsid w:val="00421F65"/>
    <w:rsid w:val="00422ABD"/>
    <w:rsid w:val="004240DB"/>
    <w:rsid w:val="0044239D"/>
    <w:rsid w:val="00443BDF"/>
    <w:rsid w:val="00445450"/>
    <w:rsid w:val="004500B0"/>
    <w:rsid w:val="00456572"/>
    <w:rsid w:val="004644E1"/>
    <w:rsid w:val="00466E34"/>
    <w:rsid w:val="00470A22"/>
    <w:rsid w:val="00475E8F"/>
    <w:rsid w:val="0047731D"/>
    <w:rsid w:val="004810C2"/>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D01"/>
    <w:rsid w:val="004D5C80"/>
    <w:rsid w:val="004E21DA"/>
    <w:rsid w:val="004E405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36AB"/>
    <w:rsid w:val="006467AD"/>
    <w:rsid w:val="006470E5"/>
    <w:rsid w:val="00647814"/>
    <w:rsid w:val="00650F39"/>
    <w:rsid w:val="006651C5"/>
    <w:rsid w:val="00667EDC"/>
    <w:rsid w:val="00667F02"/>
    <w:rsid w:val="00672545"/>
    <w:rsid w:val="006729BB"/>
    <w:rsid w:val="00684F07"/>
    <w:rsid w:val="00694A66"/>
    <w:rsid w:val="006A74AA"/>
    <w:rsid w:val="006B1A31"/>
    <w:rsid w:val="006C1045"/>
    <w:rsid w:val="006C7E87"/>
    <w:rsid w:val="006E3158"/>
    <w:rsid w:val="006E5E4B"/>
    <w:rsid w:val="006F0183"/>
    <w:rsid w:val="006F3D89"/>
    <w:rsid w:val="00706B65"/>
    <w:rsid w:val="007101BF"/>
    <w:rsid w:val="00711A55"/>
    <w:rsid w:val="00715669"/>
    <w:rsid w:val="007160B5"/>
    <w:rsid w:val="007161EA"/>
    <w:rsid w:val="00726550"/>
    <w:rsid w:val="00731DF2"/>
    <w:rsid w:val="00732673"/>
    <w:rsid w:val="00745AD3"/>
    <w:rsid w:val="00751B69"/>
    <w:rsid w:val="00752205"/>
    <w:rsid w:val="00752F6F"/>
    <w:rsid w:val="00761D3E"/>
    <w:rsid w:val="00761FB3"/>
    <w:rsid w:val="0077458D"/>
    <w:rsid w:val="0077570A"/>
    <w:rsid w:val="0078356A"/>
    <w:rsid w:val="007860D1"/>
    <w:rsid w:val="00796521"/>
    <w:rsid w:val="007A12CE"/>
    <w:rsid w:val="007A6D82"/>
    <w:rsid w:val="007A7033"/>
    <w:rsid w:val="007E0143"/>
    <w:rsid w:val="007E5596"/>
    <w:rsid w:val="007F6433"/>
    <w:rsid w:val="0081197B"/>
    <w:rsid w:val="00817A50"/>
    <w:rsid w:val="00827C13"/>
    <w:rsid w:val="00833257"/>
    <w:rsid w:val="008405E9"/>
    <w:rsid w:val="0085289C"/>
    <w:rsid w:val="00853CAD"/>
    <w:rsid w:val="00855F3A"/>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9F3B44"/>
    <w:rsid w:val="00A002C7"/>
    <w:rsid w:val="00A10F2D"/>
    <w:rsid w:val="00A14DBB"/>
    <w:rsid w:val="00A16D94"/>
    <w:rsid w:val="00A20D2E"/>
    <w:rsid w:val="00A2144A"/>
    <w:rsid w:val="00A21C8A"/>
    <w:rsid w:val="00A32736"/>
    <w:rsid w:val="00A37C42"/>
    <w:rsid w:val="00A37E13"/>
    <w:rsid w:val="00A37E64"/>
    <w:rsid w:val="00A428B4"/>
    <w:rsid w:val="00A4347D"/>
    <w:rsid w:val="00A60643"/>
    <w:rsid w:val="00A621D3"/>
    <w:rsid w:val="00A756C8"/>
    <w:rsid w:val="00A95472"/>
    <w:rsid w:val="00A964DA"/>
    <w:rsid w:val="00AA1B90"/>
    <w:rsid w:val="00AA7AD2"/>
    <w:rsid w:val="00AB2446"/>
    <w:rsid w:val="00AC53C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313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6D49"/>
    <w:rsid w:val="00BD0034"/>
    <w:rsid w:val="00BD18EE"/>
    <w:rsid w:val="00BD228C"/>
    <w:rsid w:val="00BF588D"/>
    <w:rsid w:val="00BF5E2A"/>
    <w:rsid w:val="00BF7AD5"/>
    <w:rsid w:val="00C00567"/>
    <w:rsid w:val="00C01B45"/>
    <w:rsid w:val="00C066B6"/>
    <w:rsid w:val="00C0783B"/>
    <w:rsid w:val="00C17178"/>
    <w:rsid w:val="00C1791B"/>
    <w:rsid w:val="00C27411"/>
    <w:rsid w:val="00C27B9E"/>
    <w:rsid w:val="00C31D42"/>
    <w:rsid w:val="00C46722"/>
    <w:rsid w:val="00C47B5B"/>
    <w:rsid w:val="00C54EE0"/>
    <w:rsid w:val="00C60436"/>
    <w:rsid w:val="00C7609A"/>
    <w:rsid w:val="00C94E61"/>
    <w:rsid w:val="00C96000"/>
    <w:rsid w:val="00CA1F84"/>
    <w:rsid w:val="00CA2415"/>
    <w:rsid w:val="00CA3FF1"/>
    <w:rsid w:val="00CA7380"/>
    <w:rsid w:val="00CB77AD"/>
    <w:rsid w:val="00CC03AE"/>
    <w:rsid w:val="00CC167C"/>
    <w:rsid w:val="00CD532A"/>
    <w:rsid w:val="00CE3B2C"/>
    <w:rsid w:val="00CE7CFC"/>
    <w:rsid w:val="00CF26B1"/>
    <w:rsid w:val="00CF3F50"/>
    <w:rsid w:val="00D02487"/>
    <w:rsid w:val="00D035FE"/>
    <w:rsid w:val="00D03C30"/>
    <w:rsid w:val="00D0530B"/>
    <w:rsid w:val="00D13837"/>
    <w:rsid w:val="00D1492B"/>
    <w:rsid w:val="00D26544"/>
    <w:rsid w:val="00D27146"/>
    <w:rsid w:val="00D3069A"/>
    <w:rsid w:val="00D31AB7"/>
    <w:rsid w:val="00D35CFF"/>
    <w:rsid w:val="00D36DCA"/>
    <w:rsid w:val="00D41300"/>
    <w:rsid w:val="00D50196"/>
    <w:rsid w:val="00D616AA"/>
    <w:rsid w:val="00D62A75"/>
    <w:rsid w:val="00D73A9B"/>
    <w:rsid w:val="00D74435"/>
    <w:rsid w:val="00D83E7E"/>
    <w:rsid w:val="00D95413"/>
    <w:rsid w:val="00DA237D"/>
    <w:rsid w:val="00DA541E"/>
    <w:rsid w:val="00DA6B29"/>
    <w:rsid w:val="00DB1106"/>
    <w:rsid w:val="00DB43FA"/>
    <w:rsid w:val="00DB5F45"/>
    <w:rsid w:val="00DC421D"/>
    <w:rsid w:val="00DC770E"/>
    <w:rsid w:val="00DD001D"/>
    <w:rsid w:val="00DD0F33"/>
    <w:rsid w:val="00DD3BF0"/>
    <w:rsid w:val="00DD5BA8"/>
    <w:rsid w:val="00DF1A20"/>
    <w:rsid w:val="00DF5E5B"/>
    <w:rsid w:val="00DF6ED9"/>
    <w:rsid w:val="00E02F8D"/>
    <w:rsid w:val="00E03661"/>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93170"/>
    <w:rsid w:val="00EA16C6"/>
    <w:rsid w:val="00EA179F"/>
    <w:rsid w:val="00EA4B11"/>
    <w:rsid w:val="00EB163F"/>
    <w:rsid w:val="00EB2BAC"/>
    <w:rsid w:val="00EC0E7B"/>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6233F"/>
    <w:rsid w:val="00F63CA0"/>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Elenconumero">
    <w:name w:val="Elenco numero"/>
    <w:basedOn w:val="Normale"/>
    <w:link w:val="ElenconumeroCarattere"/>
    <w:qFormat/>
    <w:rsid w:val="00B13131"/>
    <w:pPr>
      <w:widowControl w:val="0"/>
      <w:numPr>
        <w:numId w:val="1"/>
      </w:numPr>
      <w:spacing w:before="60" w:after="0"/>
      <w:ind w:left="284" w:right="-45" w:hanging="284"/>
    </w:pPr>
    <w:rPr>
      <w:rFonts w:eastAsia="Calibri" w:cstheme="minorHAnsi"/>
      <w:szCs w:val="20"/>
    </w:rPr>
  </w:style>
  <w:style w:type="character" w:customStyle="1" w:styleId="ElenconumeroCarattere">
    <w:name w:val="Elenco numero Carattere"/>
    <w:basedOn w:val="Carpredefinitoparagrafo"/>
    <w:link w:val="Elenconumero"/>
    <w:rsid w:val="00B13131"/>
    <w:rPr>
      <w:rFonts w:ascii="Source Sans Pro" w:eastAsia="Calibri" w:hAnsi="Source Sans Pro" w:cstheme="minorHAns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Pages>
  <Words>1866</Words>
  <Characters>10638</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168</cp:revision>
  <cp:lastPrinted>2024-09-05T08:40:00Z</cp:lastPrinted>
  <dcterms:created xsi:type="dcterms:W3CDTF">2023-08-01T07:26:00Z</dcterms:created>
  <dcterms:modified xsi:type="dcterms:W3CDTF">2025-03-13T11:31:00Z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