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1A4AFB" w:rsidRDefault="00E43129" w:rsidP="00E43129">
      <w:pPr>
        <w:pStyle w:val="Indice"/>
        <w:spacing w:after="0" w:line="240" w:lineRule="auto"/>
        <w:jc w:val="center"/>
        <w:rPr>
          <w:rFonts w:cstheme="minorHAnsi"/>
          <w:b/>
          <w:bCs/>
        </w:rPr>
      </w:pPr>
      <w:r w:rsidRPr="001A4AFB">
        <w:rPr>
          <w:rFonts w:cstheme="minorHAnsi"/>
          <w:b/>
          <w:bCs/>
        </w:rPr>
        <w:lastRenderedPageBreak/>
        <w:t xml:space="preserve">DICHIARAZIONE POSSESSO REQUISITI </w:t>
      </w:r>
      <w:r w:rsidR="0088050A">
        <w:rPr>
          <w:rFonts w:cstheme="minorHAnsi"/>
          <w:b/>
          <w:bCs/>
        </w:rPr>
        <w:t xml:space="preserve">PARTECIPAZIONE E </w:t>
      </w:r>
      <w:r w:rsidRPr="001A4AFB">
        <w:rPr>
          <w:rFonts w:cstheme="minorHAnsi"/>
          <w:b/>
          <w:bCs/>
        </w:rPr>
        <w:t xml:space="preserve">DI QUALIFICAZIONE </w:t>
      </w:r>
    </w:p>
    <w:p w14:paraId="42DFF34C" w14:textId="77777777" w:rsidR="00E43129" w:rsidRPr="001A4AFB" w:rsidRDefault="00E43129" w:rsidP="00E43129">
      <w:pPr>
        <w:jc w:val="both"/>
        <w:rPr>
          <w:rFonts w:cstheme="minorHAnsi"/>
          <w:caps/>
        </w:rPr>
      </w:pPr>
    </w:p>
    <w:p w14:paraId="42554858" w14:textId="50F2A360" w:rsidR="00E43129" w:rsidRDefault="009A3F52" w:rsidP="00E43129">
      <w:pPr>
        <w:jc w:val="both"/>
        <w:rPr>
          <w:rFonts w:eastAsia="Calibri" w:cstheme="minorHAnsi"/>
          <w:b/>
          <w:bCs/>
          <w:caps/>
          <w:color w:val="000000" w:themeColor="text1"/>
        </w:rPr>
      </w:pPr>
      <w:r w:rsidRPr="001A4AFB">
        <w:rPr>
          <w:rFonts w:eastAsia="Calibri" w:cstheme="minorHAnsi"/>
          <w:b/>
          <w:bCs/>
          <w:caps/>
          <w:color w:val="000000" w:themeColor="text1"/>
        </w:rPr>
        <w:t>AFFIDAMENTO DIRETTO</w:t>
      </w:r>
      <w:r>
        <w:rPr>
          <w:rFonts w:eastAsia="Calibri" w:cstheme="minorHAnsi"/>
          <w:b/>
          <w:bCs/>
          <w:caps/>
          <w:color w:val="000000" w:themeColor="text1"/>
        </w:rPr>
        <w:t xml:space="preserve"> </w:t>
      </w:r>
      <w:r w:rsidRPr="003146ED">
        <w:rPr>
          <w:rFonts w:eastAsia="Calibri" w:cstheme="minorHAnsi"/>
          <w:b/>
          <w:bCs/>
          <w:caps/>
          <w:color w:val="000000" w:themeColor="text1"/>
        </w:rPr>
        <w:t xml:space="preserve">NELL’AMBITO DEL </w:t>
      </w:r>
      <w:bookmarkStart w:id="0" w:name="bookmark_body"/>
      <w:r>
        <w:rPr>
          <w:rFonts w:eastAsia="Calibri" w:cstheme="minorHAnsi"/>
          <w:b/>
          <w:bCs/>
          <w:caps/>
          <w:color w:val="000000" w:themeColor="text1"/>
        </w:rPr>
        <w:t>PNRR</w:t>
      </w:r>
      <w:bookmarkEnd w:id="0"/>
    </w:p>
    <w:p w14:paraId="0772839A" w14:textId="77777777" w:rsidR="009A3F52" w:rsidRPr="001A4AFB" w:rsidRDefault="009A3F52"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p w14:paraId="7E7E6814"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p w14:paraId="56D118A0"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p w14:paraId="648C790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p w14:paraId="4CC8B3B3"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p w14:paraId="496EC62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E43129" w:rsidRPr="001A4AFB" w14:paraId="75CC8593" w14:textId="77777777" w:rsidTr="002016B9">
        <w:tc>
          <w:tcPr>
            <w:tcW w:w="704" w:type="dxa"/>
            <w:vAlign w:val="center"/>
          </w:tcPr>
          <w:p w14:paraId="275EB8D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77E70C37" w14:textId="77777777" w:rsidR="00E43129" w:rsidRPr="001A4AFB" w:rsidRDefault="00E43129" w:rsidP="002016B9">
            <w:pPr>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E43129" w:rsidRPr="001A4AFB" w14:paraId="3966AEA1" w14:textId="77777777" w:rsidTr="002016B9">
        <w:tc>
          <w:tcPr>
            <w:tcW w:w="704" w:type="dxa"/>
            <w:vAlign w:val="center"/>
          </w:tcPr>
          <w:p w14:paraId="422D5250"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5FBB8EEB"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E43129" w:rsidRPr="001A4AFB" w14:paraId="47D5B3BB" w14:textId="77777777" w:rsidTr="002016B9">
        <w:tc>
          <w:tcPr>
            <w:tcW w:w="704" w:type="dxa"/>
            <w:vAlign w:val="center"/>
          </w:tcPr>
          <w:p w14:paraId="3346277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2565A773"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con riferimento alle norme in materia di diritto al lavoro dei disabili di cui alla L. 68/1999 e </w:t>
      </w:r>
      <w:proofErr w:type="spellStart"/>
      <w:r w:rsidRPr="00E43129">
        <w:rPr>
          <w:rFonts w:cstheme="minorHAnsi"/>
          <w:b w:val="0"/>
        </w:rPr>
        <w:t>s.m.i.</w:t>
      </w:r>
      <w:proofErr w:type="spellEnd"/>
      <w:r w:rsidRPr="00E43129">
        <w:rPr>
          <w:rFonts w:cstheme="minorHAnsi"/>
          <w:b w:val="0"/>
        </w:rPr>
        <w:t>:</w:t>
      </w:r>
    </w:p>
    <w:tbl>
      <w:tblPr>
        <w:tblStyle w:val="Grigliatabella"/>
        <w:tblW w:w="0" w:type="auto"/>
        <w:tblLook w:val="04A0" w:firstRow="1" w:lastRow="0" w:firstColumn="1" w:lastColumn="0" w:noHBand="0" w:noVBand="1"/>
      </w:tblPr>
      <w:tblGrid>
        <w:gridCol w:w="704"/>
        <w:gridCol w:w="8782"/>
      </w:tblGrid>
      <w:tr w:rsidR="00E43129" w:rsidRPr="00E43129" w14:paraId="77BEA94A" w14:textId="77777777" w:rsidTr="002016B9">
        <w:tc>
          <w:tcPr>
            <w:tcW w:w="704" w:type="dxa"/>
            <w:vAlign w:val="center"/>
          </w:tcPr>
          <w:p w14:paraId="77FFA75B"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E43129">
              <w:rPr>
                <w:rFonts w:cstheme="minorHAnsi"/>
                <w:sz w:val="16"/>
                <w:szCs w:val="16"/>
              </w:rPr>
              <w:fldChar w:fldCharType="end"/>
            </w:r>
          </w:p>
        </w:tc>
        <w:tc>
          <w:tcPr>
            <w:tcW w:w="8782" w:type="dxa"/>
          </w:tcPr>
          <w:p w14:paraId="25C4535C" w14:textId="77777777" w:rsidR="00E43129" w:rsidRPr="00E43129" w:rsidRDefault="00E43129" w:rsidP="002016B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E43129" w:rsidRPr="00E43129" w14:paraId="69006D6E" w14:textId="77777777" w:rsidTr="002016B9">
        <w:tc>
          <w:tcPr>
            <w:tcW w:w="704" w:type="dxa"/>
            <w:vAlign w:val="center"/>
          </w:tcPr>
          <w:p w14:paraId="687176EA"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E43129">
              <w:rPr>
                <w:rFonts w:cstheme="minorHAnsi"/>
                <w:sz w:val="16"/>
                <w:szCs w:val="16"/>
              </w:rPr>
              <w:fldChar w:fldCharType="end"/>
            </w:r>
          </w:p>
        </w:tc>
        <w:tc>
          <w:tcPr>
            <w:tcW w:w="8782" w:type="dxa"/>
          </w:tcPr>
          <w:p w14:paraId="63EBD2BC" w14:textId="77777777" w:rsidR="00E43129" w:rsidRPr="00E43129" w:rsidRDefault="00E43129" w:rsidP="002016B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7777777" w:rsidR="00E43129" w:rsidRPr="001A4AFB" w:rsidRDefault="00E43129" w:rsidP="00E43129">
      <w:pPr>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3146ED">
              <w:rPr>
                <w:i/>
                <w:iCs/>
              </w:rPr>
              <w:t xml:space="preserve">2621 e 2622 c.c. - art. 94 co. 1 </w:t>
            </w:r>
            <w:proofErr w:type="spellStart"/>
            <w:r w:rsidRPr="003146ED">
              <w:rPr>
                <w:i/>
                <w:iCs/>
              </w:rPr>
              <w:t>lett</w:t>
            </w:r>
            <w:proofErr w:type="spellEnd"/>
            <w:r w:rsidRPr="003146ED">
              <w:rPr>
                <w:i/>
                <w:iCs/>
              </w:rPr>
              <w:t>. c)</w:t>
            </w:r>
          </w:p>
          <w:p w14:paraId="44CD3059" w14:textId="77777777" w:rsidR="00E43129" w:rsidRPr="003146ED" w:rsidRDefault="00E43129" w:rsidP="002016B9">
            <w:pPr>
              <w:pStyle w:val="TableParagraph"/>
              <w:ind w:left="93" w:right="92"/>
              <w:jc w:val="both"/>
            </w:pPr>
            <w:proofErr w:type="spellStart"/>
            <w:r w:rsidRPr="003146ED">
              <w:t>Frode</w:t>
            </w:r>
            <w:proofErr w:type="spellEnd"/>
            <w:r w:rsidRPr="003146ED">
              <w:t xml:space="preserve"> - art. 94 co. 1 </w:t>
            </w:r>
            <w:proofErr w:type="spellStart"/>
            <w:r w:rsidRPr="003146ED">
              <w:t>lett</w:t>
            </w:r>
            <w:proofErr w:type="spellEnd"/>
            <w:r w:rsidRPr="003146ED">
              <w: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E43129" w:rsidRPr="001A4AFB" w14:paraId="1D0FD892" w14:textId="77777777" w:rsidTr="002016B9">
        <w:trPr>
          <w:trHeight w:val="745"/>
        </w:trPr>
        <w:tc>
          <w:tcPr>
            <w:tcW w:w="8032" w:type="dxa"/>
            <w:vMerge w:val="restart"/>
            <w:shd w:val="clear" w:color="auto" w:fill="FFFFFF" w:themeFill="background1"/>
          </w:tcPr>
          <w:p w14:paraId="3EDA2AC9" w14:textId="77777777" w:rsidR="00E43129" w:rsidRPr="001A4AFB" w:rsidRDefault="00E43129" w:rsidP="002016B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1A62A18C"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FA3CC8D" w14:textId="77777777" w:rsidTr="002016B9">
        <w:trPr>
          <w:trHeight w:val="682"/>
        </w:trPr>
        <w:tc>
          <w:tcPr>
            <w:tcW w:w="8032" w:type="dxa"/>
            <w:vMerge w:val="restart"/>
            <w:shd w:val="clear" w:color="auto" w:fill="FFFFFF" w:themeFill="background1"/>
          </w:tcPr>
          <w:p w14:paraId="3915D2FE" w14:textId="77777777" w:rsidR="00E43129" w:rsidRPr="001A4AFB" w:rsidRDefault="00E43129" w:rsidP="002016B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242AF43B"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E43129" w:rsidRPr="001A4AFB" w14:paraId="0F67E63F" w14:textId="77777777" w:rsidTr="002016B9">
        <w:trPr>
          <w:trHeight w:val="664"/>
        </w:trPr>
        <w:tc>
          <w:tcPr>
            <w:tcW w:w="8032" w:type="dxa"/>
            <w:vMerge w:val="restart"/>
            <w:shd w:val="clear" w:color="auto" w:fill="FFFFFF" w:themeFill="background1"/>
          </w:tcPr>
          <w:p w14:paraId="6CDCEACE" w14:textId="77777777" w:rsidR="00E43129" w:rsidRDefault="00E43129" w:rsidP="002016B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E43129" w:rsidRDefault="00E43129" w:rsidP="002016B9">
            <w:pPr>
              <w:pStyle w:val="TableParagraph"/>
              <w:ind w:left="93" w:right="87"/>
              <w:rPr>
                <w:lang w:val="it-IT"/>
              </w:rPr>
            </w:pPr>
          </w:p>
          <w:p w14:paraId="22686FB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B93C7E2"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EF894A6" w14:textId="77777777" w:rsidTr="002016B9">
        <w:trPr>
          <w:trHeight w:val="110"/>
        </w:trPr>
        <w:tc>
          <w:tcPr>
            <w:tcW w:w="8032" w:type="dxa"/>
            <w:vMerge/>
            <w:shd w:val="clear" w:color="auto" w:fill="FFFFFF" w:themeFill="background1"/>
          </w:tcPr>
          <w:p w14:paraId="1FF8BAC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4215CF9"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2BD296D" w14:textId="77777777" w:rsidTr="002016B9">
        <w:trPr>
          <w:trHeight w:val="636"/>
        </w:trPr>
        <w:tc>
          <w:tcPr>
            <w:tcW w:w="8032" w:type="dxa"/>
            <w:vMerge w:val="restart"/>
            <w:shd w:val="clear" w:color="auto" w:fill="FFFFFF" w:themeFill="background1"/>
          </w:tcPr>
          <w:p w14:paraId="116B7621" w14:textId="77777777" w:rsidR="00E43129" w:rsidRDefault="00E43129" w:rsidP="002016B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E43129" w:rsidRDefault="00E43129" w:rsidP="002016B9">
            <w:pPr>
              <w:pStyle w:val="TableParagraph"/>
              <w:ind w:left="93" w:right="87"/>
              <w:rPr>
                <w:lang w:val="it-IT"/>
              </w:rPr>
            </w:pPr>
          </w:p>
          <w:p w14:paraId="1E88A6A0"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B6D14A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13A1AAAC" w14:textId="77777777" w:rsidTr="002016B9">
        <w:trPr>
          <w:trHeight w:val="110"/>
        </w:trPr>
        <w:tc>
          <w:tcPr>
            <w:tcW w:w="8032" w:type="dxa"/>
            <w:vMerge/>
            <w:shd w:val="clear" w:color="auto" w:fill="FFFFFF" w:themeFill="background1"/>
          </w:tcPr>
          <w:p w14:paraId="4DEAF24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95D195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B65A9" w14:textId="77777777" w:rsidTr="002016B9">
        <w:trPr>
          <w:trHeight w:val="641"/>
        </w:trPr>
        <w:tc>
          <w:tcPr>
            <w:tcW w:w="8032" w:type="dxa"/>
            <w:vMerge w:val="restart"/>
            <w:shd w:val="clear" w:color="auto" w:fill="FFFFFF" w:themeFill="background1"/>
          </w:tcPr>
          <w:p w14:paraId="3C1D4554" w14:textId="77777777" w:rsidR="00E43129" w:rsidRPr="001A4AFB" w:rsidRDefault="00E43129" w:rsidP="002016B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E43129" w:rsidRPr="001A4AFB" w:rsidRDefault="00E43129" w:rsidP="002016B9">
            <w:pPr>
              <w:pStyle w:val="TableParagraph"/>
              <w:ind w:left="93" w:right="87"/>
              <w:rPr>
                <w:lang w:val="it-IT"/>
              </w:rPr>
            </w:pPr>
          </w:p>
          <w:p w14:paraId="00F8F35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99CC0C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3BB3F" w14:textId="77777777" w:rsidTr="002016B9">
        <w:trPr>
          <w:trHeight w:val="270"/>
        </w:trPr>
        <w:tc>
          <w:tcPr>
            <w:tcW w:w="8032" w:type="dxa"/>
            <w:vMerge/>
            <w:shd w:val="clear" w:color="auto" w:fill="FFFFFF" w:themeFill="background1"/>
          </w:tcPr>
          <w:p w14:paraId="0D97D68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50D62C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0B2C33" w14:textId="77777777" w:rsidTr="002016B9">
        <w:trPr>
          <w:trHeight w:val="403"/>
        </w:trPr>
        <w:tc>
          <w:tcPr>
            <w:tcW w:w="8032" w:type="dxa"/>
            <w:vMerge w:val="restart"/>
            <w:shd w:val="clear" w:color="auto" w:fill="FFFFFF" w:themeFill="background1"/>
          </w:tcPr>
          <w:p w14:paraId="67832DE3" w14:textId="77777777" w:rsidR="00E43129" w:rsidRPr="001A4AFB" w:rsidRDefault="00E43129" w:rsidP="002016B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1CBD73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55E3302" w14:textId="77777777" w:rsidTr="002016B9">
        <w:trPr>
          <w:trHeight w:val="216"/>
        </w:trPr>
        <w:tc>
          <w:tcPr>
            <w:tcW w:w="8032" w:type="dxa"/>
            <w:vMerge/>
            <w:shd w:val="clear" w:color="auto" w:fill="FFFFFF" w:themeFill="background1"/>
          </w:tcPr>
          <w:p w14:paraId="5BAB593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578BB2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DB3A91A" w14:textId="77777777" w:rsidTr="002016B9">
        <w:trPr>
          <w:trHeight w:val="416"/>
        </w:trPr>
        <w:tc>
          <w:tcPr>
            <w:tcW w:w="8032" w:type="dxa"/>
            <w:vMerge w:val="restart"/>
            <w:shd w:val="clear" w:color="auto" w:fill="FFFFFF" w:themeFill="background1"/>
          </w:tcPr>
          <w:p w14:paraId="29D795D1" w14:textId="77777777" w:rsidR="00E43129" w:rsidRPr="001A4AFB" w:rsidRDefault="00E43129" w:rsidP="002016B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E43129" w:rsidRPr="001A4AFB" w:rsidRDefault="00E43129" w:rsidP="002016B9">
            <w:pPr>
              <w:pStyle w:val="TableParagraph"/>
              <w:ind w:left="93" w:right="87"/>
              <w:rPr>
                <w:lang w:val="it-IT"/>
              </w:rPr>
            </w:pPr>
          </w:p>
          <w:p w14:paraId="324DC16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C009727"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2D7BC54" w14:textId="77777777" w:rsidTr="002016B9">
        <w:trPr>
          <w:trHeight w:val="216"/>
        </w:trPr>
        <w:tc>
          <w:tcPr>
            <w:tcW w:w="8032" w:type="dxa"/>
            <w:vMerge/>
            <w:shd w:val="clear" w:color="auto" w:fill="FFFFFF" w:themeFill="background1"/>
          </w:tcPr>
          <w:p w14:paraId="206B470E"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E919A42"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FEADADE" w14:textId="77777777" w:rsidTr="002016B9">
        <w:trPr>
          <w:trHeight w:val="416"/>
        </w:trPr>
        <w:tc>
          <w:tcPr>
            <w:tcW w:w="8032" w:type="dxa"/>
            <w:vMerge w:val="restart"/>
            <w:shd w:val="clear" w:color="auto" w:fill="FFFFFF" w:themeFill="background1"/>
          </w:tcPr>
          <w:p w14:paraId="6960C0FF" w14:textId="77777777" w:rsidR="00E43129" w:rsidRPr="001A4AFB" w:rsidRDefault="00E43129" w:rsidP="002016B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E43129" w:rsidRPr="001A4AFB" w:rsidRDefault="00E43129" w:rsidP="002016B9">
            <w:pPr>
              <w:pStyle w:val="TableParagraph"/>
              <w:ind w:left="93" w:right="87"/>
              <w:rPr>
                <w:lang w:val="it-IT"/>
              </w:rPr>
            </w:pPr>
          </w:p>
          <w:p w14:paraId="01CA448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7B46DF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05BF7369" w14:textId="77777777" w:rsidTr="002016B9">
        <w:trPr>
          <w:trHeight w:val="163"/>
        </w:trPr>
        <w:tc>
          <w:tcPr>
            <w:tcW w:w="8032" w:type="dxa"/>
            <w:vMerge/>
            <w:shd w:val="clear" w:color="auto" w:fill="FFFFFF" w:themeFill="background1"/>
          </w:tcPr>
          <w:p w14:paraId="1FDB747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10F5F1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BD55E8" w14:textId="77777777" w:rsidTr="002016B9">
        <w:trPr>
          <w:trHeight w:val="805"/>
        </w:trPr>
        <w:tc>
          <w:tcPr>
            <w:tcW w:w="8032" w:type="dxa"/>
            <w:vMerge w:val="restart"/>
            <w:shd w:val="clear" w:color="auto" w:fill="FFFFFF" w:themeFill="background1"/>
          </w:tcPr>
          <w:p w14:paraId="1CBB4143" w14:textId="77777777" w:rsidR="00E43129" w:rsidRPr="001A4AFB" w:rsidRDefault="00E43129" w:rsidP="002016B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E43129" w:rsidRPr="001A4AFB" w:rsidRDefault="00E43129" w:rsidP="002016B9">
            <w:pPr>
              <w:pStyle w:val="TableParagraph"/>
              <w:ind w:left="93" w:right="87"/>
              <w:rPr>
                <w:lang w:val="it-IT"/>
              </w:rPr>
            </w:pPr>
          </w:p>
          <w:p w14:paraId="22D58F3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5E3017F"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9F0E6B" w14:textId="77777777" w:rsidTr="002016B9">
        <w:trPr>
          <w:trHeight w:val="466"/>
        </w:trPr>
        <w:tc>
          <w:tcPr>
            <w:tcW w:w="8032" w:type="dxa"/>
            <w:vMerge/>
            <w:shd w:val="clear" w:color="auto" w:fill="FFFFFF" w:themeFill="background1"/>
          </w:tcPr>
          <w:p w14:paraId="1A9566F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09D0393"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DDA61F3" w14:textId="77777777" w:rsidTr="002016B9">
        <w:trPr>
          <w:trHeight w:val="1071"/>
        </w:trPr>
        <w:tc>
          <w:tcPr>
            <w:tcW w:w="8032" w:type="dxa"/>
            <w:vMerge w:val="restart"/>
            <w:shd w:val="clear" w:color="auto" w:fill="FFFFFF" w:themeFill="background1"/>
          </w:tcPr>
          <w:p w14:paraId="3AF90DFE" w14:textId="77777777" w:rsidR="00E43129" w:rsidRDefault="00E43129" w:rsidP="002016B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E43129" w:rsidRDefault="00E43129" w:rsidP="002016B9">
            <w:pPr>
              <w:pStyle w:val="TableParagraph"/>
              <w:ind w:left="93" w:right="87"/>
              <w:rPr>
                <w:lang w:val="it-IT"/>
              </w:rPr>
            </w:pPr>
          </w:p>
          <w:p w14:paraId="66D5AAB8"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E0340D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216BDD" w14:textId="77777777" w:rsidTr="002016B9">
        <w:trPr>
          <w:trHeight w:val="667"/>
        </w:trPr>
        <w:tc>
          <w:tcPr>
            <w:tcW w:w="8032" w:type="dxa"/>
            <w:vMerge/>
            <w:shd w:val="clear" w:color="auto" w:fill="FFFFFF" w:themeFill="background1"/>
          </w:tcPr>
          <w:p w14:paraId="4DEC80D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0516AE17"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E43129" w:rsidRPr="001A4AFB" w14:paraId="2C8F1BF3" w14:textId="77777777" w:rsidTr="002016B9">
        <w:trPr>
          <w:trHeight w:val="1039"/>
        </w:trPr>
        <w:tc>
          <w:tcPr>
            <w:tcW w:w="8032" w:type="dxa"/>
            <w:vMerge w:val="restart"/>
          </w:tcPr>
          <w:p w14:paraId="6EEC7A26" w14:textId="77777777" w:rsidR="00E43129" w:rsidRPr="001A4AFB" w:rsidRDefault="00E43129" w:rsidP="002016B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E43129" w:rsidRPr="001A4AFB" w:rsidRDefault="00E43129" w:rsidP="002016B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E43129" w:rsidRDefault="00E43129" w:rsidP="002016B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E43129" w:rsidRDefault="00E43129" w:rsidP="002016B9">
            <w:pPr>
              <w:pStyle w:val="TableParagraph"/>
              <w:ind w:left="93" w:right="92"/>
              <w:jc w:val="both"/>
              <w:rPr>
                <w:lang w:val="it-IT"/>
              </w:rPr>
            </w:pPr>
          </w:p>
          <w:p w14:paraId="16E473DB" w14:textId="77777777" w:rsidR="00E43129" w:rsidRPr="001A4AFB" w:rsidRDefault="00E43129" w:rsidP="002016B9">
            <w:pPr>
              <w:pStyle w:val="TableParagraph"/>
              <w:ind w:left="93" w:right="92"/>
              <w:jc w:val="both"/>
              <w:rPr>
                <w:lang w:val="it-IT"/>
              </w:rPr>
            </w:pPr>
          </w:p>
        </w:tc>
        <w:tc>
          <w:tcPr>
            <w:tcW w:w="1770" w:type="dxa"/>
            <w:vAlign w:val="center"/>
          </w:tcPr>
          <w:p w14:paraId="553D5267"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1FE8368" w14:textId="77777777" w:rsidTr="002016B9">
        <w:trPr>
          <w:trHeight w:val="1231"/>
        </w:trPr>
        <w:tc>
          <w:tcPr>
            <w:tcW w:w="8032" w:type="dxa"/>
            <w:vMerge/>
            <w:tcBorders>
              <w:bottom w:val="single" w:sz="4" w:space="0" w:color="000000"/>
            </w:tcBorders>
          </w:tcPr>
          <w:p w14:paraId="09300DA6" w14:textId="77777777" w:rsidR="00E43129" w:rsidRPr="001A4AFB" w:rsidRDefault="00E43129" w:rsidP="002016B9">
            <w:pPr>
              <w:pStyle w:val="TableParagraph"/>
              <w:ind w:left="93" w:right="92"/>
              <w:jc w:val="both"/>
              <w:rPr>
                <w:lang w:val="it-IT"/>
              </w:rPr>
            </w:pPr>
          </w:p>
        </w:tc>
        <w:tc>
          <w:tcPr>
            <w:tcW w:w="1770" w:type="dxa"/>
            <w:tcBorders>
              <w:bottom w:val="single" w:sz="4" w:space="0" w:color="000000"/>
            </w:tcBorders>
            <w:vAlign w:val="center"/>
          </w:tcPr>
          <w:p w14:paraId="13886104"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E43129" w:rsidRPr="001A4AFB" w:rsidRDefault="00E43129" w:rsidP="002016B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E43129" w:rsidRPr="001A4AFB" w:rsidRDefault="00E43129" w:rsidP="002016B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4EDF6B2" w14:textId="77777777" w:rsidTr="002016B9">
        <w:trPr>
          <w:trHeight w:val="938"/>
        </w:trPr>
        <w:tc>
          <w:tcPr>
            <w:tcW w:w="8032" w:type="dxa"/>
            <w:vMerge w:val="restart"/>
            <w:tcBorders>
              <w:right w:val="single" w:sz="4" w:space="0" w:color="A6A6A6"/>
            </w:tcBorders>
          </w:tcPr>
          <w:p w14:paraId="1B746E87" w14:textId="77777777" w:rsidR="00E43129" w:rsidRDefault="00E43129" w:rsidP="002016B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E43129" w:rsidRDefault="00E43129" w:rsidP="002016B9">
            <w:pPr>
              <w:pStyle w:val="TableParagraph"/>
              <w:ind w:left="93" w:right="95"/>
              <w:jc w:val="both"/>
              <w:rPr>
                <w:lang w:val="it-IT"/>
              </w:rPr>
            </w:pPr>
          </w:p>
          <w:p w14:paraId="72642D72" w14:textId="77777777" w:rsidR="00E43129" w:rsidRPr="001A4AFB" w:rsidRDefault="00E43129" w:rsidP="002016B9">
            <w:pPr>
              <w:pStyle w:val="TableParagraph"/>
              <w:ind w:left="93" w:right="95"/>
              <w:jc w:val="both"/>
              <w:rPr>
                <w:lang w:val="it-IT"/>
              </w:rPr>
            </w:pPr>
          </w:p>
        </w:tc>
        <w:tc>
          <w:tcPr>
            <w:tcW w:w="1770" w:type="dxa"/>
            <w:tcBorders>
              <w:left w:val="single" w:sz="4" w:space="0" w:color="A6A6A6"/>
            </w:tcBorders>
            <w:vAlign w:val="center"/>
          </w:tcPr>
          <w:p w14:paraId="08306DB9"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2E26789" w14:textId="77777777" w:rsidTr="002016B9">
        <w:trPr>
          <w:trHeight w:val="532"/>
        </w:trPr>
        <w:tc>
          <w:tcPr>
            <w:tcW w:w="8032" w:type="dxa"/>
            <w:vMerge/>
            <w:tcBorders>
              <w:right w:val="single" w:sz="4" w:space="0" w:color="A6A6A6"/>
            </w:tcBorders>
          </w:tcPr>
          <w:p w14:paraId="781DF61C" w14:textId="77777777" w:rsidR="00E43129" w:rsidRPr="000A385C" w:rsidRDefault="00E43129" w:rsidP="002016B9">
            <w:pPr>
              <w:pStyle w:val="TableParagraph"/>
              <w:ind w:left="93" w:right="95"/>
              <w:jc w:val="both"/>
              <w:rPr>
                <w:lang w:val="it-IT"/>
              </w:rPr>
            </w:pPr>
          </w:p>
        </w:tc>
        <w:tc>
          <w:tcPr>
            <w:tcW w:w="1770" w:type="dxa"/>
            <w:tcBorders>
              <w:left w:val="single" w:sz="4" w:space="0" w:color="A6A6A6"/>
            </w:tcBorders>
            <w:vAlign w:val="center"/>
          </w:tcPr>
          <w:p w14:paraId="30777C25"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478D6">
              <w:rPr>
                <w:rFonts w:cstheme="minorHAnsi"/>
                <w:sz w:val="16"/>
                <w:szCs w:val="16"/>
                <w:lang w:val="it-IT"/>
              </w:rPr>
            </w:r>
            <w:r w:rsidR="003478D6">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p w14:paraId="0AC7937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E43129" w:rsidRPr="001A4AFB" w14:paraId="672E0528" w14:textId="77777777" w:rsidTr="002016B9">
        <w:tc>
          <w:tcPr>
            <w:tcW w:w="704" w:type="dxa"/>
            <w:vAlign w:val="center"/>
          </w:tcPr>
          <w:p w14:paraId="66098735"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p w14:paraId="317560C9"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p w14:paraId="2ED34271"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p w14:paraId="4D6D01FA"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478D6">
              <w:rPr>
                <w:rFonts w:cstheme="minorHAnsi"/>
                <w:sz w:val="16"/>
                <w:szCs w:val="16"/>
              </w:rPr>
            </w:r>
            <w:r w:rsidR="003478D6">
              <w:rPr>
                <w:rFonts w:cstheme="minorHAnsi"/>
                <w:sz w:val="16"/>
                <w:szCs w:val="16"/>
              </w:rPr>
              <w:fldChar w:fldCharType="separate"/>
            </w:r>
            <w:r w:rsidRPr="001A4AFB">
              <w:rPr>
                <w:rFonts w:cstheme="minorHAnsi"/>
                <w:sz w:val="16"/>
                <w:szCs w:val="16"/>
              </w:rPr>
              <w:fldChar w:fldCharType="end"/>
            </w:r>
          </w:p>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77777777" w:rsidR="00E43129" w:rsidRPr="004572C9" w:rsidRDefault="00E43129" w:rsidP="00E43129">
      <w:pPr>
        <w:jc w:val="both"/>
        <w:rPr>
          <w:rFonts w:ascii="Titillium" w:hAnsi="Titillium"/>
          <w:b/>
          <w:bCs/>
          <w:iCs/>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3478D6">
        <w:rPr>
          <w:rFonts w:ascii="Titillium" w:hAnsi="Titillium"/>
          <w:sz w:val="14"/>
        </w:rPr>
      </w:r>
      <w:r w:rsidR="003478D6">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w:t>
      </w:r>
      <w:r>
        <w:rPr>
          <w:rFonts w:ascii="Titillium" w:hAnsi="Titillium"/>
          <w:b/>
          <w:iCs/>
        </w:rPr>
        <w:t>1</w:t>
      </w:r>
      <w:r w:rsidRPr="008559F6">
        <w:rPr>
          <w:rFonts w:ascii="Titillium" w:hAnsi="Titillium"/>
          <w:b/>
          <w:iCs/>
        </w:rPr>
        <w:t>:</w:t>
      </w:r>
      <w:r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77777777" w:rsidR="00E43129" w:rsidRPr="008559F6" w:rsidRDefault="00E43129" w:rsidP="00E43129">
      <w:pPr>
        <w:pStyle w:val="Paragrafoelenco"/>
        <w:ind w:left="0"/>
        <w:jc w:val="both"/>
        <w:rPr>
          <w:rFonts w:ascii="Titillium" w:hAnsi="Titillium"/>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3478D6">
        <w:rPr>
          <w:rFonts w:ascii="Titillium" w:hAnsi="Titillium"/>
          <w:sz w:val="14"/>
        </w:rPr>
      </w:r>
      <w:r w:rsidR="003478D6">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2: Poiché la propria azienda </w:t>
      </w:r>
      <w:r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77777777" w:rsidR="00E43129" w:rsidRDefault="00E43129" w:rsidP="00E43129">
      <w:pPr>
        <w:rPr>
          <w:b/>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3478D6">
        <w:rPr>
          <w:rFonts w:ascii="Titillium" w:hAnsi="Titillium"/>
          <w:sz w:val="14"/>
        </w:rPr>
      </w:r>
      <w:r w:rsidR="003478D6">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3: Poiché la propria azienda </w:t>
      </w:r>
      <w:r w:rsidRPr="008559F6">
        <w:rPr>
          <w:b/>
          <w:iCs/>
        </w:rPr>
        <w:t>ha un numero di dipendenti non superiore a 15</w:t>
      </w:r>
      <w:r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w:t>
      </w:r>
      <w:proofErr w:type="gramStart"/>
      <w:r w:rsidRPr="00FA56B9">
        <w:t>, ,</w:t>
      </w:r>
      <w:proofErr w:type="gramEnd"/>
      <w:r w:rsidRPr="00FA56B9">
        <w:t xml:space="preserve">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w:t>
      </w:r>
      <w:proofErr w:type="spellStart"/>
      <w:r w:rsidRPr="00E43129">
        <w:rPr>
          <w:rFonts w:cstheme="minorHAnsi"/>
          <w:b w:val="0"/>
          <w:bCs/>
        </w:rPr>
        <w:t>eIDAS</w:t>
      </w:r>
      <w:proofErr w:type="spellEnd"/>
      <w:r w:rsidRPr="00E43129">
        <w:rPr>
          <w:rFonts w:cstheme="minorHAnsi"/>
          <w:b w:val="0"/>
          <w:bCs/>
        </w:rPr>
        <w:t xml:space="preserve">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 xml:space="preserve">di non essere presente negli indici di cui agli articoli 6-bis e 6-ter del D.lgs. n. 82/05, e, pertanto, elegge domicilio digitale per tutte le comunicazioni inerenti </w:t>
      </w:r>
      <w:proofErr w:type="gramStart"/>
      <w:r w:rsidRPr="00E43129">
        <w:rPr>
          <w:rFonts w:cstheme="minorHAnsi"/>
          <w:b w:val="0"/>
          <w:bCs/>
        </w:rPr>
        <w:t>il</w:t>
      </w:r>
      <w:proofErr w:type="gramEnd"/>
      <w:r w:rsidRPr="00E43129">
        <w:rPr>
          <w:rFonts w:cstheme="minorHAnsi"/>
          <w:b w:val="0"/>
          <w:bCs/>
        </w:rPr>
        <w:t xml:space="preserve">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3A7C4" w14:textId="77777777" w:rsidR="003478D6" w:rsidRDefault="003478D6" w:rsidP="000151A3">
      <w:r>
        <w:separator/>
      </w:r>
    </w:p>
  </w:endnote>
  <w:endnote w:type="continuationSeparator" w:id="0">
    <w:p w14:paraId="2357062F" w14:textId="77777777" w:rsidR="003478D6" w:rsidRDefault="003478D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3478D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3478D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2B33" w14:textId="77777777" w:rsidR="003478D6" w:rsidRDefault="003478D6" w:rsidP="000151A3">
      <w:r>
        <w:separator/>
      </w:r>
    </w:p>
  </w:footnote>
  <w:footnote w:type="continuationSeparator" w:id="0">
    <w:p w14:paraId="753A53BC" w14:textId="77777777" w:rsidR="003478D6" w:rsidRDefault="003478D6" w:rsidP="000151A3">
      <w:r>
        <w:continuationSeparator/>
      </w:r>
    </w:p>
  </w:footnote>
  <w:footnote w:id="1">
    <w:p w14:paraId="7C4AD0ED" w14:textId="77777777" w:rsidR="00E43129" w:rsidRPr="001A4AFB" w:rsidRDefault="00E4312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478D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7"/>
  </w:num>
  <w:num w:numId="4">
    <w:abstractNumId w:val="0"/>
  </w:num>
  <w:num w:numId="5">
    <w:abstractNumId w:val="31"/>
  </w:num>
  <w:num w:numId="6">
    <w:abstractNumId w:val="21"/>
  </w:num>
  <w:num w:numId="7">
    <w:abstractNumId w:val="11"/>
  </w:num>
  <w:num w:numId="8">
    <w:abstractNumId w:val="40"/>
  </w:num>
  <w:num w:numId="9">
    <w:abstractNumId w:val="19"/>
  </w:num>
  <w:num w:numId="10">
    <w:abstractNumId w:val="18"/>
  </w:num>
  <w:num w:numId="11">
    <w:abstractNumId w:val="28"/>
  </w:num>
  <w:num w:numId="12">
    <w:abstractNumId w:val="41"/>
  </w:num>
  <w:num w:numId="13">
    <w:abstractNumId w:val="3"/>
  </w:num>
  <w:num w:numId="14">
    <w:abstractNumId w:val="38"/>
  </w:num>
  <w:num w:numId="15">
    <w:abstractNumId w:val="24"/>
  </w:num>
  <w:num w:numId="16">
    <w:abstractNumId w:val="1"/>
  </w:num>
  <w:num w:numId="17">
    <w:abstractNumId w:val="6"/>
  </w:num>
  <w:num w:numId="18">
    <w:abstractNumId w:val="36"/>
  </w:num>
  <w:num w:numId="19">
    <w:abstractNumId w:val="37"/>
  </w:num>
  <w:num w:numId="20">
    <w:abstractNumId w:val="25"/>
  </w:num>
  <w:num w:numId="21">
    <w:abstractNumId w:val="34"/>
  </w:num>
  <w:num w:numId="22">
    <w:abstractNumId w:val="30"/>
  </w:num>
  <w:num w:numId="23">
    <w:abstractNumId w:val="39"/>
  </w:num>
  <w:num w:numId="24">
    <w:abstractNumId w:val="35"/>
  </w:num>
  <w:num w:numId="25">
    <w:abstractNumId w:val="33"/>
  </w:num>
  <w:num w:numId="26">
    <w:abstractNumId w:val="7"/>
  </w:num>
  <w:num w:numId="27">
    <w:abstractNumId w:val="26"/>
  </w:num>
  <w:num w:numId="28">
    <w:abstractNumId w:val="32"/>
  </w:num>
  <w:num w:numId="29">
    <w:abstractNumId w:val="20"/>
  </w:num>
  <w:num w:numId="30">
    <w:abstractNumId w:val="27"/>
  </w:num>
  <w:num w:numId="31">
    <w:abstractNumId w:val="15"/>
  </w:num>
  <w:num w:numId="32">
    <w:abstractNumId w:val="8"/>
  </w:num>
  <w:num w:numId="33">
    <w:abstractNumId w:val="5"/>
  </w:num>
  <w:num w:numId="34">
    <w:abstractNumId w:val="29"/>
  </w:num>
  <w:num w:numId="35">
    <w:abstractNumId w:val="16"/>
  </w:num>
  <w:num w:numId="36">
    <w:abstractNumId w:val="14"/>
  </w:num>
  <w:num w:numId="37">
    <w:abstractNumId w:val="2"/>
  </w:num>
  <w:num w:numId="38">
    <w:abstractNumId w:val="22"/>
  </w:num>
  <w:num w:numId="39">
    <w:abstractNumId w:val="9"/>
  </w:num>
  <w:num w:numId="40">
    <w:abstractNumId w:val="23"/>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478D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6C98"/>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A3F5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2454"/>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33FFA"/>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53E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3872</Words>
  <Characters>22077</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67</cp:revision>
  <cp:lastPrinted>2024-09-05T08:40:00Z</cp:lastPrinted>
  <dcterms:created xsi:type="dcterms:W3CDTF">2023-08-01T07:26:00Z</dcterms:created>
  <dcterms:modified xsi:type="dcterms:W3CDTF">2024-11-12T16:06:00Z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