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Default="008B3518" w:rsidP="008B3518">
      <w:pPr>
        <w:rPr>
          <w:rFonts w:cstheme="minorHAnsi"/>
          <w:szCs w:val="20"/>
        </w:rPr>
      </w:pP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77777777" w:rsidR="008B3518" w:rsidRPr="006D4CD6" w:rsidRDefault="008B3518" w:rsidP="00901DB2">
            <w:pPr>
              <w:rPr>
                <w:rFonts w:cstheme="minorHAnsi"/>
              </w:rPr>
            </w:pPr>
            <w:r>
              <w:rPr>
                <w:rFonts w:cstheme="minorHAnsi"/>
              </w:rPr>
              <w:t>CAMPO.CUP.LDO.IT</w:t>
            </w:r>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901DB2">
            <w:pPr>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901DB2">
            <w:pPr>
              <w:rPr>
                <w:rFonts w:cstheme="minorHAnsi"/>
              </w:rPr>
            </w:pPr>
            <w:r>
              <w:rPr>
                <w:rFonts w:cstheme="minorHAnsi"/>
                <w:b/>
                <w:bCs/>
              </w:rPr>
              <w:t>Offerta:</w:t>
            </w:r>
            <w:r>
              <w:rPr>
                <w:rFonts w:cstheme="minorHAnsi"/>
              </w:rPr>
              <w:t xml:space="preserve"> CAMPO.OFFERTA.LDO</w:t>
            </w:r>
          </w:p>
          <w:p w14:paraId="052F2CD1" w14:textId="77777777" w:rsidR="008B3518" w:rsidRDefault="008B3518" w:rsidP="00901DB2">
            <w:pPr>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901DB2">
            <w:pPr>
              <w:tabs>
                <w:tab w:val="left" w:pos="4475"/>
              </w:tabs>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901DB2">
            <w:pPr>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901DB2">
            <w:pPr>
              <w:rPr>
                <w:b/>
                <w:bCs/>
              </w:rPr>
            </w:pPr>
            <w:r w:rsidRPr="00544CB5">
              <w:rPr>
                <w:b/>
                <w:bCs/>
              </w:rPr>
              <w:t>Imponibile</w:t>
            </w:r>
          </w:p>
        </w:tc>
        <w:tc>
          <w:tcPr>
            <w:tcW w:w="0" w:type="auto"/>
          </w:tcPr>
          <w:p w14:paraId="1ECAB063" w14:textId="77777777" w:rsidR="008B3518" w:rsidRPr="00544CB5" w:rsidRDefault="008B3518" w:rsidP="00901DB2">
            <w:pPr>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901DB2">
            <w:pPr>
              <w:rPr>
                <w:b/>
                <w:bCs/>
              </w:rPr>
            </w:pPr>
            <w:r>
              <w:rPr>
                <w:b/>
                <w:bCs/>
              </w:rPr>
              <w:t>CAMPO.ALIQUOTA</w:t>
            </w:r>
          </w:p>
        </w:tc>
        <w:tc>
          <w:tcPr>
            <w:tcW w:w="0" w:type="auto"/>
          </w:tcPr>
          <w:p w14:paraId="5968D12C" w14:textId="77777777" w:rsidR="008B3518" w:rsidRPr="00544CB5" w:rsidRDefault="008B3518" w:rsidP="00901DB2">
            <w:pPr>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901DB2">
            <w:pPr>
              <w:rPr>
                <w:b/>
                <w:bCs/>
              </w:rPr>
            </w:pPr>
            <w:r w:rsidRPr="00544CB5">
              <w:rPr>
                <w:b/>
                <w:bCs/>
              </w:rPr>
              <w:t>Importo</w:t>
            </w:r>
          </w:p>
        </w:tc>
        <w:tc>
          <w:tcPr>
            <w:tcW w:w="0" w:type="auto"/>
          </w:tcPr>
          <w:p w14:paraId="265FC652" w14:textId="77777777" w:rsidR="008B3518" w:rsidRPr="00544CB5" w:rsidRDefault="008B3518" w:rsidP="00901DB2">
            <w:pPr>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901DB2">
            <w:pPr>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901DB2">
            <w:pPr>
              <w:rPr>
                <w:rFonts w:cstheme="minorHAnsi"/>
              </w:rPr>
            </w:pPr>
            <w:r w:rsidRPr="006D4CD6">
              <w:rPr>
                <w:rFonts w:cstheme="minorHAnsi"/>
              </w:rPr>
              <w:t>Il C.N.R. applica I.V.A. in regime di SPLIT PAYMENT</w:t>
            </w:r>
          </w:p>
          <w:p w14:paraId="4E4BF2C8"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901DB2">
            <w:pPr>
              <w:rPr>
                <w:rFonts w:cstheme="minorHAnsi"/>
              </w:rPr>
            </w:pPr>
            <w:r w:rsidRPr="00A04996">
              <w:rPr>
                <w:rFonts w:cstheme="minorHAnsi"/>
                <w:b/>
                <w:bCs/>
              </w:rPr>
              <w:t>Dati per la fatturazione</w:t>
            </w:r>
            <w:r>
              <w:rPr>
                <w:rFonts w:cstheme="minorHAnsi"/>
              </w:rPr>
              <w:t>:</w:t>
            </w:r>
          </w:p>
          <w:p w14:paraId="3B5E58D9" w14:textId="77777777" w:rsidR="008B3518" w:rsidRDefault="008B3518" w:rsidP="00901DB2">
            <w:pPr>
              <w:rPr>
                <w:rFonts w:cstheme="minorHAnsi"/>
              </w:rPr>
            </w:pPr>
            <w:r>
              <w:rPr>
                <w:rFonts w:cstheme="minorHAnsi"/>
              </w:rPr>
              <w:t>CAMPO.FATTURAZIONE</w:t>
            </w:r>
          </w:p>
          <w:p w14:paraId="2D834C55"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901DB2">
            <w:pPr>
              <w:rPr>
                <w:rFonts w:cstheme="minorHAnsi"/>
                <w:b/>
                <w:bCs/>
              </w:rPr>
            </w:pPr>
            <w:r w:rsidRPr="006D4CD6">
              <w:rPr>
                <w:rFonts w:cstheme="minorHAnsi"/>
                <w:b/>
                <w:bCs/>
              </w:rPr>
              <w:t>Note:</w:t>
            </w:r>
          </w:p>
          <w:p w14:paraId="0E1510FB" w14:textId="77777777" w:rsidR="008B3518" w:rsidRPr="006D4CD6" w:rsidRDefault="008B3518" w:rsidP="00901DB2">
            <w:pPr>
              <w:rPr>
                <w:rFonts w:cstheme="minorHAnsi"/>
                <w:b/>
                <w:bCs/>
              </w:rPr>
            </w:pPr>
          </w:p>
        </w:tc>
      </w:tr>
    </w:tbl>
    <w:p w14:paraId="13C519FB" w14:textId="77777777" w:rsidR="00221E3A" w:rsidRDefault="00221E3A" w:rsidP="008B3518">
      <w:pPr>
        <w:rPr>
          <w:rFonts w:eastAsia="Gothic A1"/>
        </w:rPr>
      </w:pPr>
    </w:p>
    <w:p w14:paraId="01617128" w14:textId="238ED852" w:rsidR="008B3518" w:rsidRDefault="00221E3A" w:rsidP="00221E3A">
      <w:pPr>
        <w:jc w:val="both"/>
        <w:rPr>
          <w:rFonts w:eastAsia="Gothic A1"/>
        </w:rPr>
      </w:pPr>
      <w:r w:rsidRPr="00221E3A">
        <w:rPr>
          <w:rFonts w:eastAsia="Gothic A1"/>
        </w:rPr>
        <w:t xml:space="preserve">Il </w:t>
      </w:r>
      <w:r>
        <w:rPr>
          <w:rFonts w:eastAsia="Gothic A1"/>
        </w:rPr>
        <w:t>c</w:t>
      </w:r>
      <w:r w:rsidRPr="00221E3A">
        <w:rPr>
          <w:rFonts w:eastAsia="Gothic A1"/>
        </w:rPr>
        <w:t>ontraente</w:t>
      </w:r>
      <w:r>
        <w:rPr>
          <w:rFonts w:eastAsia="Gothic A1"/>
        </w:rPr>
        <w:t>,</w:t>
      </w:r>
      <w:r w:rsidRPr="00221E3A">
        <w:rPr>
          <w:rFonts w:eastAsia="Gothic A1"/>
        </w:rPr>
        <w:t xml:space="preserve"> a garanzia dell</w:t>
      </w:r>
      <w:r w:rsidR="00914966">
        <w:rPr>
          <w:rFonts w:eastAsia="Gothic A1"/>
        </w:rPr>
        <w:t>’</w:t>
      </w:r>
      <w:r w:rsidRPr="00221E3A">
        <w:rPr>
          <w:rFonts w:eastAsia="Gothic A1"/>
        </w:rPr>
        <w:t>adempimento di tutte le obbligazioni del presente atto</w:t>
      </w:r>
      <w:r>
        <w:rPr>
          <w:rFonts w:eastAsia="Gothic A1"/>
        </w:rPr>
        <w:t>,</w:t>
      </w:r>
      <w:r w:rsidRPr="00221E3A">
        <w:rPr>
          <w:rFonts w:eastAsia="Gothic A1"/>
        </w:rPr>
        <w:t xml:space="preserve"> ha costituito la garanzia definitiva </w:t>
      </w:r>
      <w:r>
        <w:rPr>
          <w:rFonts w:eastAsia="Gothic A1"/>
        </w:rPr>
        <w:t>____________________</w:t>
      </w:r>
      <w:r w:rsidRPr="00221E3A">
        <w:rPr>
          <w:rFonts w:eastAsia="Gothic A1"/>
        </w:rPr>
        <w:t xml:space="preserve"> di € </w:t>
      </w:r>
      <w:r>
        <w:rPr>
          <w:rFonts w:eastAsia="Gothic A1"/>
        </w:rPr>
        <w:t xml:space="preserve">__________ </w:t>
      </w:r>
      <w:r w:rsidRPr="00221E3A">
        <w:rPr>
          <w:rFonts w:eastAsia="Gothic A1"/>
        </w:rPr>
        <w:t xml:space="preserve">(euro </w:t>
      </w:r>
      <w:r>
        <w:rPr>
          <w:rFonts w:eastAsia="Gothic A1"/>
        </w:rPr>
        <w:t>__________</w:t>
      </w:r>
      <w:r w:rsidRPr="00221E3A">
        <w:rPr>
          <w:rFonts w:eastAsia="Gothic A1"/>
        </w:rPr>
        <w:t>), mediante cauzione/fideiussione agli atti</w:t>
      </w:r>
      <w:r>
        <w:rPr>
          <w:rFonts w:eastAsia="Gothic A1"/>
        </w:rPr>
        <w:t>.</w:t>
      </w:r>
    </w:p>
    <w:p w14:paraId="58B5F145"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jc w:val="both"/>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jc w:val="both"/>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jc w:val="both"/>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jc w:val="both"/>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jc w:val="both"/>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jc w:val="both"/>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jc w:val="both"/>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r w:rsidRPr="006421CE">
        <w:rPr>
          <w:rFonts w:eastAsia="Gothic A1"/>
        </w:rPr>
        <w:t>s.m.i.</w:t>
      </w:r>
      <w:proofErr w:type="spellEnd"/>
      <w:r w:rsidRPr="006421CE">
        <w:rPr>
          <w:rFonts w:eastAsia="Gothic A1"/>
        </w:rPr>
        <w:t>.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jc w:val="both"/>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jc w:val="both"/>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jc w:val="both"/>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jc w:val="both"/>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jc w:val="both"/>
        <w:rPr>
          <w:rFonts w:eastAsia="Gothic A1"/>
        </w:rPr>
      </w:pPr>
      <w:r w:rsidRPr="00B0639F">
        <w:rPr>
          <w:rFonts w:eastAsia="Gothic A1"/>
        </w:rPr>
        <w:t>CAMPO.VERIFICA.CONFORMITA</w:t>
      </w:r>
    </w:p>
    <w:p w14:paraId="491B969F" w14:textId="5D5C34DA" w:rsidR="006421CE" w:rsidRDefault="006421CE" w:rsidP="002021AC">
      <w:pPr>
        <w:pStyle w:val="Paragrafoelenco"/>
        <w:numPr>
          <w:ilvl w:val="0"/>
          <w:numId w:val="32"/>
        </w:numPr>
        <w:ind w:left="360" w:hanging="357"/>
        <w:jc w:val="both"/>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jc w:val="both"/>
        <w:rPr>
          <w:rFonts w:eastAsia="Gothic A1"/>
        </w:rPr>
      </w:pPr>
    </w:p>
    <w:p w14:paraId="5B2D67F0" w14:textId="0F3DCAE0" w:rsidR="006421CE" w:rsidRDefault="006421CE" w:rsidP="006421CE">
      <w:pPr>
        <w:jc w:val="both"/>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jc w:val="both"/>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jc w:val="both"/>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jc w:val="both"/>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jc w:val="both"/>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jc w:val="both"/>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jc w:val="both"/>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jc w:val="both"/>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jc w:val="both"/>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jc w:val="both"/>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jc w:val="both"/>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jc w:val="both"/>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jc w:val="both"/>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jc w:val="both"/>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jc w:val="both"/>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57FF" w14:textId="77777777" w:rsidR="00FF71F8" w:rsidRDefault="00FF71F8" w:rsidP="000151A3">
      <w:r>
        <w:separator/>
      </w:r>
    </w:p>
  </w:endnote>
  <w:endnote w:type="continuationSeparator" w:id="0">
    <w:p w14:paraId="6229D580" w14:textId="77777777" w:rsidR="00FF71F8" w:rsidRDefault="00FF71F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DC66A8C" w:rsidR="00295AAD" w:rsidRPr="004B58C8" w:rsidRDefault="006467AD" w:rsidP="005F6F7C">
          <w:pPr>
            <w:pStyle w:val="Piedipagina"/>
            <w:framePr w:hSpace="0" w:wrap="auto" w:vAnchor="margin" w:xAlign="left" w:yAlign="inline"/>
            <w:suppressOverlap w:val="0"/>
            <w:jc w:val="center"/>
            <w:rPr>
              <w:noProof/>
            </w:rPr>
          </w:pPr>
          <w:r w:rsidRPr="00E446E6">
            <w:rPr>
              <w:noProof/>
            </w:rPr>
            <w:drawing>
              <wp:inline distT="0" distB="0" distL="0" distR="0" wp14:anchorId="0FF223E6" wp14:editId="5719BC0F">
                <wp:extent cx="1080000" cy="635585"/>
                <wp:effectExtent l="0" t="0" r="6350" b="0"/>
                <wp:docPr id="20" name="Immagine 19">
                  <a:extLst xmlns:a="http://schemas.openxmlformats.org/drawingml/2006/main">
                    <a:ext uri="{FF2B5EF4-FFF2-40B4-BE49-F238E27FC236}">
                      <a16:creationId xmlns:a16="http://schemas.microsoft.com/office/drawing/2014/main" id="{D2690898-168E-6C74-1A1A-54F0D719C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a:extLst>
                            <a:ext uri="{FF2B5EF4-FFF2-40B4-BE49-F238E27FC236}">
                              <a16:creationId xmlns:a16="http://schemas.microsoft.com/office/drawing/2014/main" id="{D2690898-168E-6C74-1A1A-54F0D719C9DC}"/>
                            </a:ext>
                          </a:extLst>
                        </pic:cNvPr>
                        <pic:cNvPicPr>
                          <a:picLocks noChangeAspect="1"/>
                        </pic:cNvPicPr>
                      </pic:nvPicPr>
                      <pic:blipFill rotWithShape="1">
                        <a:blip r:embed="rId1"/>
                        <a:srcRect l="79008" r="357"/>
                        <a:stretch/>
                      </pic:blipFill>
                      <pic:spPr bwMode="auto">
                        <a:xfrm>
                          <a:off x="0" y="0"/>
                          <a:ext cx="1080000" cy="635585"/>
                        </a:xfrm>
                        <a:prstGeom prst="rect">
                          <a:avLst/>
                        </a:prstGeom>
                        <a:ln>
                          <a:noFill/>
                        </a:ln>
                        <a:extLst>
                          <a:ext uri="{53640926-AAD7-44D8-BBD7-CCE9431645EC}">
                            <a14:shadowObscured xmlns:a14="http://schemas.microsoft.com/office/drawing/2010/main"/>
                          </a:ext>
                        </a:extLst>
                      </pic:spPr>
                    </pic:pic>
                  </a:graphicData>
                </a:graphic>
              </wp:inline>
            </w:drawing>
          </w:r>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F71F8" w:rsidP="005F6F7C">
          <w:pPr>
            <w:pStyle w:val="Piedipagina"/>
            <w:framePr w:hSpace="0" w:wrap="auto" w:vAnchor="margin" w:xAlign="left" w:yAlign="inline"/>
            <w:suppressOverlap w:val="0"/>
            <w:jc w:val="center"/>
          </w:pPr>
          <w:hyperlink r:id="rId3" w:history="1">
            <w:r w:rsidR="00295AAD" w:rsidRPr="0083496C">
              <w:rPr>
                <w:rStyle w:val="Collegamentoipertestuale"/>
              </w:rPr>
              <w:t>segreteria@ipsp.cnr.it</w:t>
            </w:r>
          </w:hyperlink>
        </w:p>
        <w:p w14:paraId="3B376E5C" w14:textId="77777777" w:rsidR="00295AAD" w:rsidRDefault="00FF71F8" w:rsidP="005F6F7C">
          <w:pPr>
            <w:pStyle w:val="Piedipagina"/>
            <w:framePr w:hSpace="0" w:wrap="auto" w:vAnchor="margin" w:xAlign="left" w:yAlign="inline"/>
            <w:suppressOverlap w:val="0"/>
            <w:jc w:val="center"/>
          </w:pPr>
          <w:hyperlink r:id="rId4"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423A" w14:textId="77777777" w:rsidR="00FF71F8" w:rsidRDefault="00FF71F8" w:rsidP="000151A3">
      <w:r>
        <w:separator/>
      </w:r>
    </w:p>
  </w:footnote>
  <w:footnote w:type="continuationSeparator" w:id="0">
    <w:p w14:paraId="066127B7" w14:textId="77777777" w:rsidR="00FF71F8" w:rsidRDefault="00FF71F8"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F71F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2C4B20E" w14:textId="7898B228" w:rsidR="0020671C" w:rsidRPr="0020671C" w:rsidRDefault="00DD231F" w:rsidP="0020671C">
    <w:pPr>
      <w:widowControl w:val="0"/>
      <w:spacing w:before="60"/>
      <w:ind w:left="-567" w:right="-567"/>
      <w:jc w:val="both"/>
      <w:rPr>
        <w:rFonts w:asciiTheme="minorHAnsi" w:eastAsia="Calibri" w:hAnsiTheme="minorHAnsi" w:cstheme="minorHAnsi"/>
        <w:color w:val="808080" w:themeColor="background1" w:themeShade="80"/>
        <w:sz w:val="16"/>
        <w:szCs w:val="16"/>
      </w:rPr>
    </w:pPr>
    <w:bookmarkStart w:id="0" w:name="bookmark_headers"/>
    <w:r>
      <w:rPr>
        <w:rFonts w:asciiTheme="minorHAnsi" w:eastAsia="Calibri" w:hAnsiTheme="minorHAnsi" w:cstheme="minorHAnsi"/>
        <w:color w:val="808080" w:themeColor="background1" w:themeShade="80"/>
        <w:sz w:val="16"/>
        <w:szCs w:val="16"/>
      </w:rPr>
      <w:t>CAMPO.PROGETTO.INT</w:t>
    </w:r>
    <w:bookmarkEnd w:id="0"/>
  </w:p>
  <w:p w14:paraId="780C7815" w14:textId="03EEB1EA" w:rsidR="002F5096" w:rsidRDefault="002F5096" w:rsidP="002F5096">
    <w:pPr>
      <w:jc w:val="both"/>
      <w:rPr>
        <w:rFonts w:cstheme="minorHAnsi"/>
      </w:rPr>
    </w:pPr>
  </w:p>
  <w:p w14:paraId="772C0D82" w14:textId="77777777" w:rsidR="0020671C" w:rsidRDefault="0020671C"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3518"/>
    <w:rsid w:val="008B7A5E"/>
    <w:rsid w:val="008C0020"/>
    <w:rsid w:val="008E6BE8"/>
    <w:rsid w:val="008F2CD5"/>
    <w:rsid w:val="008F472C"/>
    <w:rsid w:val="008F4D54"/>
    <w:rsid w:val="008F64C1"/>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1F8"/>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47B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jc w:val="both"/>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jc w:val="both"/>
    </w:pPr>
    <w:rPr>
      <w:rFonts w:eastAsia="Gothic A1"/>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egreteria@ipsp.cnr.it" TargetMode="External"/><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hyperlink" Target="mailto:protocollo.ipsp@pec.cnr.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2840</Words>
  <Characters>16190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82</cp:revision>
  <cp:lastPrinted>2024-09-05T08:40:00Z</cp:lastPrinted>
  <dcterms:created xsi:type="dcterms:W3CDTF">2023-08-01T07:26:00Z</dcterms:created>
  <dcterms:modified xsi:type="dcterms:W3CDTF">2024-11-12T13:59:00Z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