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r w:rsidRPr="00DA541E">
        <w:t xml:space="preserve">CAMPO.DELLA.FORNITURA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significant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harm”)</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dal Consiglio di Amministrazione con deliberazione n° 371/2023 del 28/11/2023, Verb.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309"/>
        <w:gridCol w:w="4944"/>
        <w:gridCol w:w="2571"/>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6679CA90" w:rsidR="000A0787" w:rsidRPr="000140CB" w:rsidRDefault="00B87C53" w:rsidP="003846EF">
            <w:pPr>
              <w:spacing w:after="0"/>
              <w:ind w:right="106"/>
              <w:jc w:val="right"/>
              <w:rPr>
                <w:rFonts w:asciiTheme="minorHAnsi" w:eastAsia="Calibri" w:hAnsiTheme="minorHAnsi" w:cstheme="minorHAnsi"/>
                <w:szCs w:val="20"/>
                <w:lang w:val="it-IT"/>
              </w:rPr>
            </w:pPr>
            <w:r w:rsidRPr="00B87C53">
              <w:rPr>
                <w:rFonts w:asciiTheme="minorHAnsi" w:eastAsia="Calibri" w:hAnsiTheme="minorHAnsi" w:cstheme="minorHAnsi"/>
                <w:szCs w:val="20"/>
                <w:lang w:val="it-IT"/>
              </w:rPr>
              <w:t>CAMPO.IMPORTO.SENZA.IVA</w:t>
            </w:r>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0,00 €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0827B090" w:rsidR="000A0787" w:rsidRPr="000140CB" w:rsidRDefault="00E32BAA" w:rsidP="003846EF">
            <w:pPr>
              <w:spacing w:after="0"/>
              <w:ind w:right="106"/>
              <w:jc w:val="right"/>
              <w:rPr>
                <w:rFonts w:asciiTheme="minorHAnsi" w:eastAsia="Calibri" w:hAnsiTheme="minorHAnsi" w:cstheme="minorHAnsi"/>
                <w:b/>
                <w:w w:val="110"/>
                <w:szCs w:val="20"/>
                <w:lang w:val="it-IT"/>
              </w:rPr>
            </w:pPr>
            <w:r>
              <w:rPr>
                <w:rFonts w:asciiTheme="minorHAnsi" w:eastAsia="Calibri" w:hAnsiTheme="minorHAnsi" w:cstheme="minorHAnsi"/>
                <w:w w:val="110"/>
                <w:szCs w:val="20"/>
                <w:lang w:val="it-IT"/>
              </w:rPr>
              <w:t>CAMPO.IVA</w:t>
            </w:r>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74B98A73" w:rsidR="000A0787" w:rsidRPr="00D0530B" w:rsidRDefault="00E32BAA" w:rsidP="003846EF">
            <w:pPr>
              <w:spacing w:after="0"/>
              <w:ind w:right="106"/>
              <w:jc w:val="right"/>
              <w:rPr>
                <w:rFonts w:asciiTheme="minorHAnsi" w:eastAsia="Calibri" w:hAnsiTheme="minorHAnsi" w:cstheme="minorHAnsi"/>
                <w:b/>
                <w:w w:val="110"/>
                <w:szCs w:val="20"/>
                <w:lang w:val="it-IT"/>
              </w:rPr>
            </w:pPr>
            <w:r>
              <w:rPr>
                <w:rFonts w:asciiTheme="minorHAnsi" w:eastAsia="Calibri" w:hAnsiTheme="minorHAnsi" w:cstheme="minorHAnsi"/>
                <w:w w:val="110"/>
                <w:szCs w:val="20"/>
                <w:lang w:val="it-IT"/>
              </w:rPr>
              <w:t>CAMPO.IVA</w:t>
            </w:r>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13242DD7" w:rsidR="000A0787" w:rsidRPr="000140CB" w:rsidRDefault="00E32BAA" w:rsidP="003846EF">
            <w:pPr>
              <w:spacing w:after="0"/>
              <w:ind w:right="106"/>
              <w:jc w:val="right"/>
              <w:rPr>
                <w:rFonts w:asciiTheme="minorHAnsi" w:eastAsia="Calibri" w:hAnsiTheme="minorHAnsi" w:cstheme="minorHAnsi"/>
                <w:b/>
                <w:w w:val="110"/>
                <w:szCs w:val="20"/>
                <w:lang w:val="it-IT"/>
              </w:rPr>
            </w:pPr>
            <w:r>
              <w:rPr>
                <w:rFonts w:asciiTheme="minorHAnsi" w:eastAsia="Calibri" w:hAnsiTheme="minorHAnsi" w:cstheme="minorHAnsi"/>
                <w:w w:val="110"/>
                <w:szCs w:val="20"/>
                <w:lang w:val="it-IT"/>
              </w:rPr>
              <w:t>CAMPO.IMPORTO.</w:t>
            </w:r>
            <w:r>
              <w:rPr>
                <w:rFonts w:asciiTheme="minorHAnsi" w:eastAsia="Calibri" w:hAnsiTheme="minorHAnsi" w:cstheme="minorHAnsi"/>
                <w:w w:val="110"/>
                <w:szCs w:val="20"/>
                <w:lang w:val="it-IT"/>
              </w:rPr>
              <w:t>CON</w:t>
            </w:r>
            <w:r>
              <w:rPr>
                <w:rFonts w:asciiTheme="minorHAnsi" w:eastAsia="Calibri" w:hAnsiTheme="minorHAnsi" w:cstheme="minorHAnsi"/>
                <w:w w:val="110"/>
                <w:szCs w:val="20"/>
                <w:lang w:val="it-IT"/>
              </w:rPr>
              <w:t>.IVA</w:t>
            </w:r>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A82E0AE" w14:textId="77777777" w:rsidR="000A0787" w:rsidRPr="00A428B4"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IVA inclusa sui fondi del progetto</w:t>
      </w:r>
      <w:r>
        <w:rPr>
          <w:rFonts w:asciiTheme="minorHAnsi" w:eastAsia="Calibri" w:hAnsiTheme="minorHAnsi" w:cstheme="minorHAnsi"/>
          <w:szCs w:val="20"/>
        </w:rPr>
        <w:t xml:space="preserve">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eastAsia="Calibri" w:hAnsiTheme="minorHAnsi" w:cstheme="minorHAnsi"/>
          <w:bCs/>
          <w:szCs w:val="20"/>
        </w:rPr>
        <w:t>, v</w:t>
      </w:r>
      <w:r w:rsidRPr="00A428B4">
        <w:rPr>
          <w:rFonts w:asciiTheme="minorHAnsi" w:eastAsia="Calibri" w:hAnsiTheme="minorHAnsi" w:cstheme="minorHAnsi"/>
          <w:szCs w:val="20"/>
        </w:rPr>
        <w:t>oce del piano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w:t>
      </w:r>
    </w:p>
    <w:p w14:paraId="79F22A21" w14:textId="77777777" w:rsidR="000A0787"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per affidamenti d’importo superiore a 40.000 euro</w:t>
      </w:r>
      <w:r w:rsidRPr="00A428B4">
        <w:rPr>
          <w:rFonts w:asciiTheme="minorHAnsi" w:eastAsia="Calibri" w:hAnsiTheme="minorHAnsi" w:cstheme="minorHAnsi"/>
          <w:i/>
          <w:iCs/>
          <w:szCs w:val="20"/>
        </w:rPr>
        <w:t>)</w:t>
      </w:r>
      <w:r w:rsidRPr="00A428B4">
        <w:rPr>
          <w:rFonts w:asciiTheme="minorHAnsi" w:eastAsia="Calibri" w:hAnsiTheme="minorHAnsi" w:cstheme="minorHAnsi"/>
          <w:szCs w:val="20"/>
        </w:rPr>
        <w:t xml:space="preserve"> € 35,00</w:t>
      </w:r>
      <w:r>
        <w:rPr>
          <w:rFonts w:asciiTheme="minorHAnsi" w:eastAsia="Calibri" w:hAnsiTheme="minorHAnsi" w:cstheme="minorHAnsi"/>
          <w:szCs w:val="20"/>
        </w:rPr>
        <w:t>,</w:t>
      </w:r>
      <w:r w:rsidRPr="00A428B4">
        <w:rPr>
          <w:rFonts w:asciiTheme="minorHAnsi" w:eastAsia="Calibri" w:hAnsiTheme="minorHAnsi" w:cstheme="minorHAnsi"/>
          <w:szCs w:val="20"/>
        </w:rPr>
        <w:t xml:space="preserve"> Voce del piano 13096 “Pubblicazione bandi di gara”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per la quota stazione appaltante della contribuzione ANAC;</w:t>
      </w:r>
    </w:p>
    <w:p w14:paraId="5A4739A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972B55">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eventuale, solo nel caso di servizi diversi da quelli di natura intellettuale e di forniture con posa in opera</w:t>
      </w:r>
      <w:r w:rsidRPr="00972B55">
        <w:rPr>
          <w:rFonts w:asciiTheme="minorHAnsi" w:eastAsia="Calibri" w:hAnsiTheme="minorHAnsi" w:cstheme="minorHAnsi"/>
          <w:szCs w:val="20"/>
        </w:rPr>
        <w:t>)</w:t>
      </w:r>
      <w:r w:rsidRPr="00972B55">
        <w:rPr>
          <w:rFonts w:asciiTheme="minorHAnsi" w:eastAsia="Calibri" w:hAnsiTheme="minorHAnsi" w:cstheme="minorHAnsi"/>
          <w:b/>
          <w:bCs/>
          <w:szCs w:val="20"/>
        </w:rPr>
        <w:t xml:space="preserve"> </w:t>
      </w:r>
      <w:r>
        <w:rPr>
          <w:rFonts w:asciiTheme="minorHAnsi" w:eastAsia="Calibri" w:hAnsiTheme="minorHAnsi" w:cstheme="minorHAnsi"/>
          <w:b/>
          <w:bCs/>
          <w:szCs w:val="20"/>
        </w:rPr>
        <w:t xml:space="preserve">DI DARE </w:t>
      </w:r>
      <w:r w:rsidRPr="00972B55">
        <w:rPr>
          <w:rFonts w:asciiTheme="minorHAnsi" w:eastAsia="Calibri" w:hAnsiTheme="minorHAnsi" w:cstheme="minorHAnsi"/>
          <w:b/>
          <w:bCs/>
          <w:szCs w:val="20"/>
        </w:rPr>
        <w:t>ATTO che:</w:t>
      </w:r>
    </w:p>
    <w:p w14:paraId="797BE407"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ai sensi dell’art.11 del D.Lgs.</w:t>
      </w:r>
      <w:r>
        <w:rPr>
          <w:rFonts w:asciiTheme="minorHAnsi" w:eastAsia="Calibri" w:hAnsiTheme="minorHAnsi" w:cstheme="minorHAnsi"/>
          <w:szCs w:val="20"/>
        </w:rPr>
        <w:t xml:space="preserve"> </w:t>
      </w:r>
      <w:r w:rsidRPr="00972B55">
        <w:rPr>
          <w:rFonts w:asciiTheme="minorHAnsi" w:eastAsia="Calibri" w:hAnsiTheme="minorHAnsi" w:cstheme="minorHAnsi"/>
          <w:szCs w:val="20"/>
        </w:rPr>
        <w:t xml:space="preserve">36/2023, ai dipendenti dell’O.E. affidatario dovrà essere applicato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ovvero un diverso CCNL avente le medesime tutele;</w:t>
      </w:r>
    </w:p>
    <w:p w14:paraId="20E7E65E"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 xml:space="preserve">i costi della manodopera indicati nel quadro economico sopra riportato sono stati calcolati sulla base delle tariffe orarie previste per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w:t>
      </w:r>
    </w:p>
    <w:p w14:paraId="7B7D6781" w14:textId="77777777" w:rsidR="000A0787" w:rsidRPr="00FF2006"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FF2006">
        <w:rPr>
          <w:rFonts w:asciiTheme="minorHAnsi" w:eastAsia="Calibri" w:hAnsiTheme="minorHAnsi" w:cstheme="minorHAnsi"/>
          <w:i/>
          <w:iCs/>
          <w:szCs w:val="20"/>
        </w:rPr>
        <w:t>(eventuale)</w:t>
      </w:r>
      <w:r w:rsidRPr="00FF2006">
        <w:rPr>
          <w:rFonts w:asciiTheme="minorHAnsi" w:eastAsia="Calibri" w:hAnsiTheme="minorHAnsi" w:cstheme="minorHAnsi"/>
          <w:b/>
          <w:bCs/>
          <w:szCs w:val="20"/>
        </w:rPr>
        <w:t xml:space="preserve"> </w:t>
      </w:r>
      <w:r>
        <w:rPr>
          <w:rFonts w:asciiTheme="minorHAnsi" w:eastAsia="Calibri" w:hAnsiTheme="minorHAnsi" w:cstheme="minorHAnsi"/>
          <w:b/>
          <w:bCs/>
          <w:szCs w:val="20"/>
        </w:rPr>
        <w:t>DI</w:t>
      </w:r>
      <w:r w:rsidRPr="00FF2006">
        <w:rPr>
          <w:rFonts w:asciiTheme="minorHAnsi" w:eastAsia="Calibri" w:hAnsiTheme="minorHAnsi" w:cstheme="minorHAnsi"/>
          <w:b/>
          <w:bCs/>
          <w:szCs w:val="20"/>
        </w:rPr>
        <w:t xml:space="preserve"> DEROGARE </w:t>
      </w:r>
      <w:r w:rsidRPr="00FF2006">
        <w:rPr>
          <w:rFonts w:asciiTheme="minorHAnsi" w:eastAsia="Calibri" w:hAnsiTheme="minorHAnsi" w:cstheme="minorHAnsi"/>
          <w:szCs w:val="20"/>
        </w:rPr>
        <w:t>alla quota del 30% delle assunzioni necessarie di occupazione femminile e giovanile di cui all’art.</w:t>
      </w:r>
      <w:r>
        <w:rPr>
          <w:rFonts w:asciiTheme="minorHAnsi" w:eastAsia="Calibri" w:hAnsiTheme="minorHAnsi" w:cstheme="minorHAnsi"/>
          <w:szCs w:val="20"/>
        </w:rPr>
        <w:t xml:space="preserve"> </w:t>
      </w:r>
      <w:r w:rsidRPr="00FF2006">
        <w:rPr>
          <w:rFonts w:asciiTheme="minorHAnsi" w:eastAsia="Calibri" w:hAnsiTheme="minorHAnsi" w:cstheme="minorHAnsi"/>
          <w:szCs w:val="20"/>
        </w:rPr>
        <w:t>47 del decreto 77/2021 in quanto</w:t>
      </w:r>
      <w:r w:rsidRPr="00FF2006">
        <w:rPr>
          <w:rFonts w:asciiTheme="minorHAnsi" w:eastAsia="Calibri" w:hAnsiTheme="minorHAnsi" w:cstheme="minorHAnsi"/>
          <w:b/>
          <w:bCs/>
          <w:szCs w:val="20"/>
        </w:rPr>
        <w:t xml:space="preserve"> </w:t>
      </w:r>
      <w:r w:rsidRPr="00FF2006">
        <w:rPr>
          <w:rFonts w:asciiTheme="minorHAnsi" w:eastAsia="Calibri" w:hAnsiTheme="minorHAnsi" w:cstheme="minorHAnsi"/>
          <w:szCs w:val="20"/>
          <w:highlight w:val="yellow"/>
        </w:rPr>
        <w:t>[completare indicando le motivazioni dell’eventuale deroga];</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richiesta d’acquisto prot. n.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xml:space="preserve"> del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sulla piattaforma telematica di negoziazione da parte dell’O.E. invitato a presentare offerta;</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77777777" w:rsidR="000A0787" w:rsidRPr="00CC177A"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CC177A">
        <w:rPr>
          <w:rFonts w:asciiTheme="minorHAnsi" w:eastAsia="Calibri" w:hAnsiTheme="minorHAnsi" w:cstheme="minorHAnsi"/>
          <w:b/>
          <w:bCs/>
          <w:szCs w:val="20"/>
        </w:rPr>
        <w:t xml:space="preserve">LA TRASMISSIONE </w:t>
      </w:r>
      <w:r w:rsidRPr="00CC177A">
        <w:rPr>
          <w:rFonts w:asciiTheme="minorHAnsi" w:eastAsia="Calibri" w:hAnsiTheme="minorHAnsi" w:cstheme="minorHAnsi"/>
          <w:szCs w:val="20"/>
        </w:rPr>
        <w:t>del presente atto ai dipendenti indicati ai precedenti punti da valere ai fini della notifica e accettazione.</w:t>
      </w:r>
    </w:p>
    <w:p w14:paraId="7DA96654" w14:textId="77777777" w:rsidR="000A0787" w:rsidRPr="00CC177A" w:rsidRDefault="000A0787" w:rsidP="000A0787">
      <w:pPr>
        <w:widowControl w:val="0"/>
        <w:spacing w:before="60"/>
        <w:ind w:right="-45"/>
        <w:rPr>
          <w:rFonts w:asciiTheme="minorHAnsi" w:eastAsia="Calibri" w:hAnsiTheme="minorHAnsi" w:cstheme="minorHAnsi"/>
          <w:b/>
          <w:bCs/>
          <w:szCs w:val="20"/>
        </w:rPr>
      </w:pPr>
    </w:p>
    <w:p w14:paraId="37D9A4CC" w14:textId="77777777" w:rsidR="000A0787" w:rsidRPr="000A0787" w:rsidRDefault="000A0787" w:rsidP="000A0787"/>
    <w:sectPr w:rsidR="000A0787" w:rsidRPr="000A0787"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3106C" w14:textId="77777777" w:rsidR="008A1900" w:rsidRDefault="008A1900" w:rsidP="00D74435">
      <w:r>
        <w:separator/>
      </w:r>
    </w:p>
  </w:endnote>
  <w:endnote w:type="continuationSeparator" w:id="0">
    <w:p w14:paraId="0BDDB9A1" w14:textId="77777777" w:rsidR="008A1900" w:rsidRDefault="008A1900"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8A19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8A19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E1AE2" w14:textId="77777777" w:rsidR="008A1900" w:rsidRDefault="008A1900" w:rsidP="00D74435">
      <w:r>
        <w:separator/>
      </w:r>
    </w:p>
  </w:footnote>
  <w:footnote w:type="continuationSeparator" w:id="0">
    <w:p w14:paraId="3A6FC18B" w14:textId="77777777" w:rsidR="008A1900" w:rsidRDefault="008A1900"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8A19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6FE9"/>
    <w:rsid w:val="00237061"/>
    <w:rsid w:val="00243C20"/>
    <w:rsid w:val="0026109E"/>
    <w:rsid w:val="002628DF"/>
    <w:rsid w:val="00262D01"/>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14FA"/>
    <w:rsid w:val="003630F4"/>
    <w:rsid w:val="00371B5D"/>
    <w:rsid w:val="00371C46"/>
    <w:rsid w:val="00373EDB"/>
    <w:rsid w:val="00375CB8"/>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40DC0"/>
    <w:rsid w:val="00551F6D"/>
    <w:rsid w:val="00561AAC"/>
    <w:rsid w:val="00563F00"/>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A1900"/>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32BAA"/>
    <w:rsid w:val="00E54E3A"/>
    <w:rsid w:val="00E578CD"/>
    <w:rsid w:val="00E62AE1"/>
    <w:rsid w:val="00E73B35"/>
    <w:rsid w:val="00E8105E"/>
    <w:rsid w:val="00E81DED"/>
    <w:rsid w:val="00E83B30"/>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4</Pages>
  <Words>1744</Words>
  <Characters>9945</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96</cp:revision>
  <cp:lastPrinted>2024-09-05T08:40:00Z</cp:lastPrinted>
  <dcterms:created xsi:type="dcterms:W3CDTF">2023-08-01T07:26:00Z</dcterms:created>
  <dcterms:modified xsi:type="dcterms:W3CDTF">2024-11-11T13:45:00Z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