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77CB" w14:textId="77777777" w:rsidR="007A354B" w:rsidRPr="00F31E44" w:rsidRDefault="007A354B" w:rsidP="007A354B">
      <w:pPr>
        <w:spacing w:before="360" w:after="0"/>
        <w:jc w:val="center"/>
        <w:rPr>
          <w:rStyle w:val="Hyperlink0"/>
          <w:rFonts w:cstheme="minorHAnsi"/>
          <w:b/>
          <w:bCs/>
          <w:sz w:val="24"/>
        </w:rPr>
      </w:pPr>
      <w:r w:rsidRPr="00F31E44">
        <w:rPr>
          <w:rStyle w:val="Hyperlink0"/>
          <w:rFonts w:cstheme="minorHAnsi"/>
          <w:b/>
          <w:bCs/>
          <w:sz w:val="24"/>
        </w:rPr>
        <w:t>Informativa al trattamento dei dati personali</w:t>
      </w:r>
    </w:p>
    <w:p w14:paraId="7A3D5307" w14:textId="77777777" w:rsidR="007A354B" w:rsidRPr="00F31E44" w:rsidRDefault="007A354B" w:rsidP="007A354B">
      <w:pPr>
        <w:spacing w:after="360"/>
        <w:jc w:val="center"/>
        <w:rPr>
          <w:rStyle w:val="Nessuno"/>
          <w:rFonts w:cstheme="minorHAnsi"/>
          <w:b/>
          <w:bCs/>
          <w:sz w:val="24"/>
        </w:rPr>
      </w:pPr>
      <w:r w:rsidRPr="00F31E44">
        <w:rPr>
          <w:rStyle w:val="Hyperlink0"/>
          <w:rFonts w:cstheme="minorHAnsi"/>
          <w:b/>
          <w:bCs/>
          <w:sz w:val="24"/>
        </w:rPr>
        <w:t xml:space="preserve">per i fornitori di lavori/beni/servizi nell’ambito dell’affidamento diretto/ </w:t>
      </w:r>
      <w:r w:rsidRPr="00F31E44">
        <w:rPr>
          <w:rFonts w:cstheme="minorHAnsi"/>
          <w:b/>
          <w:bCs/>
          <w:i/>
          <w:iCs/>
          <w:sz w:val="24"/>
        </w:rPr>
        <w:t>ex art. 13 del Regolamento UE 2016/679</w:t>
      </w:r>
    </w:p>
    <w:p w14:paraId="1DA71ACC" w14:textId="0142B904" w:rsidR="007A354B" w:rsidRPr="00F31E44" w:rsidRDefault="007A354B" w:rsidP="005D1915">
      <w:pPr>
        <w:rPr>
          <w:rStyle w:val="Hyperlink1"/>
          <w:rFonts w:ascii="Source Sans Pro" w:hAnsi="Source Sans Pro" w:cstheme="minorHAnsi"/>
          <w:b/>
          <w:bCs/>
          <w:sz w:val="20"/>
          <w:szCs w:val="20"/>
        </w:rPr>
      </w:pPr>
      <w:r w:rsidRPr="00F31E44">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F31E44">
        <w:rPr>
          <w:rStyle w:val="Hyperlink1"/>
          <w:rFonts w:ascii="Source Sans Pro" w:hAnsi="Source Sans Pro" w:cstheme="minorHAnsi"/>
          <w:b/>
          <w:bCs/>
          <w:sz w:val="20"/>
          <w:szCs w:val="20"/>
        </w:rPr>
        <w:t>___</w:t>
      </w:r>
      <w:bookmarkEnd w:id="0"/>
      <w:r w:rsidRPr="00F31E44">
        <w:rPr>
          <w:rStyle w:val="Hyperlink1"/>
          <w:rFonts w:ascii="Source Sans Pro" w:hAnsi="Source Sans Pro" w:cstheme="minorHAnsi"/>
          <w:sz w:val="20"/>
          <w:szCs w:val="20"/>
        </w:rPr>
        <w:t>”,</w:t>
      </w:r>
      <w:r w:rsidRPr="00F31E44">
        <w:rPr>
          <w:rStyle w:val="Hyperlink1"/>
          <w:rFonts w:ascii="Source Sans Pro" w:hAnsi="Source Sans Pro" w:cstheme="minorHAnsi"/>
          <w:b/>
          <w:bCs/>
          <w:i/>
          <w:iCs/>
          <w:sz w:val="20"/>
          <w:szCs w:val="20"/>
        </w:rPr>
        <w:t xml:space="preserve"> </w:t>
      </w:r>
      <w:r w:rsidRPr="00F31E44">
        <w:rPr>
          <w:rStyle w:val="Hyperlink1"/>
          <w:rFonts w:ascii="Source Sans Pro" w:hAnsi="Source Sans Pro" w:cstheme="minorHAnsi"/>
          <w:sz w:val="20"/>
          <w:szCs w:val="20"/>
        </w:rPr>
        <w:t xml:space="preserve">ai sensi dell’articolo 13 del Regolamento UE 2016/679 in materia di protezione dei dati </w:t>
      </w:r>
      <w:r w:rsidR="00F31E44" w:rsidRPr="00F31E44">
        <w:rPr>
          <w:rStyle w:val="Hyperlink1"/>
          <w:rFonts w:ascii="Source Sans Pro" w:hAnsi="Source Sans Pro" w:cstheme="minorHAnsi"/>
          <w:sz w:val="20"/>
          <w:szCs w:val="20"/>
        </w:rPr>
        <w:t>personali (di seguito il “Regolamento”).</w:t>
      </w:r>
    </w:p>
    <w:p w14:paraId="2EBBC346" w14:textId="77777777" w:rsidR="007A354B" w:rsidRPr="00F31E44" w:rsidRDefault="007A354B" w:rsidP="005D1915">
      <w:pPr>
        <w:pStyle w:val="Titolo1"/>
        <w:rPr>
          <w:rStyle w:val="Nessuno"/>
          <w:rFonts w:eastAsia="Calibri Light"/>
        </w:rPr>
      </w:pPr>
      <w:r w:rsidRPr="00F31E44">
        <w:rPr>
          <w:rStyle w:val="Hyperlink1"/>
          <w:rFonts w:ascii="Source Sans Pro" w:hAnsi="Source Sans Pro" w:cstheme="minorHAnsi"/>
          <w:sz w:val="20"/>
          <w:szCs w:val="20"/>
        </w:rPr>
        <w:t>TITOLARE DEL TRATTAMENTO</w:t>
      </w:r>
    </w:p>
    <w:p w14:paraId="0957A935" w14:textId="00061C2E" w:rsidR="00F31E44" w:rsidRPr="00F31E44" w:rsidRDefault="00F31E44" w:rsidP="00F31E44">
      <w:pPr>
        <w:rPr>
          <w:rStyle w:val="Hyperlink1"/>
          <w:rFonts w:ascii="Source Sans Pro" w:hAnsi="Source Sans Pro"/>
          <w:b/>
          <w:bCs/>
          <w:sz w:val="20"/>
          <w:szCs w:val="20"/>
        </w:rPr>
      </w:pPr>
      <w:r w:rsidRPr="00F31E44">
        <w:rPr>
          <w:rStyle w:val="Hyperlink1"/>
          <w:rFonts w:ascii="Source Sans Pro" w:hAnsi="Source Sans Pro" w:cstheme="minorHAnsi"/>
          <w:sz w:val="20"/>
          <w:szCs w:val="20"/>
        </w:rPr>
        <w:t xml:space="preserve">Il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direttore dell’Istituto per la Protezione Sostenibile delle Piante (IPSP), dott. Francesco Di Serio. Punto di contatto del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direttore dell’IPSP, strada delle Cacce, 73 - 10135 Torino, e-mail </w:t>
      </w:r>
      <w:hyperlink r:id="rId8" w:history="1">
        <w:r w:rsidRPr="0028052A">
          <w:rPr>
            <w:rStyle w:val="Collegamentoipertestuale"/>
            <w:rFonts w:eastAsia="Calibri Light" w:cstheme="minorHAnsi"/>
            <w:szCs w:val="20"/>
          </w:rPr>
          <w:t>protocollo.ipsp@pec.cnr.it</w:t>
        </w:r>
      </w:hyperlink>
      <w:r w:rsidRPr="00F31E44">
        <w:rPr>
          <w:rStyle w:val="Hyperlink1"/>
          <w:rFonts w:ascii="Source Sans Pro" w:hAnsi="Source Sans Pro" w:cstheme="minorHAnsi"/>
          <w:sz w:val="20"/>
          <w:szCs w:val="20"/>
        </w:rPr>
        <w:t>, telefono +39 011</w:t>
      </w:r>
      <w:r>
        <w:rPr>
          <w:rStyle w:val="Hyperlink1"/>
          <w:rFonts w:ascii="Source Sans Pro" w:hAnsi="Source Sans Pro" w:cstheme="minorHAnsi"/>
          <w:sz w:val="20"/>
          <w:szCs w:val="20"/>
        </w:rPr>
        <w:t>-</w:t>
      </w:r>
      <w:r w:rsidRPr="00F31E44">
        <w:rPr>
          <w:rStyle w:val="Hyperlink1"/>
          <w:rFonts w:ascii="Source Sans Pro" w:hAnsi="Source Sans Pro" w:cstheme="minorHAnsi"/>
          <w:sz w:val="20"/>
          <w:szCs w:val="20"/>
        </w:rPr>
        <w:t>3977910.</w:t>
      </w:r>
    </w:p>
    <w:p w14:paraId="3793F697" w14:textId="38CF7210"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RESPONSABILE DELLA PROTEZIONE DEI DATI (c.d. RPD o DPO, </w:t>
      </w:r>
      <w:r w:rsidRPr="00F31E44">
        <w:rPr>
          <w:rStyle w:val="Hyperlink1"/>
          <w:rFonts w:ascii="Source Sans Pro" w:hAnsi="Source Sans Pro"/>
          <w:i/>
          <w:iCs/>
          <w:sz w:val="20"/>
          <w:szCs w:val="20"/>
        </w:rPr>
        <w:t xml:space="preserve">Data </w:t>
      </w:r>
      <w:proofErr w:type="spellStart"/>
      <w:r w:rsidRPr="00F31E44">
        <w:rPr>
          <w:rStyle w:val="Hyperlink1"/>
          <w:rFonts w:ascii="Source Sans Pro" w:hAnsi="Source Sans Pro"/>
          <w:i/>
          <w:iCs/>
          <w:sz w:val="20"/>
          <w:szCs w:val="20"/>
        </w:rPr>
        <w:t>Protection</w:t>
      </w:r>
      <w:proofErr w:type="spellEnd"/>
      <w:r w:rsidRPr="00F31E44">
        <w:rPr>
          <w:rStyle w:val="Hyperlink1"/>
          <w:rFonts w:ascii="Source Sans Pro" w:hAnsi="Source Sans Pro"/>
          <w:i/>
          <w:iCs/>
          <w:sz w:val="20"/>
          <w:szCs w:val="20"/>
        </w:rPr>
        <w:t xml:space="preserve"> </w:t>
      </w:r>
      <w:proofErr w:type="spellStart"/>
      <w:r w:rsidRPr="00F31E44">
        <w:rPr>
          <w:rStyle w:val="Hyperlink1"/>
          <w:rFonts w:ascii="Source Sans Pro" w:hAnsi="Source Sans Pro"/>
          <w:i/>
          <w:iCs/>
          <w:sz w:val="20"/>
          <w:szCs w:val="20"/>
        </w:rPr>
        <w:t>Officer</w:t>
      </w:r>
      <w:proofErr w:type="spellEnd"/>
      <w:r w:rsidRPr="00F31E44">
        <w:rPr>
          <w:rStyle w:val="Hyperlink1"/>
          <w:rFonts w:ascii="Source Sans Pro" w:hAnsi="Source Sans Pro"/>
          <w:sz w:val="20"/>
          <w:szCs w:val="20"/>
        </w:rPr>
        <w:t>)</w:t>
      </w:r>
    </w:p>
    <w:p w14:paraId="4267E13D" w14:textId="10D815EE"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Il Responsabile della Protezione dei Dati personali del CNR, nominato ai sensi dell’art. 37 del </w:t>
      </w:r>
      <w:r w:rsidR="00F31E44" w:rsidRPr="00F31E44">
        <w:rPr>
          <w:rStyle w:val="Hyperlink1"/>
          <w:rFonts w:ascii="Source Sans Pro" w:hAnsi="Source Sans Pro" w:cstheme="minorHAnsi"/>
          <w:sz w:val="20"/>
          <w:szCs w:val="20"/>
        </w:rPr>
        <w:t>Regolamento</w:t>
      </w:r>
      <w:r w:rsidRPr="00F31E44">
        <w:rPr>
          <w:rStyle w:val="Hyperlink1"/>
          <w:rFonts w:ascii="Source Sans Pro" w:hAnsi="Source Sans Pro" w:cstheme="minorHAnsi"/>
          <w:sz w:val="20"/>
          <w:szCs w:val="20"/>
        </w:rPr>
        <w:t xml:space="preserve">, è contattabile ai seguenti indirizzi e-mail: </w:t>
      </w:r>
      <w:hyperlink r:id="rId9" w:history="1">
        <w:r w:rsidRPr="00F31E44">
          <w:rPr>
            <w:rStyle w:val="Collegamentoipertestuale"/>
            <w:rFonts w:eastAsia="Calibri Light" w:cstheme="minorHAnsi"/>
            <w:szCs w:val="20"/>
          </w:rPr>
          <w:t>rpd@cnr.it</w:t>
        </w:r>
      </w:hyperlink>
      <w:r w:rsidRPr="00F31E44">
        <w:rPr>
          <w:rStyle w:val="Hyperlink1"/>
          <w:rFonts w:ascii="Source Sans Pro" w:hAnsi="Source Sans Pro" w:cstheme="minorHAnsi"/>
          <w:sz w:val="20"/>
          <w:szCs w:val="20"/>
        </w:rPr>
        <w:t xml:space="preserve"> e </w:t>
      </w:r>
      <w:hyperlink r:id="rId10" w:history="1">
        <w:r w:rsidRPr="00F31E44">
          <w:rPr>
            <w:rStyle w:val="Collegamentoipertestuale"/>
            <w:rFonts w:eastAsia="Calibri Light" w:cstheme="minorHAnsi"/>
            <w:szCs w:val="20"/>
          </w:rPr>
          <w:t>rpd@pec.cnr.it</w:t>
        </w:r>
      </w:hyperlink>
      <w:r w:rsidRPr="00F31E44">
        <w:rPr>
          <w:rFonts w:eastAsia="Calibri Light"/>
          <w:szCs w:val="20"/>
        </w:rPr>
        <w:t>.</w:t>
      </w:r>
    </w:p>
    <w:p w14:paraId="2638A798" w14:textId="77777777" w:rsidR="007A354B" w:rsidRPr="00F31E44" w:rsidRDefault="007A354B" w:rsidP="005D1915">
      <w:pPr>
        <w:pStyle w:val="Titolo1"/>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FINALITÀ E BASE GIURIDICA DEL TRATTAMENTO</w:t>
      </w:r>
    </w:p>
    <w:p w14:paraId="6682422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F31E44">
        <w:rPr>
          <w:rStyle w:val="Hyperlink2"/>
          <w:rFonts w:ascii="Source Sans Pro" w:hAnsi="Source Sans Pro" w:cstheme="minorHAnsi"/>
          <w:szCs w:val="20"/>
        </w:rPr>
        <w:tab/>
      </w:r>
    </w:p>
    <w:p w14:paraId="2E313E32"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previsti dalla normativa comunitaria;</w:t>
      </w:r>
    </w:p>
    <w:p w14:paraId="322BBE16"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inerenti </w:t>
      </w:r>
      <w:proofErr w:type="gramStart"/>
      <w:r w:rsidRPr="00F31E44">
        <w:rPr>
          <w:rStyle w:val="Hyperlink2"/>
          <w:rFonts w:ascii="Source Sans Pro" w:hAnsi="Source Sans Pro" w:cstheme="minorHAnsi"/>
          <w:szCs w:val="20"/>
        </w:rPr>
        <w:t>la</w:t>
      </w:r>
      <w:proofErr w:type="gramEnd"/>
      <w:r w:rsidRPr="00F31E44">
        <w:rPr>
          <w:rStyle w:val="Hyperlink2"/>
          <w:rFonts w:ascii="Source Sans Pro" w:hAnsi="Source Sans Pro" w:cstheme="minorHAnsi"/>
          <w:szCs w:val="20"/>
        </w:rPr>
        <w:t xml:space="preserve"> verifica della sussistenza dei requisiti generali e speciali se richiesti rispetto alla tipologia di affidamento da effettuare;</w:t>
      </w:r>
    </w:p>
    <w:p w14:paraId="53281521"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contrattuali, derivanti da rapporti con altri enti pubblici e privati;</w:t>
      </w:r>
    </w:p>
    <w:p w14:paraId="43BF633D"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204EE33E"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0D709153"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di disposizioni impartite da autorità, a ciò legittimate da organi di vigilanza e di controllo.</w:t>
      </w:r>
    </w:p>
    <w:p w14:paraId="3283E1C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11071CD5"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Legge n. 190 del 6/11/2012 recante disposizioni per la prevenzione e la repressione della corruzione e dell'illegalità nella pubblica amministrazione;</w:t>
      </w:r>
    </w:p>
    <w:p w14:paraId="58E9C562"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Piano Nazionale Anticorruzione 2022 e successivi aggiornamenti approvati dall’ANAC;</w:t>
      </w:r>
    </w:p>
    <w:p w14:paraId="1B462EAC"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36 del 31/3/2023, recante il Codice dei contratti pubblici;</w:t>
      </w:r>
    </w:p>
    <w:p w14:paraId="6E794FCD"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209 del 31/12/2024, recante disposizioni integrative e correttive del codice dei contratti pubblici;</w:t>
      </w:r>
    </w:p>
    <w:p w14:paraId="3EF76B13"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Atti e regolamenti emanati dall’Ente CNR.</w:t>
      </w:r>
    </w:p>
    <w:p w14:paraId="2BBC42B7" w14:textId="77777777" w:rsidR="00F31E44" w:rsidRPr="00F31E44" w:rsidRDefault="00F31E44" w:rsidP="00F31E44">
      <w:pPr>
        <w:rPr>
          <w:rFonts w:eastAsia="Calibri Light" w:cs="Calibri Light"/>
          <w:b/>
          <w:bCs/>
        </w:rPr>
      </w:pPr>
      <w:r w:rsidRPr="00F31E44">
        <w:rPr>
          <w:rFonts w:eastAsia="Calibri"/>
        </w:rPr>
        <w:t>I dati personali conferiti hanno natura obbligatoria per il conseguimento delle finalità di cui sopra; il loro mancato, parziale, o inesatto conferimento comporta l’impossibilità di partecipare o di dare corso all’affidamento.</w:t>
      </w:r>
    </w:p>
    <w:p w14:paraId="78A69407" w14:textId="7E4EAFD4"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DESTINATARI DEI DATI</w:t>
      </w:r>
      <w:r w:rsidRPr="00F31E44">
        <w:rPr>
          <w:rStyle w:val="Hyperlink1"/>
          <w:rFonts w:ascii="Source Sans Pro" w:hAnsi="Source Sans Pro"/>
          <w:sz w:val="20"/>
          <w:szCs w:val="20"/>
        </w:rPr>
        <w:tab/>
      </w:r>
    </w:p>
    <w:p w14:paraId="4C1DD72F" w14:textId="77777777" w:rsidR="00F31E44" w:rsidRPr="00F31E44" w:rsidRDefault="00F31E44" w:rsidP="00F31E44">
      <w:pPr>
        <w:rPr>
          <w:rFonts w:eastAsia="Calibri"/>
        </w:rPr>
      </w:pPr>
      <w:r w:rsidRPr="00F31E44">
        <w:lastRenderedPageBreak/>
        <w:t xml:space="preserve">I </w:t>
      </w:r>
      <w:r w:rsidRPr="00F31E44">
        <w:rPr>
          <w:rFonts w:eastAsia="Calibri"/>
        </w:rPr>
        <w:t>dati saranno trattati dalle persone, a ciò espressamente designate e autorizzate, che operano all’interno dell’amministrazione CNR, della sede centrale e della struttura, cui sono impartite idonee istruzioni in ordine a misure, accorgimenti e modus operandi (cfr. Modalità di trattamento) di utilizzo dei dati per le finalità gestionali e amministrative sopra descritte.</w:t>
      </w:r>
    </w:p>
    <w:p w14:paraId="2FD50C21" w14:textId="77777777" w:rsidR="00F31E44" w:rsidRPr="00F31E44" w:rsidRDefault="00F31E44" w:rsidP="00F31E44">
      <w:pPr>
        <w:rPr>
          <w:rFonts w:eastAsia="Calibri"/>
        </w:rPr>
      </w:pPr>
      <w:r w:rsidRPr="00F31E44">
        <w:rPr>
          <w:rFonts w:eastAsia="Calibri"/>
        </w:rPr>
        <w:t>I dati trattati potranno essere comunicati agli organismi di vigilanza, all’autorità giudiziaria, nonché a quei soggetti (pubblici e privati) cui è obbligatorio, per legge, darne comunicazione.</w:t>
      </w:r>
    </w:p>
    <w:p w14:paraId="61DFBBA0" w14:textId="77777777" w:rsidR="00F31E44" w:rsidRPr="00F31E44" w:rsidRDefault="00F31E44" w:rsidP="00F31E44">
      <w:pPr>
        <w:rPr>
          <w:rFonts w:eastAsia="Calibri Light" w:cs="Calibri Light"/>
          <w:b/>
          <w:bCs/>
        </w:rPr>
      </w:pPr>
      <w:r w:rsidRPr="00F31E44">
        <w:rPr>
          <w:rFonts w:eastAsia="Calibri"/>
        </w:rPr>
        <w:t>Si specifica</w:t>
      </w:r>
      <w:r w:rsidRPr="00F31E44">
        <w:t>, altresì, che i dati potranno essere estrapolati mediante interrogazione da piattaforme telematiche sulla base dei dati forniti, per le finalità indicate al precedente punto 2.</w:t>
      </w:r>
    </w:p>
    <w:p w14:paraId="616CF2CD" w14:textId="087001CA" w:rsidR="007A354B" w:rsidRPr="00F31E44" w:rsidRDefault="00F31E44" w:rsidP="00F31E44">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CATEGORIE DI DATI TRATTATI </w:t>
      </w:r>
      <w:r w:rsidR="007A354B" w:rsidRPr="00F31E44">
        <w:rPr>
          <w:rStyle w:val="Hyperlink1"/>
          <w:rFonts w:ascii="Source Sans Pro" w:hAnsi="Source Sans Pro"/>
          <w:sz w:val="20"/>
          <w:szCs w:val="20"/>
        </w:rPr>
        <w:t>E MODALITÀ DEL TRATTAMENTO</w:t>
      </w:r>
    </w:p>
    <w:p w14:paraId="2BAB97E3" w14:textId="4988ACC7" w:rsidR="007A354B" w:rsidRPr="00F31E44" w:rsidRDefault="00F31E44" w:rsidP="005D1915">
      <w:pPr>
        <w:rPr>
          <w:szCs w:val="20"/>
        </w:rPr>
      </w:pPr>
      <w:r w:rsidRPr="00F31E44">
        <w:rPr>
          <w:szCs w:val="20"/>
        </w:rPr>
        <w:t>Le categorie di dati personali trattati sono le seguenti</w:t>
      </w:r>
      <w:r w:rsidR="007A354B" w:rsidRPr="00F31E44">
        <w:rPr>
          <w:szCs w:val="20"/>
        </w:rPr>
        <w:t>:</w:t>
      </w:r>
    </w:p>
    <w:p w14:paraId="7F09A6D4" w14:textId="77777777" w:rsidR="00F31E44" w:rsidRPr="00F31E44" w:rsidRDefault="00F31E44" w:rsidP="00F31E44">
      <w:pPr>
        <w:pStyle w:val="Paragrafoelenco"/>
        <w:numPr>
          <w:ilvl w:val="0"/>
          <w:numId w:val="16"/>
        </w:numPr>
        <w:rPr>
          <w:szCs w:val="20"/>
        </w:rPr>
      </w:pPr>
      <w:r w:rsidRPr="00F31E44">
        <w:rPr>
          <w:b/>
          <w:bCs/>
          <w:szCs w:val="20"/>
        </w:rPr>
        <w:t>Dati anagrafici</w:t>
      </w:r>
      <w:r w:rsidRPr="00F31E44">
        <w:rPr>
          <w:szCs w:val="20"/>
        </w:rPr>
        <w:t xml:space="preserve"> (nome e cognome della persona fisica, luogo e data di nascita, residenza/domicilio), </w:t>
      </w:r>
      <w:r w:rsidRPr="00F31E44">
        <w:rPr>
          <w:b/>
          <w:bCs/>
          <w:szCs w:val="20"/>
        </w:rPr>
        <w:t>codice</w:t>
      </w:r>
      <w:r w:rsidRPr="00F31E44">
        <w:rPr>
          <w:szCs w:val="20"/>
        </w:rPr>
        <w:t xml:space="preserve"> </w:t>
      </w:r>
      <w:r w:rsidRPr="00F31E44">
        <w:rPr>
          <w:b/>
          <w:bCs/>
          <w:szCs w:val="20"/>
        </w:rPr>
        <w:t>fiscale</w:t>
      </w:r>
      <w:r w:rsidRPr="00F31E44">
        <w:rPr>
          <w:szCs w:val="20"/>
        </w:rPr>
        <w:t xml:space="preserve">, </w:t>
      </w:r>
      <w:r w:rsidRPr="00F31E44">
        <w:rPr>
          <w:b/>
          <w:bCs/>
          <w:szCs w:val="20"/>
        </w:rPr>
        <w:t>dati di contatto</w:t>
      </w:r>
      <w:r w:rsidRPr="00F31E44">
        <w:rPr>
          <w:szCs w:val="20"/>
        </w:rPr>
        <w:t xml:space="preserve"> (indirizzo e-mail, numero di telefono) del titolare, socio amministratore, socio accomandatario, componente del </w:t>
      </w:r>
      <w:proofErr w:type="spellStart"/>
      <w:r w:rsidRPr="00F31E44">
        <w:rPr>
          <w:szCs w:val="20"/>
        </w:rPr>
        <w:t>CdA</w:t>
      </w:r>
      <w:proofErr w:type="spellEnd"/>
      <w:r w:rsidRPr="00F31E44">
        <w:rPr>
          <w:szCs w:val="20"/>
        </w:rPr>
        <w:t xml:space="preserve">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3052159E" w14:textId="77777777" w:rsidR="00F31E44" w:rsidRPr="00F31E44" w:rsidRDefault="00F31E44" w:rsidP="00F31E44">
      <w:pPr>
        <w:pStyle w:val="Paragrafoelenco"/>
        <w:numPr>
          <w:ilvl w:val="0"/>
          <w:numId w:val="16"/>
        </w:numPr>
        <w:rPr>
          <w:szCs w:val="20"/>
        </w:rPr>
      </w:pPr>
      <w:r w:rsidRPr="00F31E44">
        <w:rPr>
          <w:b/>
          <w:bCs/>
          <w:szCs w:val="20"/>
        </w:rPr>
        <w:t>Dati bancari</w:t>
      </w:r>
      <w:r w:rsidRPr="00F31E44">
        <w:rPr>
          <w:szCs w:val="20"/>
        </w:rPr>
        <w:t xml:space="preserve"> (denominazione dell’istituto, numero IBAN, codice SWIFT/BIC) e dati comuni degli eventuali firmatari (nome e cognome, luogo e data di nascita, codice fiscale).</w:t>
      </w:r>
    </w:p>
    <w:p w14:paraId="581418F3" w14:textId="77777777" w:rsidR="00F31E44" w:rsidRPr="00F31E44" w:rsidRDefault="00F31E44" w:rsidP="00F31E44">
      <w:pPr>
        <w:pStyle w:val="Paragrafoelenco"/>
        <w:numPr>
          <w:ilvl w:val="0"/>
          <w:numId w:val="16"/>
        </w:numPr>
        <w:rPr>
          <w:szCs w:val="20"/>
        </w:rPr>
      </w:pPr>
      <w:r w:rsidRPr="00F31E44">
        <w:rPr>
          <w:b/>
          <w:bCs/>
          <w:szCs w:val="20"/>
        </w:rPr>
        <w:t>Dati relativi a condanne penali e a reati</w:t>
      </w:r>
      <w:r w:rsidRPr="00F31E44">
        <w:rPr>
          <w:szCs w:val="20"/>
        </w:rPr>
        <w:t xml:space="preserve"> (c.d. “giudiziari”), di cui all’art. 10 Regolamento, al solo scopo di valutare il possesso dei requisiti e delle qualità previsti dalla normativa vigente per l’acquisto di beni/servizi.</w:t>
      </w:r>
    </w:p>
    <w:p w14:paraId="15F2CF75" w14:textId="77777777" w:rsidR="00F31E44" w:rsidRPr="00F31E44" w:rsidRDefault="00F31E44" w:rsidP="00F31E44">
      <w:pPr>
        <w:rPr>
          <w:szCs w:val="20"/>
        </w:rPr>
      </w:pPr>
      <w:r w:rsidRPr="00F31E44">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3F8A5AE9" w14:textId="1F0D7AF8" w:rsidR="007A354B" w:rsidRPr="00F31E44" w:rsidRDefault="00F31E44" w:rsidP="00F31E44">
      <w:pPr>
        <w:rPr>
          <w:rStyle w:val="Hyperlink1"/>
          <w:rFonts w:ascii="Source Sans Pro" w:hAnsi="Source Sans Pro" w:cstheme="minorHAnsi"/>
          <w:sz w:val="20"/>
          <w:szCs w:val="20"/>
        </w:rPr>
      </w:pPr>
      <w:r w:rsidRPr="00F31E44">
        <w:rPr>
          <w:szCs w:val="20"/>
        </w:rPr>
        <w:t>Il trattamento non prevede alcun processo decisionale automatizzato, compresa la profilazione di cui all’art. 22 paragrafi 1 e 4 del Regolamento</w:t>
      </w:r>
      <w:r w:rsidR="007A354B" w:rsidRPr="00F31E44">
        <w:rPr>
          <w:szCs w:val="20"/>
        </w:rPr>
        <w:t>.</w:t>
      </w:r>
    </w:p>
    <w:p w14:paraId="39CE7523"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PERIODO DI CONSERVAZIONE</w:t>
      </w:r>
    </w:p>
    <w:p w14:paraId="4070870C" w14:textId="5C00CBB6" w:rsidR="007A354B" w:rsidRPr="00F31E44" w:rsidRDefault="007A354B" w:rsidP="005D1915">
      <w:pPr>
        <w:rPr>
          <w:szCs w:val="20"/>
        </w:rPr>
      </w:pPr>
      <w:r w:rsidRPr="00F31E44">
        <w:rPr>
          <w:szCs w:val="20"/>
        </w:rPr>
        <w:t xml:space="preserve">Il periodo di conservazione dei dati è di 10 </w:t>
      </w:r>
      <w:r w:rsidR="00F31E44">
        <w:rPr>
          <w:szCs w:val="20"/>
        </w:rPr>
        <w:t xml:space="preserve">(dieci) </w:t>
      </w:r>
      <w:r w:rsidRPr="00F31E44">
        <w:rPr>
          <w:szCs w:val="20"/>
        </w:rPr>
        <w:t>anni dall’avvenuta conclusione del contratto stipulato per l’acquisto di beni/servizi.</w:t>
      </w:r>
    </w:p>
    <w:p w14:paraId="37F9AE34"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TRASFERIMENTO DI DATI IN PAESI EXTRAEUROPEI O ORGANIZZAZIONI INTERNAZIONALI </w:t>
      </w:r>
    </w:p>
    <w:p w14:paraId="009CC860" w14:textId="77777777"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Non è previsto il trasferimento dei dati personali verso Paesi extraeuropei o organizzazioni internazionali.</w:t>
      </w:r>
    </w:p>
    <w:p w14:paraId="19BFC94B"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DIRITTI DEGLI INTERESSATI</w:t>
      </w:r>
    </w:p>
    <w:p w14:paraId="0E17A9A4" w14:textId="77777777" w:rsidR="00F31E44" w:rsidRPr="00F31E44" w:rsidRDefault="007A354B"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In </w:t>
      </w:r>
      <w:r w:rsidR="00F31E44" w:rsidRPr="00F31E44">
        <w:rPr>
          <w:rStyle w:val="Hyperlink1"/>
          <w:rFonts w:ascii="Source Sans Pro" w:hAnsi="Source Sans Pro" w:cstheme="minorHAnsi"/>
          <w:sz w:val="20"/>
          <w:szCs w:val="20"/>
        </w:rPr>
        <w:t>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4837E313" w14:textId="058A236E" w:rsidR="007A354B" w:rsidRPr="00F31E44" w:rsidRDefault="00F31E44"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1" w:history="1">
        <w:r w:rsidRPr="0028052A">
          <w:rPr>
            <w:rStyle w:val="Collegamentoipertestuale"/>
            <w:rFonts w:eastAsia="Calibri Light" w:cstheme="minorHAnsi"/>
            <w:szCs w:val="20"/>
          </w:rPr>
          <w:t>https://www.garanteprivacy.it</w:t>
        </w:r>
      </w:hyperlink>
      <w:r w:rsidRPr="00F31E44">
        <w:rPr>
          <w:rStyle w:val="Hyperlink1"/>
          <w:rFonts w:ascii="Source Sans Pro" w:hAnsi="Source Sans Pro" w:cstheme="minorHAnsi"/>
          <w:sz w:val="20"/>
          <w:szCs w:val="20"/>
        </w:rPr>
        <w:t xml:space="preserve">) all’indirizzo e-mail </w:t>
      </w:r>
      <w:hyperlink r:id="rId12" w:history="1">
        <w:r w:rsidRPr="0028052A">
          <w:rPr>
            <w:rStyle w:val="Collegamentoipertestuale"/>
            <w:rFonts w:eastAsia="Calibri Light" w:cstheme="minorHAnsi"/>
            <w:szCs w:val="20"/>
          </w:rPr>
          <w:t>protocollo@gpdp.it</w:t>
        </w:r>
      </w:hyperlink>
      <w:r w:rsidRPr="00F31E44">
        <w:rPr>
          <w:rStyle w:val="Hyperlink1"/>
          <w:rFonts w:ascii="Source Sans Pro" w:hAnsi="Source Sans Pro" w:cstheme="minorHAnsi"/>
          <w:sz w:val="20"/>
          <w:szCs w:val="20"/>
        </w:rPr>
        <w:t xml:space="preserve"> (art. 77 del Regolamento), o di adire le opportune sedi giudiziarie ai sensi dell’art. 79 dello stesso</w:t>
      </w:r>
      <w:r w:rsidR="007A354B" w:rsidRPr="00F31E44">
        <w:rPr>
          <w:rStyle w:val="Hyperlink1"/>
          <w:rFonts w:ascii="Source Sans Pro" w:hAnsi="Source Sans Pro" w:cstheme="minorHAnsi"/>
          <w:sz w:val="20"/>
          <w:szCs w:val="20"/>
        </w:rPr>
        <w:t>.</w:t>
      </w:r>
    </w:p>
    <w:p w14:paraId="7FDADC1B" w14:textId="78312E65" w:rsidR="00873903" w:rsidRPr="00F31E44" w:rsidRDefault="00873903">
      <w:pPr>
        <w:spacing w:after="0"/>
        <w:jc w:val="left"/>
        <w:rPr>
          <w:rFonts w:eastAsia="Gothic A1"/>
          <w:szCs w:val="20"/>
        </w:rPr>
      </w:pPr>
    </w:p>
    <w:sectPr w:rsidR="00873903" w:rsidRPr="00F31E44" w:rsidSect="008E4AE3">
      <w:headerReference w:type="default" r:id="rId13"/>
      <w:footerReference w:type="default" r:id="rId14"/>
      <w:headerReference w:type="first" r:id="rId15"/>
      <w:footerReference w:type="first" r:id="rId16"/>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3B17" w14:textId="77777777" w:rsidR="0004599A" w:rsidRDefault="0004599A" w:rsidP="00427EA5">
      <w:r>
        <w:separator/>
      </w:r>
    </w:p>
  </w:endnote>
  <w:endnote w:type="continuationSeparator" w:id="0">
    <w:p w14:paraId="219F5176" w14:textId="77777777" w:rsidR="0004599A" w:rsidRDefault="0004599A"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257C" w14:textId="77777777" w:rsidR="0004599A" w:rsidRDefault="0004599A" w:rsidP="00427EA5">
      <w:r>
        <w:separator/>
      </w:r>
    </w:p>
  </w:footnote>
  <w:footnote w:type="continuationSeparator" w:id="0">
    <w:p w14:paraId="4371929D" w14:textId="77777777" w:rsidR="0004599A" w:rsidRDefault="0004599A"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proofErr w:type="gramStart"/>
          <w:r w:rsidR="00BF7310" w:rsidRPr="00BF7310">
            <w:rPr>
              <w:b/>
              <w:bCs/>
              <w:color w:val="002F5F"/>
              <w:sz w:val="24"/>
            </w:rPr>
            <w:t>CAMPO.Sede.Secondaria</w:t>
          </w:r>
          <w:bookmarkEnd w:id="2"/>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D6F8C"/>
    <w:multiLevelType w:val="hybridMultilevel"/>
    <w:tmpl w:val="51FED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7" w15:restartNumberingAfterBreak="0">
    <w:nsid w:val="19CE373E"/>
    <w:multiLevelType w:val="hybridMultilevel"/>
    <w:tmpl w:val="17B4B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3"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10"/>
  </w:num>
  <w:num w:numId="2" w16cid:durableId="1796681406">
    <w:abstractNumId w:val="8"/>
  </w:num>
  <w:num w:numId="3" w16cid:durableId="48650377">
    <w:abstractNumId w:val="11"/>
  </w:num>
  <w:num w:numId="4" w16cid:durableId="1034189419">
    <w:abstractNumId w:val="12"/>
  </w:num>
  <w:num w:numId="5" w16cid:durableId="321129601">
    <w:abstractNumId w:val="13"/>
  </w:num>
  <w:num w:numId="6" w16cid:durableId="1283998978">
    <w:abstractNumId w:val="6"/>
  </w:num>
  <w:num w:numId="7" w16cid:durableId="1334916246">
    <w:abstractNumId w:val="4"/>
  </w:num>
  <w:num w:numId="8" w16cid:durableId="1448430470">
    <w:abstractNumId w:val="3"/>
  </w:num>
  <w:num w:numId="9" w16cid:durableId="985352579">
    <w:abstractNumId w:val="14"/>
  </w:num>
  <w:num w:numId="10" w16cid:durableId="41025769">
    <w:abstractNumId w:val="5"/>
  </w:num>
  <w:num w:numId="11" w16cid:durableId="1351956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9"/>
  </w:num>
  <w:num w:numId="13" w16cid:durableId="2050490944">
    <w:abstractNumId w:val="1"/>
  </w:num>
  <w:num w:numId="14" w16cid:durableId="206575680">
    <w:abstractNumId w:val="0"/>
  </w:num>
  <w:num w:numId="15" w16cid:durableId="388459310">
    <w:abstractNumId w:val="7"/>
  </w:num>
  <w:num w:numId="16" w16cid:durableId="15449012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99A"/>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7B3"/>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86598"/>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72E3"/>
    <w:rsid w:val="004277E3"/>
    <w:rsid w:val="00427EA5"/>
    <w:rsid w:val="00433874"/>
    <w:rsid w:val="00437193"/>
    <w:rsid w:val="0044090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41A"/>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5D09"/>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A7658"/>
    <w:rsid w:val="00EB18E5"/>
    <w:rsid w:val="00EB7493"/>
    <w:rsid w:val="00EC1D9F"/>
    <w:rsid w:val="00EC66C4"/>
    <w:rsid w:val="00ED0442"/>
    <w:rsid w:val="00ED7E78"/>
    <w:rsid w:val="00EE3CFF"/>
    <w:rsid w:val="00EE40C8"/>
    <w:rsid w:val="00EE41A3"/>
    <w:rsid w:val="00EE4A5E"/>
    <w:rsid w:val="00EE6977"/>
    <w:rsid w:val="00EF2711"/>
    <w:rsid w:val="00EF5A57"/>
    <w:rsid w:val="00EF7375"/>
    <w:rsid w:val="00F030C5"/>
    <w:rsid w:val="00F12ECC"/>
    <w:rsid w:val="00F170C7"/>
    <w:rsid w:val="00F22808"/>
    <w:rsid w:val="00F2283C"/>
    <w:rsid w:val="00F31E44"/>
    <w:rsid w:val="00F3519A"/>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pd@pec.cnr.it" TargetMode="Externa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2</Pages>
  <Words>1013</Words>
  <Characters>5780</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36</cp:revision>
  <dcterms:created xsi:type="dcterms:W3CDTF">2023-09-07T14:19:00Z</dcterms:created>
  <dcterms:modified xsi:type="dcterms:W3CDTF">2025-04-25T17:55:00Z</dcterms:modified>
</cp:coreProperties>
</file>