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78E4" w14:textId="77777777" w:rsidR="008464D0" w:rsidRPr="000A0787" w:rsidRDefault="008464D0" w:rsidP="008464D0">
      <w:pPr>
        <w:pStyle w:val="Titolo1"/>
      </w:pPr>
      <w:bookmarkStart w:id="0" w:name="bookmark_body"/>
      <w:bookmarkEnd w:id="0"/>
      <w:r w:rsidRPr="000A0787">
        <w:t>PROVVEDIMENTO</w:t>
      </w:r>
    </w:p>
    <w:p w14:paraId="1ADF99F9" w14:textId="1B807327" w:rsidR="008464D0" w:rsidRPr="008464D0" w:rsidRDefault="008464D0" w:rsidP="008464D0">
      <w:pPr>
        <w:spacing w:after="0"/>
      </w:pPr>
      <w:r w:rsidRPr="008464D0">
        <w:rPr>
          <w:rFonts w:eastAsia="Calibri" w:cstheme="minorHAnsi"/>
          <w:b/>
          <w:bCs/>
          <w:szCs w:val="20"/>
        </w:rPr>
        <w:t>OGGETTO</w:t>
      </w:r>
      <w:r w:rsidRPr="008464D0">
        <w:rPr>
          <w:rFonts w:eastAsia="Calibri" w:cstheme="minorHAnsi"/>
          <w:i/>
          <w:iCs/>
          <w:szCs w:val="20"/>
        </w:rPr>
        <w:t xml:space="preserve">: </w:t>
      </w:r>
      <w:r w:rsidRPr="008464D0">
        <w:rPr>
          <w:rFonts w:eastAsia="Calibri" w:cstheme="minorHAnsi"/>
          <w:szCs w:val="20"/>
        </w:rPr>
        <w:t xml:space="preserve">NOMINA DEL RESPONSABILE UNICO DEL PROGETTO AI SENSI DELL’ART. 15 E DELL’ALLEGATO I.2 DEL DECRETO LEGISLATIVO 31 MARZO 2023 N. 36 PER L’AFFIDAMENTO </w:t>
      </w:r>
      <w:proofErr w:type="gramStart"/>
      <w:r w:rsidRPr="008464D0">
        <w:t>CAMPO.DELLA.FORNITURA</w:t>
      </w:r>
      <w:proofErr w:type="gramEnd"/>
    </w:p>
    <w:p w14:paraId="01C894AB" w14:textId="77777777" w:rsidR="008464D0" w:rsidRPr="008464D0" w:rsidRDefault="008464D0" w:rsidP="008464D0">
      <w:pPr>
        <w:spacing w:after="0"/>
        <w:rPr>
          <w:u w:val="single"/>
        </w:rPr>
      </w:pPr>
    </w:p>
    <w:p w14:paraId="0F22A27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Decreto Legislativo del 4 giugno 2003, n. 127 recante “</w:t>
      </w:r>
      <w:r w:rsidRPr="008464D0">
        <w:rPr>
          <w:rFonts w:eastAsia="Calibri" w:cstheme="minorHAnsi"/>
          <w:i/>
          <w:iCs/>
          <w:szCs w:val="20"/>
        </w:rPr>
        <w:t>Riordino del Consiglio Nazionale delle Ricerche</w:t>
      </w:r>
      <w:r w:rsidRPr="008464D0">
        <w:rPr>
          <w:rFonts w:eastAsia="Calibri" w:cstheme="minorHAnsi"/>
          <w:szCs w:val="20"/>
        </w:rPr>
        <w:t>”;</w:t>
      </w:r>
    </w:p>
    <w:p w14:paraId="3EBEEA12"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2009 n. 213, recante “</w:t>
      </w:r>
      <w:r w:rsidRPr="008464D0">
        <w:rPr>
          <w:rFonts w:eastAsia="Calibri" w:cstheme="minorHAnsi"/>
          <w:i/>
          <w:szCs w:val="20"/>
        </w:rPr>
        <w:t>Riordino del Consiglio Nazionale delle Ricerche in attuazione</w:t>
      </w:r>
      <w:r w:rsidRPr="008464D0">
        <w:rPr>
          <w:rFonts w:eastAsia="Calibri" w:cstheme="minorHAnsi"/>
          <w:szCs w:val="20"/>
        </w:rPr>
        <w:t xml:space="preserve"> </w:t>
      </w:r>
      <w:r w:rsidRPr="008464D0">
        <w:rPr>
          <w:rFonts w:eastAsia="Calibri" w:cstheme="minorHAnsi"/>
          <w:i/>
          <w:szCs w:val="20"/>
        </w:rPr>
        <w:t>dell’articolo 1 della Legge 27 settembre 2007, n. 165</w:t>
      </w:r>
      <w:r w:rsidRPr="008464D0">
        <w:rPr>
          <w:rFonts w:eastAsia="Calibri" w:cstheme="minorHAnsi"/>
          <w:szCs w:val="20"/>
        </w:rPr>
        <w:t>”;</w:t>
      </w:r>
    </w:p>
    <w:p w14:paraId="3D269BA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25 novembre 2016 n. 218, recante “</w:t>
      </w:r>
      <w:r w:rsidRPr="008464D0">
        <w:rPr>
          <w:rFonts w:eastAsia="Calibri" w:cstheme="minorHAnsi"/>
          <w:i/>
          <w:szCs w:val="20"/>
        </w:rPr>
        <w:t>Semplificazione delle attività degli enti pubblici di ricerca ai sensi dell'articolo 13 della legge 7 agosto 2015, n. 124</w:t>
      </w:r>
      <w:r w:rsidRPr="008464D0">
        <w:rPr>
          <w:rFonts w:eastAsia="Calibri" w:cstheme="minorHAnsi"/>
          <w:szCs w:val="20"/>
        </w:rPr>
        <w:t>”;</w:t>
      </w:r>
    </w:p>
    <w:p w14:paraId="0D2DBA06" w14:textId="77777777" w:rsidR="008464D0" w:rsidRPr="008464D0" w:rsidRDefault="008464D0" w:rsidP="008464D0">
      <w:pPr>
        <w:widowControl w:val="0"/>
        <w:spacing w:before="60"/>
        <w:rPr>
          <w:rFonts w:eastAsia="Calibri" w:cstheme="minorHAnsi"/>
          <w:b/>
          <w:bCs/>
          <w:szCs w:val="20"/>
        </w:rPr>
      </w:pPr>
      <w:r w:rsidRPr="008464D0">
        <w:rPr>
          <w:rFonts w:eastAsia="Calibri" w:cstheme="minorHAnsi"/>
          <w:b/>
          <w:bCs/>
          <w:szCs w:val="20"/>
        </w:rPr>
        <w:t xml:space="preserve">VISTO </w:t>
      </w:r>
      <w:r w:rsidRPr="008464D0">
        <w:rPr>
          <w:rFonts w:eastAsia="Calibr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2E462AAF"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54E03F62"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VISTO</w:t>
      </w:r>
      <w:r w:rsidRPr="008464D0">
        <w:rPr>
          <w:rFonts w:eastAsia="Calibri" w:cstheme="minorHAnsi"/>
          <w:szCs w:val="20"/>
        </w:rPr>
        <w:t xml:space="preserve"> il nuovo Regolamento di Organizzazione e Funzionamento del Consiglio Nazionale delle Ricerche - DPCNR n. 119 prot. AMMCNT-CNR n. 241776 del 10 luglio 2024, approvato con nota del Ministero dell’Istruzione dell’Università̀ e della Ricerca prot. AOODGRIC n. 0021110 del 1° novembre 2023, ed entrato in vigore dal 1° agosto 2024; </w:t>
      </w:r>
    </w:p>
    <w:p w14:paraId="39EC7B3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VISTO</w:t>
      </w:r>
      <w:r w:rsidRPr="008464D0">
        <w:rPr>
          <w:rFonts w:eastAsia="Calibri" w:cstheme="minorHAnsi"/>
          <w:szCs w:val="20"/>
        </w:rPr>
        <w:t xml:space="preserve"> l’articolo 31 del nuovo Regolamento di Organizzazione e Funzionamento del Consiglio Nazionale delle Ricerche in vigore dal 1°agosto 2024, i compiti di ragioneria saranno svolti, in attesa dell’approvazione del nuovo RACF, dal Segretario (art 12 comma 4 ROF DPCNR del 26 maggio 2015 prot. 0036411);</w:t>
      </w:r>
    </w:p>
    <w:p w14:paraId="403F433F" w14:textId="6F22291F"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marzo 2023, n. 36 rubricato “</w:t>
      </w:r>
      <w:r w:rsidRPr="008464D0">
        <w:rPr>
          <w:rFonts w:eastAsia="Calibri" w:cstheme="minorHAnsi"/>
          <w:i/>
          <w:iCs/>
          <w:szCs w:val="20"/>
        </w:rPr>
        <w:t>Codice dei Contratti Pubblici in attuazione dell’articolo 1 della legge 21 giugno 2022, n. 78, recante delega al Governo in materia di contratti pubblici</w:t>
      </w:r>
      <w:r w:rsidRPr="008464D0">
        <w:rPr>
          <w:rFonts w:eastAsia="Calibri" w:cstheme="minorHAnsi"/>
          <w:szCs w:val="20"/>
        </w:rPr>
        <w:t>”, pubblicato sul Supplemento Ordinario n. 12 della GU n. 77 del 31 marzo 2023 (nel seguito per brevità “Codice”);</w:t>
      </w:r>
    </w:p>
    <w:p w14:paraId="205086A7"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2024, n. 209 rubricato</w:t>
      </w:r>
      <w:r w:rsidRPr="008464D0">
        <w:rPr>
          <w:rFonts w:eastAsia="Calibri" w:cstheme="minorHAnsi"/>
          <w:i/>
          <w:iCs/>
          <w:szCs w:val="20"/>
        </w:rPr>
        <w:t xml:space="preserve"> “Disposizioni integrative e correttive al codice dei contratti pubblici, di cui al decreto legislativo 31 marzo 2023, n. 36”, </w:t>
      </w:r>
      <w:r w:rsidRPr="008464D0">
        <w:rPr>
          <w:rFonts w:eastAsia="Calibri" w:cstheme="minorHAnsi"/>
          <w:szCs w:val="20"/>
        </w:rPr>
        <w:t>pubblicato sul Supplemento Ordinario n.45/L della GU n. 305 del 31 dicembre 2024</w:t>
      </w:r>
      <w:r w:rsidRPr="008464D0">
        <w:rPr>
          <w:rFonts w:eastAsia="Calibri" w:cstheme="minorHAnsi"/>
          <w:i/>
          <w:iCs/>
          <w:szCs w:val="20"/>
        </w:rPr>
        <w:t>;</w:t>
      </w:r>
    </w:p>
    <w:p w14:paraId="245C1A88" w14:textId="77777777" w:rsidR="008464D0" w:rsidRPr="008464D0" w:rsidRDefault="008464D0" w:rsidP="008464D0">
      <w:pPr>
        <w:spacing w:before="60"/>
        <w:rPr>
          <w:rFonts w:cstheme="minorHAnsi"/>
          <w:szCs w:val="20"/>
        </w:rPr>
      </w:pPr>
      <w:bookmarkStart w:id="1" w:name="_Hlk165457906"/>
      <w:r w:rsidRPr="008464D0">
        <w:rPr>
          <w:rFonts w:cstheme="minorHAnsi"/>
          <w:szCs w:val="20"/>
        </w:rPr>
        <w:t>CAMPO.NOMINE</w:t>
      </w:r>
    </w:p>
    <w:bookmarkEnd w:id="1"/>
    <w:p w14:paraId="7C729DF5"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Codice di comportamento dei dipendenti del Consiglio Nazionale delle Ricerche approvato con delibera del Consiglio di Amministrazione n° 137/2017;</w:t>
      </w:r>
    </w:p>
    <w:p w14:paraId="5F67E4CD" w14:textId="09352AF1"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0C16DF24" w14:textId="137ED467" w:rsidR="008464D0" w:rsidRPr="008464D0" w:rsidRDefault="008464D0" w:rsidP="008464D0">
      <w:pPr>
        <w:widowControl w:val="0"/>
        <w:spacing w:before="60"/>
        <w:ind w:right="-45"/>
        <w:rPr>
          <w:rFonts w:eastAsia="Calibri" w:cstheme="minorHAnsi"/>
          <w:i/>
          <w:iCs/>
          <w:szCs w:val="20"/>
        </w:rPr>
      </w:pPr>
      <w:r w:rsidRPr="008464D0">
        <w:rPr>
          <w:rFonts w:eastAsia="Calibri" w:cstheme="minorHAnsi"/>
          <w:b/>
          <w:bCs/>
          <w:szCs w:val="20"/>
        </w:rPr>
        <w:t xml:space="preserve">VISTO </w:t>
      </w:r>
      <w:r w:rsidRPr="008464D0">
        <w:rPr>
          <w:rFonts w:eastAsia="Calibri" w:cstheme="minorHAnsi"/>
          <w:szCs w:val="20"/>
        </w:rPr>
        <w:t>l’art. 15, comma 1, del Codice il quale dispone che “</w:t>
      </w:r>
      <w:r w:rsidRPr="008464D0">
        <w:rPr>
          <w:rFonts w:eastAsia="Calibr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401B7EE3" w14:textId="77777777" w:rsidR="008464D0" w:rsidRPr="008464D0" w:rsidRDefault="008464D0" w:rsidP="008464D0">
      <w:pPr>
        <w:widowControl w:val="0"/>
        <w:ind w:right="-45"/>
        <w:rPr>
          <w:rFonts w:eastAsia="Calibri" w:cstheme="minorHAnsi"/>
          <w:i/>
          <w:iCs/>
          <w:szCs w:val="20"/>
        </w:rPr>
      </w:pPr>
      <w:r w:rsidRPr="008464D0">
        <w:rPr>
          <w:rFonts w:eastAsia="Calibri" w:cstheme="minorHAnsi"/>
          <w:b/>
          <w:bCs/>
          <w:szCs w:val="20"/>
        </w:rPr>
        <w:t>CONSIDERATO</w:t>
      </w:r>
      <w:r w:rsidRPr="008464D0">
        <w:rPr>
          <w:rFonts w:eastAsia="Calibri" w:cstheme="minorHAnsi"/>
          <w:szCs w:val="20"/>
        </w:rPr>
        <w:t xml:space="preserve"> che, a tenore del comma 2, del già richiamato art. 15 del Codice “</w:t>
      </w:r>
      <w:r w:rsidRPr="008464D0">
        <w:rPr>
          <w:rFonts w:eastAsia="Calibr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8464D0">
        <w:rPr>
          <w:rFonts w:eastAsia="Calibri" w:cstheme="minorHAnsi"/>
          <w:szCs w:val="20"/>
        </w:rPr>
        <w:t>”</w:t>
      </w:r>
      <w:r w:rsidRPr="008464D0">
        <w:rPr>
          <w:rFonts w:eastAsia="Calibri" w:cstheme="minorHAnsi"/>
          <w:i/>
          <w:iCs/>
          <w:szCs w:val="20"/>
        </w:rPr>
        <w:t>;</w:t>
      </w:r>
    </w:p>
    <w:p w14:paraId="79DFA679" w14:textId="77777777" w:rsidR="008464D0" w:rsidRPr="008464D0" w:rsidRDefault="008464D0" w:rsidP="008464D0">
      <w:pPr>
        <w:widowControl w:val="0"/>
        <w:ind w:right="-45"/>
        <w:rPr>
          <w:rFonts w:eastAsia="Calibri" w:cstheme="minorHAnsi"/>
          <w:szCs w:val="20"/>
        </w:rPr>
      </w:pPr>
      <w:r w:rsidRPr="008464D0">
        <w:rPr>
          <w:rFonts w:eastAsia="Calibri" w:cstheme="minorHAnsi"/>
          <w:b/>
          <w:bCs/>
          <w:szCs w:val="20"/>
        </w:rPr>
        <w:lastRenderedPageBreak/>
        <w:t xml:space="preserve">VISTO </w:t>
      </w:r>
      <w:r w:rsidRPr="008464D0">
        <w:rPr>
          <w:rFonts w:eastAsia="Calibri" w:cstheme="minorHAnsi"/>
          <w:szCs w:val="20"/>
        </w:rPr>
        <w:t>l’allegato I.2 del Codice, recante “</w:t>
      </w:r>
      <w:r w:rsidRPr="008464D0">
        <w:rPr>
          <w:rFonts w:eastAsia="Calibri" w:cstheme="minorHAnsi"/>
          <w:i/>
          <w:iCs/>
          <w:szCs w:val="20"/>
        </w:rPr>
        <w:t>Attività del RUP (Art. 15, comma 5, del Codice)</w:t>
      </w:r>
      <w:r w:rsidRPr="008464D0">
        <w:rPr>
          <w:rFonts w:eastAsia="Calibri" w:cstheme="minorHAnsi"/>
          <w:szCs w:val="20"/>
        </w:rPr>
        <w:t>”, riguardante la nomina i requisiti e i compiti del responsabile unico del progetto (RUP) per l’affidamento di appalti e concessioni, ai sensi dell’articolo 15, comma 5, del Codice;</w:t>
      </w:r>
    </w:p>
    <w:p w14:paraId="7F253038" w14:textId="2D261C85" w:rsidR="008464D0" w:rsidRPr="008464D0" w:rsidRDefault="008464D0" w:rsidP="008464D0">
      <w:pPr>
        <w:widowControl w:val="0"/>
        <w:spacing w:before="60"/>
        <w:ind w:right="-45"/>
        <w:rPr>
          <w:rFonts w:cstheme="minorHAnsi"/>
          <w:color w:val="000000" w:themeColor="text1"/>
          <w:szCs w:val="20"/>
        </w:rPr>
      </w:pPr>
      <w:bookmarkStart w:id="2" w:name="bookmark_ras"/>
      <w:r w:rsidRPr="008464D0">
        <w:rPr>
          <w:rFonts w:cstheme="minorHAnsi"/>
          <w:color w:val="000000" w:themeColor="text1"/>
          <w:szCs w:val="20"/>
        </w:rPr>
        <w:t>CAMPO.</w:t>
      </w:r>
      <w:r w:rsidR="00FB0DA1">
        <w:rPr>
          <w:rFonts w:cstheme="minorHAnsi"/>
          <w:color w:val="000000" w:themeColor="text1"/>
          <w:szCs w:val="20"/>
        </w:rPr>
        <w:t>RAS</w:t>
      </w:r>
    </w:p>
    <w:bookmarkEnd w:id="2"/>
    <w:p w14:paraId="258D451A" w14:textId="0D19A21D" w:rsidR="008464D0" w:rsidRPr="008464D0" w:rsidRDefault="008464D0" w:rsidP="008464D0">
      <w:pPr>
        <w:widowControl w:val="0"/>
        <w:spacing w:before="60"/>
        <w:ind w:right="-45"/>
        <w:rPr>
          <w:rFonts w:eastAsia="Calibri" w:cstheme="minorHAnsi"/>
          <w:szCs w:val="20"/>
        </w:rPr>
      </w:pPr>
      <w:r w:rsidRPr="008464D0">
        <w:rPr>
          <w:rFonts w:eastAsia="Calibri" w:cstheme="minorHAnsi"/>
          <w:b/>
          <w:bCs/>
          <w:szCs w:val="20"/>
        </w:rPr>
        <w:t xml:space="preserve">CONSIDERATO </w:t>
      </w:r>
      <w:r w:rsidRPr="008464D0">
        <w:rPr>
          <w:rFonts w:eastAsia="Calibri" w:cstheme="minorHAnsi"/>
          <w:szCs w:val="20"/>
        </w:rPr>
        <w:t>che,</w:t>
      </w:r>
      <w:r w:rsidRPr="008464D0">
        <w:rPr>
          <w:rFonts w:eastAsia="Calibri" w:cstheme="minorHAnsi"/>
          <w:b/>
          <w:bCs/>
          <w:szCs w:val="20"/>
        </w:rPr>
        <w:t xml:space="preserve"> </w:t>
      </w:r>
      <w:r w:rsidRPr="008464D0">
        <w:rPr>
          <w:rFonts w:eastAsia="Calibri" w:cstheme="minorHAnsi"/>
          <w:szCs w:val="20"/>
        </w:rPr>
        <w:t>il soggetto nominando è dipendente dell’Ente committente ed è in possesso della necessaria esperienza e qualificazione prevista dall’allegato I.2 del Codice sopra richiamato,</w:t>
      </w:r>
    </w:p>
    <w:p w14:paraId="4DFEE584" w14:textId="77777777" w:rsidR="008464D0" w:rsidRPr="00C31D42" w:rsidRDefault="008464D0" w:rsidP="008464D0">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46B7C59B" w14:textId="77777777" w:rsidR="008464D0" w:rsidRPr="00C31D42" w:rsidRDefault="008464D0" w:rsidP="007B0C30">
      <w:pPr>
        <w:pStyle w:val="Elencoliv1"/>
      </w:pPr>
      <w:r w:rsidRPr="00C31D42">
        <w:rPr>
          <w:b/>
          <w:bCs/>
        </w:rPr>
        <w:t xml:space="preserve">DI </w:t>
      </w:r>
      <w:r w:rsidRPr="003043A1">
        <w:rPr>
          <w:b/>
          <w:bCs/>
        </w:rPr>
        <w:t>NOMINARE</w:t>
      </w:r>
      <w:r w:rsidRPr="000C0E07">
        <w:rPr>
          <w:b/>
          <w:bCs/>
        </w:rPr>
        <w:t xml:space="preserve"> CAMPO.NOMINA.RUP </w:t>
      </w:r>
      <w:r w:rsidRPr="000C0E07">
        <w:t>Responsabile</w:t>
      </w:r>
      <w:r w:rsidRPr="00C31D42">
        <w:t xml:space="preserve"> Unico del Progetto </w:t>
      </w:r>
      <w:r>
        <w:t xml:space="preserve">(RUP) </w:t>
      </w:r>
      <w:r w:rsidRPr="00C31D42">
        <w:t>il quale, ai sensi dell'art. 15 del Codice, dovrà:</w:t>
      </w:r>
    </w:p>
    <w:p w14:paraId="13249E2F"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7ED52080"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42C64401"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14CCDE1"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5F032F67"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8073794" w14:textId="23EC03D0" w:rsidR="00ED0442" w:rsidRDefault="00ED0442" w:rsidP="007B0C30">
      <w:pPr>
        <w:pStyle w:val="Elencoliv1"/>
      </w:pPr>
      <w:r w:rsidRPr="00C31D42">
        <w:rPr>
          <w:b/>
          <w:bCs/>
        </w:rPr>
        <w:t>DI INDIVIDUARE</w:t>
      </w:r>
      <w:r w:rsidRPr="00C31D42">
        <w:t xml:space="preserve"> ai sensi dell</w:t>
      </w:r>
      <w:r>
        <w:t>’</w:t>
      </w:r>
      <w:r w:rsidRPr="00C31D42">
        <w:t xml:space="preserve">art. 15, comma 6, del Codice, il </w:t>
      </w:r>
      <w:bookmarkStart w:id="3" w:name="bookmark_supporto_rup"/>
      <w:r w:rsidR="00A729FC">
        <w:t>CAMPO.SUPPORTO.RUP</w:t>
      </w:r>
      <w:bookmarkEnd w:id="3"/>
      <w:r w:rsidR="00A729FC">
        <w:t xml:space="preserve"> </w:t>
      </w:r>
      <w:r w:rsidRPr="00C31D42">
        <w:t>in qualità di supporto al RUP, fermo restando i compiti e le mansioni a cui gli stessi sono già assegnati;</w:t>
      </w:r>
    </w:p>
    <w:p w14:paraId="733B5311" w14:textId="46347B10" w:rsidR="008464D0" w:rsidRPr="00972B55" w:rsidRDefault="008464D0" w:rsidP="007B0C30">
      <w:pPr>
        <w:pStyle w:val="Elencoliv1"/>
      </w:pPr>
      <w:r w:rsidRPr="00972B55">
        <w:rPr>
          <w:b/>
          <w:bCs/>
        </w:rPr>
        <w:t>DI PROCEDERE</w:t>
      </w:r>
      <w:r w:rsidRPr="00972B55">
        <w:t xml:space="preserve"> alla pubblicazione sul sito del CNR del presente provvedimento ai sensi del combinato disposto dell</w:t>
      </w:r>
      <w:r>
        <w:t>’a</w:t>
      </w:r>
      <w:r w:rsidRPr="00972B55">
        <w:t>rt. 37 del D.lgs. 14 marzo 2013, n. 33 e dell'art. 20 del Codice;</w:t>
      </w:r>
    </w:p>
    <w:p w14:paraId="45EEB015" w14:textId="77777777" w:rsidR="008464D0" w:rsidRPr="009760D0" w:rsidRDefault="008464D0" w:rsidP="007B0C30">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70E5E7AC" w14:textId="77777777" w:rsidR="008464D0" w:rsidRDefault="008464D0" w:rsidP="008464D0">
      <w:pPr>
        <w:widowControl w:val="0"/>
        <w:spacing w:before="60" w:after="0"/>
        <w:ind w:right="-45"/>
        <w:rPr>
          <w:rFonts w:asciiTheme="minorHAnsi" w:eastAsia="Calibri" w:hAnsiTheme="minorHAnsi" w:cstheme="minorHAnsi"/>
          <w:b/>
          <w:bCs/>
          <w:szCs w:val="20"/>
        </w:rPr>
      </w:pPr>
    </w:p>
    <w:p w14:paraId="3EF5ADB7" w14:textId="77777777" w:rsidR="008464D0" w:rsidRDefault="008464D0" w:rsidP="008464D0">
      <w:pPr>
        <w:spacing w:after="0"/>
      </w:pPr>
      <w:r>
        <w:t>CAMPO.FIRMA</w:t>
      </w:r>
    </w:p>
    <w:p w14:paraId="17031FB7" w14:textId="29F76E71" w:rsidR="008E4AE3" w:rsidRDefault="008E4AE3" w:rsidP="00EC66C4">
      <w:pPr>
        <w:rPr>
          <w:rFonts w:eastAsia="Gothic A1"/>
        </w:rPr>
      </w:pPr>
    </w:p>
    <w:p w14:paraId="7FDADC1B" w14:textId="77777777" w:rsidR="001C11E0" w:rsidRPr="00EC66C4" w:rsidRDefault="001C11E0" w:rsidP="00EC66C4">
      <w:pPr>
        <w:rPr>
          <w:rFonts w:eastAsia="Gothic A1"/>
        </w:rPr>
      </w:pPr>
    </w:p>
    <w:sectPr w:rsidR="001C11E0" w:rsidRPr="00EC66C4" w:rsidSect="008E4AE3">
      <w:headerReference w:type="default" r:id="rId8"/>
      <w:footerReference w:type="default" r:id="rId9"/>
      <w:headerReference w:type="first" r:id="rId10"/>
      <w:footerReference w:type="first" r:id="rId11"/>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F458C" w14:textId="77777777" w:rsidR="00250DD3" w:rsidRDefault="00250DD3" w:rsidP="00427EA5">
      <w:r>
        <w:separator/>
      </w:r>
    </w:p>
  </w:endnote>
  <w:endnote w:type="continuationSeparator" w:id="0">
    <w:p w14:paraId="3C5F784D" w14:textId="77777777" w:rsidR="00250DD3" w:rsidRDefault="00250DD3"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55B4" w14:textId="77777777" w:rsidR="00250DD3" w:rsidRDefault="00250DD3" w:rsidP="00427EA5">
      <w:r>
        <w:separator/>
      </w:r>
    </w:p>
  </w:footnote>
  <w:footnote w:type="continuationSeparator" w:id="0">
    <w:p w14:paraId="1E7CFC71" w14:textId="77777777" w:rsidR="00250DD3" w:rsidRDefault="00250DD3"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4" w:name="bookmark_headers_istituzionale"/>
          <w:r>
            <w:rPr>
              <w:b/>
              <w:bCs/>
              <w:color w:val="002F5F"/>
              <w:sz w:val="24"/>
            </w:rPr>
            <w:t>Sede Secondaria</w:t>
          </w:r>
          <w:bookmarkEnd w:id="4"/>
          <w:r>
            <w:rPr>
              <w:b/>
              <w:bCs/>
              <w:color w:val="002F5F"/>
              <w:sz w:val="24"/>
            </w:rPr>
            <w:t xml:space="preserve"> </w:t>
          </w:r>
          <w:r>
            <w:rPr>
              <w:color w:val="002F5F"/>
              <w:sz w:val="24"/>
            </w:rPr>
            <w:t>di</w:t>
          </w:r>
          <w:r w:rsidR="00BF7310">
            <w:rPr>
              <w:color w:val="002F5F"/>
              <w:sz w:val="24"/>
            </w:rPr>
            <w:t xml:space="preserve"> </w:t>
          </w:r>
          <w:bookmarkStart w:id="5" w:name="bookmark_headers_sede"/>
          <w:proofErr w:type="spellStart"/>
          <w:proofErr w:type="gramStart"/>
          <w:r w:rsidR="00BF7310" w:rsidRPr="00BF7310">
            <w:rPr>
              <w:b/>
              <w:bCs/>
              <w:color w:val="002F5F"/>
              <w:sz w:val="24"/>
            </w:rPr>
            <w:t>CAMPO.Sede.Secondaria</w:t>
          </w:r>
          <w:bookmarkEnd w:id="5"/>
          <w:proofErr w:type="spellEnd"/>
          <w:proofErr w:type="gramEnd"/>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 xml:space="preserve">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2</Pages>
  <Words>914</Words>
  <Characters>5212</Characters>
  <Application>Microsoft Office Word</Application>
  <DocSecurity>0</DocSecurity>
  <Lines>43</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22</cp:revision>
  <dcterms:created xsi:type="dcterms:W3CDTF">2023-09-07T14:19:00Z</dcterms:created>
  <dcterms:modified xsi:type="dcterms:W3CDTF">2025-02-19T12:15:00Z</dcterms:modified>
</cp:coreProperties>
</file>