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Tabela: Impacto absoluto por grupo de famílias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2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Nº de famílias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Gasto anual adicional (R$)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Gasto anual adicional total (milhões R$)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▸ Localidade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Zona 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9,466,075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121.4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Zona urbana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59,446,658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1,240.9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▸ Renda/Gênero/Raça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Mulher negra (renda média)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12,150,476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230.8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Homem branco (renda média)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12,403,859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228.2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Homem branco (renda alta)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4,439,842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106.7</w:t>
            </w:r>
          </w:p>
        </w:tc>
      </w:tr>
      <w:tr>
        <w:trPr>
          <w:trHeight w:val="617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Mulher branca (renda alta)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3,221,821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2025-09-04T10:49:32Z</dcterms:modified>
  <cp:category/>
</cp:coreProperties>
</file>