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Tabela: Impacto percentual da mudança de bandeira tarifária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45"/>
        <w:gridCol w:w="839"/>
        <w:gridCol w:w="839"/>
        <w:gridCol w:w="839"/>
        <w:gridCol w:w="839"/>
        <w:gridCol w:w="839"/>
        <w:gridCol w:w="839"/>
      </w:tblGrid>
      <w:tr>
        <w:trPr>
          <w:trHeight w:val="615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Bandeira Amarela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Bandeira Vermelha I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Bandeira Vermelha II</w:t>
            </w:r>
          </w:p>
        </w:tc>
      </w:tr>
      <w:tr>
        <w:trPr>
          <w:trHeight w:val="617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3"/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Renda (%)</w:t>
            </w:r>
          </w:p>
        </w:tc>
        <w:tc>
          <w:tcPr>
            <w:gridSpan w:val="3"/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Gastos totais (%)</w:t>
            </w:r>
          </w:p>
        </w:tc>
      </w:tr>
      <w:tr>
        <w:trPr>
          <w:trHeight w:val="57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▸ Localidade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Zona 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Zona urbana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▸ Renda/Gênero/Raça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Mulher negra (renda média)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</w:t>
            </w:r>
          </w:p>
        </w:tc>
      </w:tr>
      <w:tr>
        <w:trPr>
          <w:trHeight w:val="617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Homem branco (renda média)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Homem branco (renda alta)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  <w:tr>
        <w:trPr>
          <w:trHeight w:val="617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Mulher branca (renda alta)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0" w:right="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2025-09-04T10:49:31Z</dcterms:modified>
  <cp:category/>
</cp:coreProperties>
</file>