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Tabela: Impacto percentual da mudança de bandeira tarifária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839"/>
        <w:gridCol w:w="839"/>
        <w:gridCol w:w="839"/>
        <w:gridCol w:w="839"/>
        <w:gridCol w:w="839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Bandeira Amarela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Bandeira Vermelha I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Bandeira Vermelha II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Renda (%)</w:t>
            </w:r>
          </w:p>
        </w:tc>
        <w:tc>
          <w:tcPr>
            <w:gridSpan w:val="3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Gastos totais (%)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Localidade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urbana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Renda/Gênero/Raça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alta)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 (renda alta)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2025-08-19T17:44:56Z</dcterms:modified>
  <cp:category/>
</cp:coreProperties>
</file>