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Tabela: Impacto absoluto por grupo de famílias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2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Nº de famílias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Gasto anual adicional (R$)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Gasto anual adicional total (milhões R$)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▸ Localidade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Zona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9,466,075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121.4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Zona urbana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59,446,658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1,240.9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▸ Renda/Gênero/Raça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Mulher negra (renda média)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12,150,476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230.8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Homem branco (renda média)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12,403,859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228.2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Homem branco (renda alta)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4,439,842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106.7</w:t>
            </w:r>
          </w:p>
        </w:tc>
      </w:tr>
      <w:tr>
        <w:trPr>
          <w:trHeight w:val="617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Mulher branca (renda alta)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3,221,821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2025-09-04T12:31:16Z</dcterms:modified>
  <cp:category/>
</cp:coreProperties>
</file>