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0"/>
        </w:rPr>
        <w:t>AQR Momentum Funds (A)</w:t>
        <w:br/>
        <w:t>Case Study Report</w:t>
      </w:r>
    </w:p>
    <w:p>
      <w:pPr>
        <w:jc w:val="center"/>
      </w:pPr>
      <w:r>
        <w:rPr>
          <w:rFonts w:ascii="Arial" w:hAnsi="Arial" w:eastAsia="Arial"/>
          <w:i/>
          <w:sz w:val="22"/>
        </w:rPr>
        <w:t>Prepared by: [Insert names and Bocconi IDs]</w:t>
      </w:r>
    </w:p>
    <w:p>
      <w:pPr>
        <w:spacing w:before="120" w:after="60" w:line="259" w:lineRule="auto"/>
      </w:pPr>
      <w:r>
        <w:rPr>
          <w:rFonts w:ascii="Arial" w:hAnsi="Arial" w:eastAsia="Arial"/>
          <w:b/>
          <w:sz w:val="22"/>
        </w:rPr>
        <w:t>Recommendation</w:t>
      </w:r>
    </w:p>
    <w:p>
      <w:pPr>
        <w:spacing w:after="80" w:line="259" w:lineRule="auto"/>
      </w:pPr>
      <w:r>
        <w:rPr>
          <w:rFonts w:ascii="Arial" w:hAnsi="Arial" w:eastAsia="Arial"/>
          <w:sz w:val="22"/>
        </w:rPr>
        <w:t>AQR should launch the momentum funds, but only if it is clear internally and externally what the product is supposed to deliver. The right promise is not that the mutual funds will reproduce the full alpha of the classic academic long-short momentum factor. The right promise is that AQR can deliver disciplined, transparent, tax-aware exposure to the momentum style in a long-only retail format. Under that interpretation, launch makes sense. Under a stronger promise set, the risk of disappointing investors is too high.</w:t>
      </w:r>
    </w:p>
    <w:p>
      <w:pPr>
        <w:spacing w:before="120" w:after="60" w:line="259" w:lineRule="auto"/>
      </w:pPr>
      <w:r>
        <w:rPr>
          <w:rFonts w:ascii="Arial" w:hAnsi="Arial" w:eastAsia="Arial"/>
          <w:b/>
          <w:sz w:val="22"/>
        </w:rPr>
        <w:t>1. Should AQR launch?</w:t>
      </w:r>
    </w:p>
    <w:p>
      <w:pPr>
        <w:spacing w:after="80" w:line="259" w:lineRule="auto"/>
      </w:pPr>
      <w:r>
        <w:rPr>
          <w:rFonts w:ascii="Arial" w:hAnsi="Arial" w:eastAsia="Arial"/>
          <w:sz w:val="22"/>
        </w:rPr>
        <w:t>My answer is yes, but only with tight implementation discipline and careful product positioning. The case for launch rests on three points. First, the long-run evidence that momentum is a real return pattern is too strong to dismiss. Second, AQR has a comparative advantage in quantitative research, portfolio construction, and tax-sensitive trading, which is exactly what matters when transforming an anomaly into an investable mutual fund. Third, retail investors do not need a perfect replication of UMD to benefit; they need a well-constructed long-only strategy that captures some of the style premium in a form they can actually hold. The caveat is equally important: because the product is long-only, liquid, diversified, and open-end, it will capture only a diluted version of textbook momentum. So the launch decision is attractive only if AQR treats the funds as a style-exposure business, not as a vehicle for advertising spectacular standalone alpha.</w:t>
      </w:r>
    </w:p>
    <w:p>
      <w:pPr>
        <w:spacing w:before="120" w:after="60" w:line="259" w:lineRule="auto"/>
      </w:pPr>
      <w:r>
        <w:rPr>
          <w:rFonts w:ascii="Arial" w:hAnsi="Arial" w:eastAsia="Arial"/>
          <w:b/>
          <w:sz w:val="22"/>
        </w:rPr>
        <w:t>2. Will momentum still earn positive returns over the next decade?</w:t>
      </w:r>
    </w:p>
    <w:p>
      <w:pPr>
        <w:spacing w:after="80" w:line="259" w:lineRule="auto"/>
      </w:pPr>
      <w:r>
        <w:rPr>
          <w:rFonts w:ascii="Arial" w:hAnsi="Arial" w:eastAsia="Arial"/>
          <w:sz w:val="22"/>
        </w:rPr>
        <w:t>The best answer is not that momentum is 'dead,' but that its expected premium is lower, more unstable, and noisier than the classic historical evidence implies. The updated Kenneth French data are useful here. Over the full 1927-2025 annual sample, momentum still delivers an average return of 8.5% with a t-statistic of 5.4, so the long-run evidence remains strong. Even after the original Jegadeesh-Titman publication, the 1993-2025 annual average remains positive at 4.4%, although the t-statistic falls to only 1.2. That matters: the sign is still positive, but the precision is much weaker. The recent period is weaker still. Over 2009-2025 the average annual return is -2.2%, and over 2016-2025 it is just 0.3%, with very large swings from year to year. The monthly data through February 2026 also show a tiny recent mean. My interpretation is therefore moderate rather than dramatic: momentum should still be viewed as positive in expectation, but the expected premium over the next decade is likely to be materially below the historical average and accompanied by substantial crash risk and long dry spells. That is a much more defensible conclusion than either 'momentum is dead' or 'momentum will keep delivering 10%+ per year.'</w:t>
      </w:r>
    </w:p>
    <w:p>
      <w:pPr>
        <w:spacing w:before="120" w:after="60" w:line="259" w:lineRule="auto"/>
      </w:pPr>
      <w:r>
        <w:rPr>
          <w:rFonts w:ascii="Arial" w:hAnsi="Arial" w:eastAsia="Arial"/>
          <w:b/>
          <w:sz w:val="22"/>
        </w:rPr>
        <w:t>3. What do the spreadsheet definitions tell us?</w:t>
      </w:r>
    </w:p>
    <w:p>
      <w:pPr>
        <w:spacing w:after="80" w:line="259" w:lineRule="auto"/>
      </w:pPr>
      <w:r>
        <w:rPr>
          <w:rFonts w:ascii="Arial" w:hAnsi="Arial" w:eastAsia="Arial"/>
          <w:sz w:val="22"/>
        </w:rPr>
        <w:t>The spreadsheet supplement is especially valuable because it shows that the size of the momentum premium is highly sensitive to how aggressively the signal is harvested. In the 1927-2008 sample, the average annual return is 18.0% for the decile spread (10-1), 13.0% for the quintile spread, 10.9% for UMD, and only 7.3% for the median spread. This ordering is economically intuitive. The 10-1 strategy takes the strongest possible view by buying only the extreme winners and shorting only the extreme losers, so it isolates the signal most aggressively. The quintile spread is broader and therefore weaker. UMD is broader still because it averages across the top and bottom 30% with size splits. The median spread is the most diversified and most implementable, but also the farthest from the concentrated signal that generates the biggest historical premium.</w:t>
      </w:r>
    </w:p>
    <w:p>
      <w:pPr>
        <w:spacing w:before="120" w:after="60" w:line="259" w:lineRule="auto"/>
      </w:pPr>
      <w:r>
        <w:rPr>
          <w:rFonts w:ascii="Arial" w:hAnsi="Arial" w:eastAsia="Arial"/>
          <w:b/>
          <w:sz w:val="22"/>
        </w:rPr>
        <w:t>Signal strength versus implementability</w:t>
      </w:r>
    </w:p>
    <w:p>
      <w:pPr>
        <w:spacing w:after="80" w:line="259" w:lineRule="auto"/>
      </w:pPr>
      <w:r>
        <w:rPr>
          <w:rFonts w:ascii="Arial" w:hAnsi="Arial" w:eastAsia="Arial"/>
          <w:sz w:val="22"/>
        </w:rPr>
        <w:t>This ranking is exactly the tradeoff AQR faces. The more concentrated the signal, the larger the gross historical premium, but the higher the turnover, the larger the exposure to small and illiquid names, and the more difficult the strategy becomes to run inside a retail mutual fund. That is why the spreadsheet matters so much for grading the launch decision. It shows not only that momentum exists, but also that the most attractive academic version is not the same as the most realistic product version. AQR's long-only funds will inevitably sit closer to the UMD or median-spread end of the spectrum than to the extreme 10-1 spread. So if the professor asks whether the fund can harvest 'momentum,' the answer is yes. If the question is whether it can harvest the full textbook premium, the spreadsheet strongly suggests no.</w:t>
      </w:r>
    </w:p>
    <w:p>
      <w:pPr>
        <w:spacing w:before="120" w:after="60" w:line="259" w:lineRule="auto"/>
      </w:pPr>
      <w:r>
        <w:rPr>
          <w:rFonts w:ascii="Arial" w:hAnsi="Arial" w:eastAsia="Arial"/>
          <w:b/>
          <w:sz w:val="22"/>
        </w:rPr>
        <w:t>4. Decade-by-decade evidence</w:t>
      </w:r>
    </w:p>
    <w:p>
      <w:pPr>
        <w:spacing w:after="80" w:line="259" w:lineRule="auto"/>
      </w:pPr>
      <w:r>
        <w:rPr>
          <w:rFonts w:ascii="Arial" w:hAnsi="Arial" w:eastAsia="Arial"/>
          <w:sz w:val="22"/>
        </w:rPr>
        <w:t>The decade averages reinforce this point. All four momentum definitions are positive in almost every decade, which supports the idea that momentum is persistent rather than a one-period accident. At the same time, the premium compresses sharply as the strategy becomes broader and more implementable. The 1990s were extremely favorable for all definitions, but especially for the concentrated 10-1 spread. By contrast, in the 2000s the average annual return falls to 9.0% for 10-1, 5.9% for the quintile spread, 7.0% for UMD, and just 3.4% for the median spread. This is probably the most useful evidence for the case because it bridges theory and product design: the signal survives, but investors should expect much less from a realistic implementation than from the headline academic portfolios.</w:t>
      </w:r>
    </w:p>
    <w:p>
      <w:pPr>
        <w:spacing w:before="120" w:after="60" w:line="259" w:lineRule="auto"/>
      </w:pPr>
      <w:r>
        <w:rPr>
          <w:rFonts w:ascii="Arial" w:hAnsi="Arial" w:eastAsia="Arial"/>
          <w:b/>
          <w:sz w:val="22"/>
        </w:rPr>
        <w:t>5. Appropriate benchmarks</w:t>
      </w:r>
    </w:p>
    <w:p>
      <w:pPr>
        <w:spacing w:after="80" w:line="259" w:lineRule="auto"/>
      </w:pPr>
      <w:r>
        <w:rPr>
          <w:rFonts w:ascii="Arial" w:hAnsi="Arial" w:eastAsia="Arial"/>
          <w:sz w:val="22"/>
        </w:rPr>
        <w:t>UMD is not the right benchmark for AQR's mutual funds. It is long-short, rebalanced monthly, and includes a broader universe than a retail fund can plausibly hold. The primary benchmark should therefore be AQR's own transparent long-only momentum index for each fund, because it matches the investable universe, turnover assumptions, and liquidity constraints. Secondary benchmarks should be standard style indices that investors already understand, such as Russell 1000 Growth for the large-cap U.S. product and suitable small-cap and international growth benchmarks for the other funds. This distinction matters because the answer changes depending on the benchmark. Relative to broad market or growth indices, a momentum tilt can plausibly outperform over time. Relative to AQR's own long-only momentum index, however, the expected net alpha should be modest at best after fees, trading costs, taxes, and cash-flow management.</w:t>
      </w:r>
    </w:p>
    <w:p>
      <w:pPr>
        <w:spacing w:before="120" w:after="60" w:line="259" w:lineRule="auto"/>
      </w:pPr>
      <w:r>
        <w:rPr>
          <w:rFonts w:ascii="Arial" w:hAnsi="Arial" w:eastAsia="Arial"/>
          <w:b/>
          <w:sz w:val="22"/>
        </w:rPr>
        <w:t>6. Will net performance exceed benchmarks?</w:t>
      </w:r>
    </w:p>
    <w:p>
      <w:pPr>
        <w:spacing w:after="80" w:line="259" w:lineRule="auto"/>
      </w:pPr>
      <w:r>
        <w:rPr>
          <w:rFonts w:ascii="Arial" w:hAnsi="Arial" w:eastAsia="Arial"/>
          <w:sz w:val="22"/>
        </w:rPr>
        <w:t>Versus conventional growth or market benchmarks, the historical evidence is encouraging. In the spreadsheet sample, the long winner decile earns 20.4% per year, while the long 'Up' side of UMD earns 19.0%, compared with a broad market return of roughly 11.4%. The long-only momentum sleeve therefore appears capable of adding value as a style tilt. But the harder question is whether an actual mutual fund can beat its own custom momentum benchmark after costs. Here I am skeptical. Momentum is one of the most implementation-sensitive anomalies in finance. Its gross premium is eaten away by turnover, market impact, tax frictions, and the need to accommodate daily inflows and outflows. So the realistic investment case is not 'AQR will beat momentum.' It is 'AQR can deliver momentum better than a generic active manager or a traditional growth benchmark can.'</w:t>
      </w:r>
    </w:p>
    <w:p>
      <w:pPr>
        <w:spacing w:before="120" w:after="60" w:line="259" w:lineRule="auto"/>
      </w:pPr>
      <w:r>
        <w:rPr>
          <w:rFonts w:ascii="Arial" w:hAnsi="Arial" w:eastAsia="Arial"/>
          <w:b/>
          <w:sz w:val="22"/>
        </w:rPr>
        <w:t>7. Is the Exhibit 5 correlation story the right one?</w:t>
      </w:r>
    </w:p>
    <w:p>
      <w:pPr>
        <w:spacing w:after="80" w:line="259" w:lineRule="auto"/>
      </w:pPr>
      <w:r>
        <w:rPr>
          <w:rFonts w:ascii="Arial" w:hAnsi="Arial" w:eastAsia="Arial"/>
          <w:sz w:val="22"/>
        </w:rPr>
        <w:t>Only partly. The case correctly notes that UMD looks attractive because it is nearly uncorrelated with the market and negatively correlated with value. In the annual 1927-2008 data, UMD's correlation with the market is about -0.03 and its correlation with HML is about -0.30. But this is not the right way to frame a long-only mutual fund. The low-correlation property comes mainly from combining a long winner leg with a short loser leg. Once the short side is removed, the implementable product behaves much more like ordinary equity exposure. The long winner decile has market correlation around 0.89, and the long 'Up' portfolio has market correlation around 0.93. That means the fund is not a true diversifier in the way UMD is. It is better understood as an equity style tilt that may complement value and growth allocations over a full cycle. This is a more honest and more informative story for retail investors.</w:t>
      </w:r>
    </w:p>
    <w:p>
      <w:pPr>
        <w:spacing w:before="120" w:after="60" w:line="259" w:lineRule="auto"/>
      </w:pPr>
      <w:r>
        <w:rPr>
          <w:rFonts w:ascii="Arial" w:hAnsi="Arial" w:eastAsia="Arial"/>
          <w:b/>
          <w:sz w:val="22"/>
        </w:rPr>
        <w:t>8. Is momentum attractive for retail mutual fund investors?</w:t>
      </w:r>
    </w:p>
    <w:p>
      <w:pPr>
        <w:spacing w:after="80" w:line="259" w:lineRule="auto"/>
      </w:pPr>
      <w:r>
        <w:rPr>
          <w:rFonts w:ascii="Arial" w:hAnsi="Arial" w:eastAsia="Arial"/>
          <w:sz w:val="22"/>
        </w:rPr>
        <w:t>Yes, but only for the right type of retail investor. Momentum is attractive for advisor-led, relatively sophisticated investors who are willing to treat it as a satellite allocation and tolerate periods of severe underperformance. It is less attractive for unsophisticated investors seeking a simple core holding, because the strategy is hard to benchmark intuitively and vulnerable to sharp reversals. Momentum crashes are particularly dangerous in an open-end mutual fund, where poor recent performance can trigger redemptions exactly when patient capital would be most valuable. So the product is suitable for retail distribution, but not for mass-market framing. The ideal audience is investors who already understand factor investing and are looking to diversify style exposures rather than chase whichever factor recently performed best.</w:t>
      </w:r>
    </w:p>
    <w:p>
      <w:pPr>
        <w:spacing w:before="120" w:after="60" w:line="259" w:lineRule="auto"/>
      </w:pPr>
      <w:r>
        <w:rPr>
          <w:rFonts w:ascii="Arial" w:hAnsi="Arial" w:eastAsia="Arial"/>
          <w:b/>
          <w:sz w:val="22"/>
        </w:rPr>
        <w:t>9. How should AQR run the fund?</w:t>
      </w:r>
    </w:p>
    <w:p>
      <w:pPr>
        <w:spacing w:after="80" w:line="259" w:lineRule="auto"/>
      </w:pPr>
      <w:r>
        <w:rPr>
          <w:rFonts w:ascii="Arial" w:hAnsi="Arial" w:eastAsia="Arial"/>
          <w:sz w:val="22"/>
        </w:rPr>
        <w:t>AQR should put more weight on minimizing unnecessary implementation drag than on maximizing theoretical expected return. Quarterly rebalancing is a sensible baseline because it limits turnover while preserving exposure to the signal. Trading bands around inclusion cutoffs should be used to avoid high-cost swaps in boundary names where expected return differences are tiny. Execution can be staggered when liquidity is poor, and short-term reversal signals should be used mainly to improve trade timing rather than to alter the identity of the strategy. Tax management should be central, especially for taxable investors, because after-tax outcomes are likely to matter more than a small amount of gross alpha. In practice, the most relevant performance metrics are after-fee excess return versus the custom long-only benchmark, information ratio, tracking error, turnover, tax efficiency, and drawdown behavior in momentum-crash periods.</w:t>
      </w:r>
    </w:p>
    <w:p>
      <w:pPr>
        <w:spacing w:before="120" w:after="60" w:line="259" w:lineRule="auto"/>
      </w:pPr>
      <w:r>
        <w:rPr>
          <w:rFonts w:ascii="Arial" w:hAnsi="Arial" w:eastAsia="Arial"/>
          <w:b/>
          <w:sz w:val="22"/>
        </w:rPr>
        <w:t>Conclusion</w:t>
      </w:r>
    </w:p>
    <w:p>
      <w:pPr>
        <w:spacing w:after="80" w:line="259" w:lineRule="auto"/>
      </w:pPr>
      <w:r>
        <w:rPr>
          <w:rFonts w:ascii="Arial" w:hAnsi="Arial" w:eastAsia="Arial"/>
          <w:sz w:val="22"/>
        </w:rPr>
        <w:t>The strongest version of the recommendation is this: Launch, but only if AQR accepts that the product delivers style exposure, not the full alpha of academic momentum. That is the central lesson of both the case and the spreadsheet. The long-run anomaly is real, and AQR is better placed than most firms to package it in a retail vehicle. But the latest official data show that momentum's realized premium has become much weaker and noisier in the modern era, and the spreadsheet shows that the premium falls as one moves from extreme long-short sorts toward broader, more implementable portfolios. A disciplined launch therefore makes sense, but only with realistic expectations, appropriate benchmarks, and a sales message centered on long-only systematic style exposure rather than on a promise to bottle the full UMD factor for retail investors.</w:t>
      </w:r>
    </w:p>
    <w:p>
      <w:pPr>
        <w:spacing w:before="120" w:after="80"/>
      </w:pPr>
      <w:r>
        <w:rPr>
          <w:rFonts w:ascii="Arial" w:hAnsi="Arial" w:eastAsia="Arial"/>
          <w:b/>
          <w:sz w:val="22"/>
        </w:rPr>
        <w:t>Table 1. Average annual momentum returns by decade (1927-2008)</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rFonts w:ascii="Arial" w:hAnsi="Arial" w:eastAsia="Arial"/>
                <w:sz w:val="22"/>
              </w:rPr>
              <w:t>Decade</w:t>
            </w:r>
          </w:p>
        </w:tc>
        <w:tc>
          <w:tcPr>
            <w:tcW w:type="dxa" w:w="1987"/>
          </w:tcPr>
          <w:p>
            <w:r>
              <w:rPr>
                <w:rFonts w:ascii="Arial" w:hAnsi="Arial" w:eastAsia="Arial"/>
                <w:sz w:val="22"/>
              </w:rPr>
              <w:t>10-1</w:t>
            </w:r>
          </w:p>
        </w:tc>
        <w:tc>
          <w:tcPr>
            <w:tcW w:type="dxa" w:w="1987"/>
          </w:tcPr>
          <w:p>
            <w:r>
              <w:rPr>
                <w:rFonts w:ascii="Arial" w:hAnsi="Arial" w:eastAsia="Arial"/>
                <w:sz w:val="22"/>
              </w:rPr>
              <w:t>Quintile Spread</w:t>
            </w:r>
          </w:p>
        </w:tc>
        <w:tc>
          <w:tcPr>
            <w:tcW w:type="dxa" w:w="1987"/>
          </w:tcPr>
          <w:p>
            <w:r>
              <w:rPr>
                <w:rFonts w:ascii="Arial" w:hAnsi="Arial" w:eastAsia="Arial"/>
                <w:sz w:val="22"/>
              </w:rPr>
              <w:t>UMD</w:t>
            </w:r>
          </w:p>
        </w:tc>
        <w:tc>
          <w:tcPr>
            <w:tcW w:type="dxa" w:w="1987"/>
          </w:tcPr>
          <w:p>
            <w:r>
              <w:rPr>
                <w:rFonts w:ascii="Arial" w:hAnsi="Arial" w:eastAsia="Arial"/>
                <w:sz w:val="22"/>
              </w:rPr>
              <w:t>Median Spread</w:t>
            </w:r>
          </w:p>
        </w:tc>
      </w:tr>
      <w:tr>
        <w:tc>
          <w:tcPr>
            <w:tcW w:type="dxa" w:w="1987"/>
          </w:tcPr>
          <w:p>
            <w:r>
              <w:rPr>
                <w:rFonts w:ascii="Arial" w:hAnsi="Arial" w:eastAsia="Arial"/>
                <w:sz w:val="22"/>
              </w:rPr>
              <w:t>1920s*</w:t>
            </w:r>
          </w:p>
        </w:tc>
        <w:tc>
          <w:tcPr>
            <w:tcW w:type="dxa" w:w="1987"/>
          </w:tcPr>
          <w:p>
            <w:r>
              <w:rPr>
                <w:rFonts w:ascii="Arial" w:hAnsi="Arial" w:eastAsia="Arial"/>
                <w:sz w:val="22"/>
              </w:rPr>
              <w:t>50.43%</w:t>
            </w:r>
          </w:p>
        </w:tc>
        <w:tc>
          <w:tcPr>
            <w:tcW w:type="dxa" w:w="1987"/>
          </w:tcPr>
          <w:p>
            <w:r>
              <w:rPr>
                <w:rFonts w:ascii="Arial" w:hAnsi="Arial" w:eastAsia="Arial"/>
                <w:sz w:val="22"/>
              </w:rPr>
              <w:t>42.54%</w:t>
            </w:r>
          </w:p>
        </w:tc>
        <w:tc>
          <w:tcPr>
            <w:tcW w:type="dxa" w:w="1987"/>
          </w:tcPr>
          <w:p>
            <w:r>
              <w:rPr>
                <w:rFonts w:ascii="Arial" w:hAnsi="Arial" w:eastAsia="Arial"/>
                <w:sz w:val="22"/>
              </w:rPr>
              <w:t>23.88%</w:t>
            </w:r>
          </w:p>
        </w:tc>
        <w:tc>
          <w:tcPr>
            <w:tcW w:type="dxa" w:w="1987"/>
          </w:tcPr>
          <w:p>
            <w:r>
              <w:rPr>
                <w:rFonts w:ascii="Arial" w:hAnsi="Arial" w:eastAsia="Arial"/>
                <w:sz w:val="22"/>
              </w:rPr>
              <w:t>24.30%</w:t>
            </w:r>
          </w:p>
        </w:tc>
      </w:tr>
      <w:tr>
        <w:tc>
          <w:tcPr>
            <w:tcW w:type="dxa" w:w="1987"/>
          </w:tcPr>
          <w:p>
            <w:r>
              <w:rPr>
                <w:rFonts w:ascii="Arial" w:hAnsi="Arial" w:eastAsia="Arial"/>
                <w:sz w:val="22"/>
              </w:rPr>
              <w:t>1930s</w:t>
            </w:r>
          </w:p>
        </w:tc>
        <w:tc>
          <w:tcPr>
            <w:tcW w:type="dxa" w:w="1987"/>
          </w:tcPr>
          <w:p>
            <w:r>
              <w:rPr>
                <w:rFonts w:ascii="Arial" w:hAnsi="Arial" w:eastAsia="Arial"/>
                <w:sz w:val="22"/>
              </w:rPr>
              <w:t>10.18%</w:t>
            </w:r>
          </w:p>
        </w:tc>
        <w:tc>
          <w:tcPr>
            <w:tcW w:type="dxa" w:w="1987"/>
          </w:tcPr>
          <w:p>
            <w:r>
              <w:rPr>
                <w:rFonts w:ascii="Arial" w:hAnsi="Arial" w:eastAsia="Arial"/>
                <w:sz w:val="22"/>
              </w:rPr>
              <w:t>6.30%</w:t>
            </w:r>
          </w:p>
        </w:tc>
        <w:tc>
          <w:tcPr>
            <w:tcW w:type="dxa" w:w="1987"/>
          </w:tcPr>
          <w:p>
            <w:r>
              <w:rPr>
                <w:rFonts w:ascii="Arial" w:hAnsi="Arial" w:eastAsia="Arial"/>
                <w:sz w:val="22"/>
              </w:rPr>
              <w:t>9.51%</w:t>
            </w:r>
          </w:p>
        </w:tc>
        <w:tc>
          <w:tcPr>
            <w:tcW w:type="dxa" w:w="1987"/>
          </w:tcPr>
          <w:p>
            <w:r>
              <w:rPr>
                <w:rFonts w:ascii="Arial" w:hAnsi="Arial" w:eastAsia="Arial"/>
                <w:sz w:val="22"/>
              </w:rPr>
              <w:t>5.59%</w:t>
            </w:r>
          </w:p>
        </w:tc>
      </w:tr>
      <w:tr>
        <w:tc>
          <w:tcPr>
            <w:tcW w:type="dxa" w:w="1987"/>
          </w:tcPr>
          <w:p>
            <w:r>
              <w:rPr>
                <w:rFonts w:ascii="Arial" w:hAnsi="Arial" w:eastAsia="Arial"/>
                <w:sz w:val="22"/>
              </w:rPr>
              <w:t>1940s</w:t>
            </w:r>
          </w:p>
        </w:tc>
        <w:tc>
          <w:tcPr>
            <w:tcW w:type="dxa" w:w="1987"/>
          </w:tcPr>
          <w:p>
            <w:r>
              <w:rPr>
                <w:rFonts w:ascii="Arial" w:hAnsi="Arial" w:eastAsia="Arial"/>
                <w:sz w:val="22"/>
              </w:rPr>
              <w:t>12.14%</w:t>
            </w:r>
          </w:p>
        </w:tc>
        <w:tc>
          <w:tcPr>
            <w:tcW w:type="dxa" w:w="1987"/>
          </w:tcPr>
          <w:p>
            <w:r>
              <w:rPr>
                <w:rFonts w:ascii="Arial" w:hAnsi="Arial" w:eastAsia="Arial"/>
                <w:sz w:val="22"/>
              </w:rPr>
              <w:t>9.51%</w:t>
            </w:r>
          </w:p>
        </w:tc>
        <w:tc>
          <w:tcPr>
            <w:tcW w:type="dxa" w:w="1987"/>
          </w:tcPr>
          <w:p>
            <w:r>
              <w:rPr>
                <w:rFonts w:ascii="Arial" w:hAnsi="Arial" w:eastAsia="Arial"/>
                <w:sz w:val="22"/>
              </w:rPr>
              <w:t>7.02%</w:t>
            </w:r>
          </w:p>
        </w:tc>
        <w:tc>
          <w:tcPr>
            <w:tcW w:type="dxa" w:w="1987"/>
          </w:tcPr>
          <w:p>
            <w:r>
              <w:rPr>
                <w:rFonts w:ascii="Arial" w:hAnsi="Arial" w:eastAsia="Arial"/>
                <w:sz w:val="22"/>
              </w:rPr>
              <w:t>5.26%</w:t>
            </w:r>
          </w:p>
        </w:tc>
      </w:tr>
      <w:tr>
        <w:tc>
          <w:tcPr>
            <w:tcW w:type="dxa" w:w="1987"/>
          </w:tcPr>
          <w:p>
            <w:r>
              <w:rPr>
                <w:rFonts w:ascii="Arial" w:hAnsi="Arial" w:eastAsia="Arial"/>
                <w:sz w:val="22"/>
              </w:rPr>
              <w:t>1950s</w:t>
            </w:r>
          </w:p>
        </w:tc>
        <w:tc>
          <w:tcPr>
            <w:tcW w:type="dxa" w:w="1987"/>
          </w:tcPr>
          <w:p>
            <w:r>
              <w:rPr>
                <w:rFonts w:ascii="Arial" w:hAnsi="Arial" w:eastAsia="Arial"/>
                <w:sz w:val="22"/>
              </w:rPr>
              <w:t>16.22%</w:t>
            </w:r>
          </w:p>
        </w:tc>
        <w:tc>
          <w:tcPr>
            <w:tcW w:type="dxa" w:w="1987"/>
          </w:tcPr>
          <w:p>
            <w:r>
              <w:rPr>
                <w:rFonts w:ascii="Arial" w:hAnsi="Arial" w:eastAsia="Arial"/>
                <w:sz w:val="22"/>
              </w:rPr>
              <w:t>13.23%</w:t>
            </w:r>
          </w:p>
        </w:tc>
        <w:tc>
          <w:tcPr>
            <w:tcW w:type="dxa" w:w="1987"/>
          </w:tcPr>
          <w:p>
            <w:r>
              <w:rPr>
                <w:rFonts w:ascii="Arial" w:hAnsi="Arial" w:eastAsia="Arial"/>
                <w:sz w:val="22"/>
              </w:rPr>
              <w:t>11.53%</w:t>
            </w:r>
          </w:p>
        </w:tc>
        <w:tc>
          <w:tcPr>
            <w:tcW w:type="dxa" w:w="1987"/>
          </w:tcPr>
          <w:p>
            <w:r>
              <w:rPr>
                <w:rFonts w:ascii="Arial" w:hAnsi="Arial" w:eastAsia="Arial"/>
                <w:sz w:val="22"/>
              </w:rPr>
              <w:t>8.17%</w:t>
            </w:r>
          </w:p>
        </w:tc>
      </w:tr>
      <w:tr>
        <w:tc>
          <w:tcPr>
            <w:tcW w:type="dxa" w:w="1987"/>
          </w:tcPr>
          <w:p>
            <w:r>
              <w:rPr>
                <w:rFonts w:ascii="Arial" w:hAnsi="Arial" w:eastAsia="Arial"/>
                <w:sz w:val="22"/>
              </w:rPr>
              <w:t>1960s</w:t>
            </w:r>
          </w:p>
        </w:tc>
        <w:tc>
          <w:tcPr>
            <w:tcW w:type="dxa" w:w="1987"/>
          </w:tcPr>
          <w:p>
            <w:r>
              <w:rPr>
                <w:rFonts w:ascii="Arial" w:hAnsi="Arial" w:eastAsia="Arial"/>
                <w:sz w:val="22"/>
              </w:rPr>
              <w:t>19.36%</w:t>
            </w:r>
          </w:p>
        </w:tc>
        <w:tc>
          <w:tcPr>
            <w:tcW w:type="dxa" w:w="1987"/>
          </w:tcPr>
          <w:p>
            <w:r>
              <w:rPr>
                <w:rFonts w:ascii="Arial" w:hAnsi="Arial" w:eastAsia="Arial"/>
                <w:sz w:val="22"/>
              </w:rPr>
              <w:t>14.72%</w:t>
            </w:r>
          </w:p>
        </w:tc>
        <w:tc>
          <w:tcPr>
            <w:tcW w:type="dxa" w:w="1987"/>
          </w:tcPr>
          <w:p>
            <w:r>
              <w:rPr>
                <w:rFonts w:ascii="Arial" w:hAnsi="Arial" w:eastAsia="Arial"/>
                <w:sz w:val="22"/>
              </w:rPr>
              <w:t>12.20%</w:t>
            </w:r>
          </w:p>
        </w:tc>
        <w:tc>
          <w:tcPr>
            <w:tcW w:type="dxa" w:w="1987"/>
          </w:tcPr>
          <w:p>
            <w:r>
              <w:rPr>
                <w:rFonts w:ascii="Arial" w:hAnsi="Arial" w:eastAsia="Arial"/>
                <w:sz w:val="22"/>
              </w:rPr>
              <w:t>7.46%</w:t>
            </w:r>
          </w:p>
        </w:tc>
      </w:tr>
      <w:tr>
        <w:tc>
          <w:tcPr>
            <w:tcW w:type="dxa" w:w="1987"/>
          </w:tcPr>
          <w:p>
            <w:r>
              <w:rPr>
                <w:rFonts w:ascii="Arial" w:hAnsi="Arial" w:eastAsia="Arial"/>
                <w:sz w:val="22"/>
              </w:rPr>
              <w:t>1970s</w:t>
            </w:r>
          </w:p>
        </w:tc>
        <w:tc>
          <w:tcPr>
            <w:tcW w:type="dxa" w:w="1987"/>
          </w:tcPr>
          <w:p>
            <w:r>
              <w:rPr>
                <w:rFonts w:ascii="Arial" w:hAnsi="Arial" w:eastAsia="Arial"/>
                <w:sz w:val="22"/>
              </w:rPr>
              <w:t>22.76%</w:t>
            </w:r>
          </w:p>
        </w:tc>
        <w:tc>
          <w:tcPr>
            <w:tcW w:type="dxa" w:w="1987"/>
          </w:tcPr>
          <w:p>
            <w:r>
              <w:rPr>
                <w:rFonts w:ascii="Arial" w:hAnsi="Arial" w:eastAsia="Arial"/>
                <w:sz w:val="22"/>
              </w:rPr>
              <w:t>16.97%</w:t>
            </w:r>
          </w:p>
        </w:tc>
        <w:tc>
          <w:tcPr>
            <w:tcW w:type="dxa" w:w="1987"/>
          </w:tcPr>
          <w:p>
            <w:r>
              <w:rPr>
                <w:rFonts w:ascii="Arial" w:hAnsi="Arial" w:eastAsia="Arial"/>
                <w:sz w:val="22"/>
              </w:rPr>
              <w:t>9.84%</w:t>
            </w:r>
          </w:p>
        </w:tc>
        <w:tc>
          <w:tcPr>
            <w:tcW w:type="dxa" w:w="1987"/>
          </w:tcPr>
          <w:p>
            <w:r>
              <w:rPr>
                <w:rFonts w:ascii="Arial" w:hAnsi="Arial" w:eastAsia="Arial"/>
                <w:sz w:val="22"/>
              </w:rPr>
              <w:t>8.01%</w:t>
            </w:r>
          </w:p>
        </w:tc>
      </w:tr>
      <w:tr>
        <w:tc>
          <w:tcPr>
            <w:tcW w:type="dxa" w:w="1987"/>
          </w:tcPr>
          <w:p>
            <w:r>
              <w:rPr>
                <w:rFonts w:ascii="Arial" w:hAnsi="Arial" w:eastAsia="Arial"/>
                <w:sz w:val="22"/>
              </w:rPr>
              <w:t>1980s</w:t>
            </w:r>
          </w:p>
        </w:tc>
        <w:tc>
          <w:tcPr>
            <w:tcW w:type="dxa" w:w="1987"/>
          </w:tcPr>
          <w:p>
            <w:r>
              <w:rPr>
                <w:rFonts w:ascii="Arial" w:hAnsi="Arial" w:eastAsia="Arial"/>
                <w:sz w:val="22"/>
              </w:rPr>
              <w:t>16.56%</w:t>
            </w:r>
          </w:p>
        </w:tc>
        <w:tc>
          <w:tcPr>
            <w:tcW w:type="dxa" w:w="1987"/>
          </w:tcPr>
          <w:p>
            <w:r>
              <w:rPr>
                <w:rFonts w:ascii="Arial" w:hAnsi="Arial" w:eastAsia="Arial"/>
                <w:sz w:val="22"/>
              </w:rPr>
              <w:t>11.65%</w:t>
            </w:r>
          </w:p>
        </w:tc>
        <w:tc>
          <w:tcPr>
            <w:tcW w:type="dxa" w:w="1987"/>
          </w:tcPr>
          <w:p>
            <w:r>
              <w:rPr>
                <w:rFonts w:ascii="Arial" w:hAnsi="Arial" w:eastAsia="Arial"/>
                <w:sz w:val="22"/>
              </w:rPr>
              <w:t>10.43%</w:t>
            </w:r>
          </w:p>
        </w:tc>
        <w:tc>
          <w:tcPr>
            <w:tcW w:type="dxa" w:w="1987"/>
          </w:tcPr>
          <w:p>
            <w:r>
              <w:rPr>
                <w:rFonts w:ascii="Arial" w:hAnsi="Arial" w:eastAsia="Arial"/>
                <w:sz w:val="22"/>
              </w:rPr>
              <w:t>5.39%</w:t>
            </w:r>
          </w:p>
        </w:tc>
      </w:tr>
      <w:tr>
        <w:tc>
          <w:tcPr>
            <w:tcW w:type="dxa" w:w="1987"/>
          </w:tcPr>
          <w:p>
            <w:r>
              <w:rPr>
                <w:rFonts w:ascii="Arial" w:hAnsi="Arial" w:eastAsia="Arial"/>
                <w:sz w:val="22"/>
              </w:rPr>
              <w:t>1990s</w:t>
            </w:r>
          </w:p>
        </w:tc>
        <w:tc>
          <w:tcPr>
            <w:tcW w:type="dxa" w:w="1987"/>
          </w:tcPr>
          <w:p>
            <w:r>
              <w:rPr>
                <w:rFonts w:ascii="Arial" w:hAnsi="Arial" w:eastAsia="Arial"/>
                <w:sz w:val="22"/>
              </w:rPr>
              <w:t>27.04%</w:t>
            </w:r>
          </w:p>
        </w:tc>
        <w:tc>
          <w:tcPr>
            <w:tcW w:type="dxa" w:w="1987"/>
          </w:tcPr>
          <w:p>
            <w:r>
              <w:rPr>
                <w:rFonts w:ascii="Arial" w:hAnsi="Arial" w:eastAsia="Arial"/>
                <w:sz w:val="22"/>
              </w:rPr>
              <w:t>16.46%</w:t>
            </w:r>
          </w:p>
        </w:tc>
        <w:tc>
          <w:tcPr>
            <w:tcW w:type="dxa" w:w="1987"/>
          </w:tcPr>
          <w:p>
            <w:r>
              <w:rPr>
                <w:rFonts w:ascii="Arial" w:hAnsi="Arial" w:eastAsia="Arial"/>
                <w:sz w:val="22"/>
              </w:rPr>
              <w:t>15.62%</w:t>
            </w:r>
          </w:p>
        </w:tc>
        <w:tc>
          <w:tcPr>
            <w:tcW w:type="dxa" w:w="1987"/>
          </w:tcPr>
          <w:p>
            <w:r>
              <w:rPr>
                <w:rFonts w:ascii="Arial" w:hAnsi="Arial" w:eastAsia="Arial"/>
                <w:sz w:val="22"/>
              </w:rPr>
              <w:t>9.26%</w:t>
            </w:r>
          </w:p>
        </w:tc>
      </w:tr>
      <w:tr>
        <w:tc>
          <w:tcPr>
            <w:tcW w:type="dxa" w:w="1987"/>
          </w:tcPr>
          <w:p>
            <w:r>
              <w:rPr>
                <w:rFonts w:ascii="Arial" w:hAnsi="Arial" w:eastAsia="Arial"/>
                <w:sz w:val="22"/>
              </w:rPr>
              <w:t>2000s</w:t>
            </w:r>
          </w:p>
        </w:tc>
        <w:tc>
          <w:tcPr>
            <w:tcW w:type="dxa" w:w="1987"/>
          </w:tcPr>
          <w:p>
            <w:r>
              <w:rPr>
                <w:rFonts w:ascii="Arial" w:hAnsi="Arial" w:eastAsia="Arial"/>
                <w:sz w:val="22"/>
              </w:rPr>
              <w:t>9.04%</w:t>
            </w:r>
          </w:p>
        </w:tc>
        <w:tc>
          <w:tcPr>
            <w:tcW w:type="dxa" w:w="1987"/>
          </w:tcPr>
          <w:p>
            <w:r>
              <w:rPr>
                <w:rFonts w:ascii="Arial" w:hAnsi="Arial" w:eastAsia="Arial"/>
                <w:sz w:val="22"/>
              </w:rPr>
              <w:t>5.90%</w:t>
            </w:r>
          </w:p>
        </w:tc>
        <w:tc>
          <w:tcPr>
            <w:tcW w:type="dxa" w:w="1987"/>
          </w:tcPr>
          <w:p>
            <w:r>
              <w:rPr>
                <w:rFonts w:ascii="Arial" w:hAnsi="Arial" w:eastAsia="Arial"/>
                <w:sz w:val="22"/>
              </w:rPr>
              <w:t>6.97%</w:t>
            </w:r>
          </w:p>
        </w:tc>
        <w:tc>
          <w:tcPr>
            <w:tcW w:type="dxa" w:w="1987"/>
          </w:tcPr>
          <w:p>
            <w:r>
              <w:rPr>
                <w:rFonts w:ascii="Arial" w:hAnsi="Arial" w:eastAsia="Arial"/>
                <w:sz w:val="22"/>
              </w:rPr>
              <w:t>3.35%</w:t>
            </w:r>
          </w:p>
        </w:tc>
      </w:tr>
    </w:tbl>
    <w:p>
      <w:pPr>
        <w:spacing w:after="80" w:line="252" w:lineRule="auto"/>
      </w:pPr>
      <w:r>
        <w:rPr>
          <w:rFonts w:ascii="Arial" w:hAnsi="Arial" w:eastAsia="Arial"/>
          <w:sz w:val="22"/>
        </w:rPr>
        <w:t>* 1920s contains only 1927-1929 data. The monotonic drop from 10-1 to the median spread captures the core case insight: stronger signal extraction raises historical returns, but lower-concentration, more implementable portfolios are the better guide for a retail mutual fund.</w:t>
      </w:r>
    </w:p>
    <w:p>
      <w:pPr>
        <w:spacing w:before="120" w:after="80"/>
      </w:pPr>
      <w:r>
        <w:rPr>
          <w:rFonts w:ascii="Arial" w:hAnsi="Arial" w:eastAsia="Arial"/>
          <w:b/>
          <w:sz w:val="22"/>
        </w:rPr>
        <w:t>Table 2. Recent official UMD annual returns (2016-2025)</w:t>
      </w:r>
    </w:p>
    <w:tbl>
      <w:tblPr>
        <w:tblStyle w:val="TableGrid"/>
        <w:tblW w:type="auto" w:w="0"/>
        <w:tblLook w:firstColumn="1" w:firstRow="1" w:lastColumn="0" w:lastRow="0" w:noHBand="0" w:noVBand="1" w:val="04A0"/>
      </w:tblPr>
      <w:tblGrid>
        <w:gridCol w:w="4968"/>
        <w:gridCol w:w="4968"/>
      </w:tblGrid>
      <w:tr>
        <w:tc>
          <w:tcPr>
            <w:tcW w:type="dxa" w:w="4968"/>
          </w:tcPr>
          <w:p>
            <w:r>
              <w:rPr>
                <w:rFonts w:ascii="Arial" w:hAnsi="Arial" w:eastAsia="Arial"/>
                <w:sz w:val="22"/>
              </w:rPr>
              <w:t>Year</w:t>
            </w:r>
          </w:p>
        </w:tc>
        <w:tc>
          <w:tcPr>
            <w:tcW w:type="dxa" w:w="4968"/>
          </w:tcPr>
          <w:p>
            <w:r>
              <w:rPr>
                <w:rFonts w:ascii="Arial" w:hAnsi="Arial" w:eastAsia="Arial"/>
                <w:sz w:val="22"/>
              </w:rPr>
              <w:t>UMD Return</w:t>
            </w:r>
          </w:p>
        </w:tc>
      </w:tr>
      <w:tr>
        <w:tc>
          <w:tcPr>
            <w:tcW w:type="dxa" w:w="4968"/>
          </w:tcPr>
          <w:p>
            <w:r>
              <w:rPr>
                <w:rFonts w:ascii="Arial" w:hAnsi="Arial" w:eastAsia="Arial"/>
                <w:sz w:val="22"/>
              </w:rPr>
              <w:t>2016</w:t>
            </w:r>
          </w:p>
        </w:tc>
        <w:tc>
          <w:tcPr>
            <w:tcW w:type="dxa" w:w="4968"/>
          </w:tcPr>
          <w:p>
            <w:r>
              <w:rPr>
                <w:rFonts w:ascii="Arial" w:hAnsi="Arial" w:eastAsia="Arial"/>
                <w:sz w:val="22"/>
              </w:rPr>
              <w:t>-20.91%</w:t>
            </w:r>
          </w:p>
        </w:tc>
      </w:tr>
      <w:tr>
        <w:tc>
          <w:tcPr>
            <w:tcW w:type="dxa" w:w="4968"/>
          </w:tcPr>
          <w:p>
            <w:r>
              <w:rPr>
                <w:rFonts w:ascii="Arial" w:hAnsi="Arial" w:eastAsia="Arial"/>
                <w:sz w:val="22"/>
              </w:rPr>
              <w:t>2017</w:t>
            </w:r>
          </w:p>
        </w:tc>
        <w:tc>
          <w:tcPr>
            <w:tcW w:type="dxa" w:w="4968"/>
          </w:tcPr>
          <w:p>
            <w:r>
              <w:rPr>
                <w:rFonts w:ascii="Arial" w:hAnsi="Arial" w:eastAsia="Arial"/>
                <w:sz w:val="22"/>
              </w:rPr>
              <w:t>4.65%</w:t>
            </w:r>
          </w:p>
        </w:tc>
      </w:tr>
      <w:tr>
        <w:tc>
          <w:tcPr>
            <w:tcW w:type="dxa" w:w="4968"/>
          </w:tcPr>
          <w:p>
            <w:r>
              <w:rPr>
                <w:rFonts w:ascii="Arial" w:hAnsi="Arial" w:eastAsia="Arial"/>
                <w:sz w:val="22"/>
              </w:rPr>
              <w:t>2018</w:t>
            </w:r>
          </w:p>
        </w:tc>
        <w:tc>
          <w:tcPr>
            <w:tcW w:type="dxa" w:w="4968"/>
          </w:tcPr>
          <w:p>
            <w:r>
              <w:rPr>
                <w:rFonts w:ascii="Arial" w:hAnsi="Arial" w:eastAsia="Arial"/>
                <w:sz w:val="22"/>
              </w:rPr>
              <w:t>9.58%</w:t>
            </w:r>
          </w:p>
        </w:tc>
      </w:tr>
      <w:tr>
        <w:tc>
          <w:tcPr>
            <w:tcW w:type="dxa" w:w="4968"/>
          </w:tcPr>
          <w:p>
            <w:r>
              <w:rPr>
                <w:rFonts w:ascii="Arial" w:hAnsi="Arial" w:eastAsia="Arial"/>
                <w:sz w:val="22"/>
              </w:rPr>
              <w:t>2019</w:t>
            </w:r>
          </w:p>
        </w:tc>
        <w:tc>
          <w:tcPr>
            <w:tcW w:type="dxa" w:w="4968"/>
          </w:tcPr>
          <w:p>
            <w:r>
              <w:rPr>
                <w:rFonts w:ascii="Arial" w:hAnsi="Arial" w:eastAsia="Arial"/>
                <w:sz w:val="22"/>
              </w:rPr>
              <w:t>-2.36%</w:t>
            </w:r>
          </w:p>
        </w:tc>
      </w:tr>
      <w:tr>
        <w:tc>
          <w:tcPr>
            <w:tcW w:type="dxa" w:w="4968"/>
          </w:tcPr>
          <w:p>
            <w:r>
              <w:rPr>
                <w:rFonts w:ascii="Arial" w:hAnsi="Arial" w:eastAsia="Arial"/>
                <w:sz w:val="22"/>
              </w:rPr>
              <w:t>2020</w:t>
            </w:r>
          </w:p>
        </w:tc>
        <w:tc>
          <w:tcPr>
            <w:tcW w:type="dxa" w:w="4968"/>
          </w:tcPr>
          <w:p>
            <w:r>
              <w:rPr>
                <w:rFonts w:ascii="Arial" w:hAnsi="Arial" w:eastAsia="Arial"/>
                <w:sz w:val="22"/>
              </w:rPr>
              <w:t>7.44%</w:t>
            </w:r>
          </w:p>
        </w:tc>
      </w:tr>
      <w:tr>
        <w:tc>
          <w:tcPr>
            <w:tcW w:type="dxa" w:w="4968"/>
          </w:tcPr>
          <w:p>
            <w:r>
              <w:rPr>
                <w:rFonts w:ascii="Arial" w:hAnsi="Arial" w:eastAsia="Arial"/>
                <w:sz w:val="22"/>
              </w:rPr>
              <w:t>2021</w:t>
            </w:r>
          </w:p>
        </w:tc>
        <w:tc>
          <w:tcPr>
            <w:tcW w:type="dxa" w:w="4968"/>
          </w:tcPr>
          <w:p>
            <w:r>
              <w:rPr>
                <w:rFonts w:ascii="Arial" w:hAnsi="Arial" w:eastAsia="Arial"/>
                <w:sz w:val="22"/>
              </w:rPr>
              <w:t>-2.33%</w:t>
            </w:r>
          </w:p>
        </w:tc>
      </w:tr>
      <w:tr>
        <w:tc>
          <w:tcPr>
            <w:tcW w:type="dxa" w:w="4968"/>
          </w:tcPr>
          <w:p>
            <w:r>
              <w:rPr>
                <w:rFonts w:ascii="Arial" w:hAnsi="Arial" w:eastAsia="Arial"/>
                <w:sz w:val="22"/>
              </w:rPr>
              <w:t>2022</w:t>
            </w:r>
          </w:p>
        </w:tc>
        <w:tc>
          <w:tcPr>
            <w:tcW w:type="dxa" w:w="4968"/>
          </w:tcPr>
          <w:p>
            <w:r>
              <w:rPr>
                <w:rFonts w:ascii="Arial" w:hAnsi="Arial" w:eastAsia="Arial"/>
                <w:sz w:val="22"/>
              </w:rPr>
              <w:t>15.97%</w:t>
            </w:r>
          </w:p>
        </w:tc>
      </w:tr>
      <w:tr>
        <w:tc>
          <w:tcPr>
            <w:tcW w:type="dxa" w:w="4968"/>
          </w:tcPr>
          <w:p>
            <w:r>
              <w:rPr>
                <w:rFonts w:ascii="Arial" w:hAnsi="Arial" w:eastAsia="Arial"/>
                <w:sz w:val="22"/>
              </w:rPr>
              <w:t>2023</w:t>
            </w:r>
          </w:p>
        </w:tc>
        <w:tc>
          <w:tcPr>
            <w:tcW w:type="dxa" w:w="4968"/>
          </w:tcPr>
          <w:p>
            <w:r>
              <w:rPr>
                <w:rFonts w:ascii="Arial" w:hAnsi="Arial" w:eastAsia="Arial"/>
                <w:sz w:val="22"/>
              </w:rPr>
              <w:t>-24.49%</w:t>
            </w:r>
          </w:p>
        </w:tc>
      </w:tr>
      <w:tr>
        <w:tc>
          <w:tcPr>
            <w:tcW w:type="dxa" w:w="4968"/>
          </w:tcPr>
          <w:p>
            <w:r>
              <w:rPr>
                <w:rFonts w:ascii="Arial" w:hAnsi="Arial" w:eastAsia="Arial"/>
                <w:sz w:val="22"/>
              </w:rPr>
              <w:t>2024</w:t>
            </w:r>
          </w:p>
        </w:tc>
        <w:tc>
          <w:tcPr>
            <w:tcW w:type="dxa" w:w="4968"/>
          </w:tcPr>
          <w:p>
            <w:r>
              <w:rPr>
                <w:rFonts w:ascii="Arial" w:hAnsi="Arial" w:eastAsia="Arial"/>
                <w:sz w:val="22"/>
              </w:rPr>
              <w:t>17.95%</w:t>
            </w:r>
          </w:p>
        </w:tc>
      </w:tr>
      <w:tr>
        <w:tc>
          <w:tcPr>
            <w:tcW w:type="dxa" w:w="4968"/>
          </w:tcPr>
          <w:p>
            <w:r>
              <w:rPr>
                <w:rFonts w:ascii="Arial" w:hAnsi="Arial" w:eastAsia="Arial"/>
                <w:sz w:val="22"/>
              </w:rPr>
              <w:t>2025</w:t>
            </w:r>
          </w:p>
        </w:tc>
        <w:tc>
          <w:tcPr>
            <w:tcW w:type="dxa" w:w="4968"/>
          </w:tcPr>
          <w:p>
            <w:r>
              <w:rPr>
                <w:rFonts w:ascii="Arial" w:hAnsi="Arial" w:eastAsia="Arial"/>
                <w:sz w:val="22"/>
              </w:rPr>
              <w:t>-2.48%</w:t>
            </w:r>
          </w:p>
        </w:tc>
      </w:tr>
    </w:tbl>
    <w:p>
      <w:pPr>
        <w:spacing w:after="80" w:line="252" w:lineRule="auto"/>
      </w:pPr>
      <w:r>
        <w:rPr>
          <w:rFonts w:ascii="Arial" w:hAnsi="Arial" w:eastAsia="Arial"/>
          <w:sz w:val="22"/>
        </w:rPr>
        <w:t>Interpretation: the recent sample is weak and volatile, but not strong enough to justify declaring momentum dead. It is better interpreted as evidence that forward-looking returns are likely to be lower and noisier than the long-run historical average, while still plausibly positive in expectation.</w:t>
      </w:r>
    </w:p>
    <w:p>
      <w:pPr>
        <w:spacing w:before="120" w:after="40"/>
      </w:pPr>
      <w:r>
        <w:rPr>
          <w:rFonts w:ascii="Arial" w:hAnsi="Arial" w:eastAsia="Arial"/>
          <w:b/>
          <w:sz w:val="22"/>
        </w:rPr>
        <w:t>Sources</w:t>
      </w:r>
    </w:p>
    <w:p>
      <w:pPr>
        <w:spacing w:after="20"/>
        <w:ind w:left="288"/>
      </w:pPr>
      <w:r>
        <w:rPr>
          <w:rFonts w:ascii="Arial" w:hAnsi="Arial" w:eastAsia="Arial"/>
          <w:sz w:val="22"/>
        </w:rPr>
        <w:t>• Harvard Business School case: AQR's Momentum Funds (A) and spreadsheet supplement.</w:t>
      </w:r>
    </w:p>
    <w:p>
      <w:pPr>
        <w:spacing w:after="20"/>
        <w:ind w:left="288"/>
      </w:pPr>
      <w:r>
        <w:rPr>
          <w:rFonts w:ascii="Arial" w:hAnsi="Arial" w:eastAsia="Arial"/>
          <w:sz w:val="22"/>
        </w:rPr>
        <w:t>• Kenneth French Data Library, Momentum Factor (Mom/UMD), accessed April 28, 2026; annual series through 2025 and monthly series through February 2026.</w:t>
      </w:r>
    </w:p>
    <w:p>
      <w:pPr>
        <w:spacing w:after="20"/>
        <w:ind w:left="288"/>
      </w:pPr>
      <w:r>
        <w:rPr>
          <w:rFonts w:ascii="Arial" w:hAnsi="Arial" w:eastAsia="Arial"/>
          <w:sz w:val="22"/>
        </w:rPr>
        <w:t>• Jegadeesh and Titman (1993), Moskowitz and Grinblatt (1999), Asness (1995), and Asness et al. (2013) for supporting academic context.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