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3D"/>
          <w:sz w:val="36"/>
        </w:rPr>
        <w:t>Florestia — Lógica de Negócios e Pontos de Ajuste Imediato</w:t>
      </w:r>
    </w:p>
    <w:p>
      <w:pPr>
        <w:jc w:val="center"/>
      </w:pPr>
      <w:r>
        <w:rPr>
          <w:i/>
          <w:color w:val="5A5A5A"/>
          <w:sz w:val="22"/>
        </w:rPr>
        <w:t>Síntese para validação com a liderança técnica e alinhamento da apresentação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EAF4EF"/>
          </w:tcPr>
          <w:p>
            <w:r>
              <w:rPr>
                <w:b/>
                <w:color w:val="1F4E3D"/>
                <w:sz w:val="22"/>
              </w:rPr>
              <w:t>Premissa central</w:t>
            </w:r>
          </w:p>
          <w:p>
            <w:pPr>
              <w:spacing w:after="0"/>
            </w:pPr>
            <w:r>
              <w:t>O responsável pela lógica de negócios deve chegar com uma posição estruturada, não apenas com dúvidas. O líder técnico entra para validar se aquilo é executável tecnicamente ou se precisa de ajuste.</w:t>
            </w:r>
          </w:p>
        </w:tc>
      </w:tr>
    </w:tbl>
    <w:p>
      <w:pPr>
        <w:pStyle w:val="Heading1"/>
      </w:pPr>
      <w:r>
        <w:t>1. Enquadramento correto</w:t>
      </w:r>
    </w:p>
    <w:p>
      <w:r>
        <w:t>A frente de negócios deve apresentar uma tese clara: o Florestia não deve ser defendido apenas como um jogo, nem como uma startup tradicional. A recomendação é posicioná-lo como um recurso educacional gamificado complementar à aula, com potencial de tecnologia social educacional.</w:t>
      </w:r>
    </w:p>
    <w:p>
      <w:r>
        <w:t>Na lógica comercial, o projeto deve ser lido como uma solução financiável institucionalmente. Ou seja: a criança usa, a professora aplica, a escola e a comunidade se beneficiam, e uma instituição pode financiar a continuidade.</w:t>
      </w:r>
    </w:p>
    <w:p>
      <w:r>
        <w:t>Esse enquadramento mantém coerência com o escopo real do Amazon Hacking/CESUPA e, ao mesmo tempo, atende à exigência de apresentar uma lógica de mercado e sustentabilidade.</w:t>
      </w:r>
    </w:p>
    <w:p>
      <w:pPr>
        <w:pStyle w:val="Heading1"/>
      </w:pPr>
      <w:r>
        <w:t>2. Os 15 pontos de ajuste imediato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F4E3D"/>
            <w:vAlign w:val="top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2448"/>
            <w:shd w:fill="1F4E3D"/>
            <w:vAlign w:val="top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1584"/>
            <w:shd w:fill="1F4E3D"/>
            <w:vAlign w:val="top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048"/>
            <w:shd w:fill="1F4E3D"/>
            <w:vAlign w:val="top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Recomendação de negócios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Posicionamento do Florestia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Defender como recurso educacional gamificado complementar, não apenas como jogo e não como startup tradicional.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Público-alvo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Padronizar em todos os materiais: crianças de 8 a 11 anos da Vila Jutaí. Remover qualquer menção a 6 a 14 anos.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Canal principal de uso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Aplicação prioritária em sala de aula, com mediação da professora. Uso em casa pode existir, mas não deve ser o foco da apresentação.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Papel da professora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Professora como mediadora pedagógica, aplicadora e validadora. O jogo não substitui a aula; apoia a aula.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Problema central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Manter a dor: a matemática escolar não se conecta com a realidade cotidiana e econômica da Vila Jutaí.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Proposta de valor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Usar a ideia: o Florestia transforma a agricultura familiar amazônica em uma experiência gamificada de aprendizagem matemática.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Diferencial competitivo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Defender três diferenciais: contexto amazônico real, matemática aplicada à decisão e uso escolar/offline mediado pela professora.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Usuário, beneficiário e financiador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Separar claramente: criança usa, professora aplica, escola/comunidade se beneficiam, instituições podem financiar.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Modelo comercial</w:t>
            </w:r>
          </w:p>
        </w:tc>
        <w:tc>
          <w:tcPr>
            <w:tcW w:type="dxa" w:w="1584"/>
            <w:vAlign w:val="top"/>
            <w:shd w:fill="EAF4EF"/>
          </w:tcPr>
          <w:p>
            <w:r/>
            <w:r>
              <w:rPr>
                <w:b w:val="0"/>
                <w:sz w:val="18"/>
              </w:rPr>
              <w:t>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Não vender como B2C. Defender como solução financiável institucionalmente, via CESUPA, editais, secretaria, prefeitura, fundações ou ESG.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ODS</w:t>
            </w:r>
          </w:p>
        </w:tc>
        <w:tc>
          <w:tcPr>
            <w:tcW w:type="dxa" w:w="1584"/>
            <w:vAlign w:val="top"/>
            <w:shd w:fill="FCE4D6"/>
          </w:tcPr>
          <w:p>
            <w:r/>
            <w:r>
              <w:rPr>
                <w:b w:val="0"/>
                <w:sz w:val="18"/>
              </w:rPr>
              <w:t>Fechado com ajuste de linguagem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ODS 4 como impacto direto; ODS 1 como contribuição indireta. Não prometer redução de pobreza, mas formação inicial de decisão econômica.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Conceitos matemáticos prioritários</w:t>
            </w:r>
          </w:p>
        </w:tc>
        <w:tc>
          <w:tcPr>
            <w:tcW w:type="dxa" w:w="1584"/>
            <w:vAlign w:val="top"/>
            <w:shd w:fill="FFF2CC"/>
          </w:tcPr>
          <w:p>
            <w:r/>
            <w:r>
              <w:rPr>
                <w:b w:val="0"/>
                <w:sz w:val="18"/>
              </w:rPr>
              <w:t>Parcialmente 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Defender custo, preço/receita e sobra/lucro simples. Validar com a parte pedagógica/técnica se isso está dentro do MVP.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Pacote de entrega</w:t>
            </w:r>
          </w:p>
        </w:tc>
        <w:tc>
          <w:tcPr>
            <w:tcW w:type="dxa" w:w="1584"/>
            <w:vAlign w:val="top"/>
            <w:shd w:fill="FFF2CC"/>
          </w:tcPr>
          <w:p>
            <w:r/>
            <w:r>
              <w:rPr>
                <w:b w:val="0"/>
                <w:sz w:val="18"/>
              </w:rPr>
              <w:t>Parcialmente 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Não apresentar só o jogo. Apresentar como pacote: jogo + roteiro de aplicação + apoio à professora + avaliação simples + feedback. Validar se todos serão entregues.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Medição de impacto</w:t>
            </w:r>
          </w:p>
        </w:tc>
        <w:tc>
          <w:tcPr>
            <w:tcW w:type="dxa" w:w="1584"/>
            <w:vAlign w:val="top"/>
            <w:shd w:fill="FFF2CC"/>
          </w:tcPr>
          <w:p>
            <w:r/>
            <w:r>
              <w:rPr>
                <w:b w:val="0"/>
                <w:sz w:val="18"/>
              </w:rPr>
              <w:t>Parcialmente fechado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Defender pré-teste, uso mediado e pós-teste. Indicadores automáticos só devem ser prometidos se o técnico confirmar.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Plataforma e funcionamento offline</w:t>
            </w:r>
          </w:p>
        </w:tc>
        <w:tc>
          <w:tcPr>
            <w:tcW w:type="dxa" w:w="1584"/>
            <w:vAlign w:val="top"/>
            <w:shd w:fill="FCE4D6"/>
          </w:tcPr>
          <w:p>
            <w:r/>
            <w:r>
              <w:rPr>
                <w:b w:val="0"/>
                <w:sz w:val="18"/>
              </w:rPr>
              <w:t>Depende do líder técnico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Não cravar PC, Chromebook ou Android sem validação. Comercialmente, o ideal é: MVP leve, preferencialmente offline, para uso nos dispositivos da escola.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Escopo real do MVP</w:t>
            </w:r>
          </w:p>
        </w:tc>
        <w:tc>
          <w:tcPr>
            <w:tcW w:type="dxa" w:w="1584"/>
            <w:vAlign w:val="top"/>
            <w:shd w:fill="FCE4D6"/>
          </w:tcPr>
          <w:p>
            <w:r/>
            <w:r>
              <w:rPr>
                <w:b w:val="0"/>
                <w:sz w:val="18"/>
              </w:rPr>
              <w:t>Depende do líder técnico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Validar quais mecânicas estarão prontas: plantio, colheita, venda, precificação, compradores, resumo financeiro e indicadores.</w:t>
            </w:r>
          </w:p>
        </w:tc>
      </w:tr>
    </w:tbl>
    <w:p>
      <w:pPr>
        <w:pStyle w:val="Heading1"/>
      </w:pPr>
      <w:r>
        <w:t>3. O que já pode ser levado como decisão da frente de negócios</w:t>
      </w:r>
    </w:p>
    <w:p>
      <w:pPr>
        <w:pStyle w:val="Heading2"/>
      </w:pPr>
      <w:r>
        <w:t>1. O Florestia deve ser vendido como recurso pedagógico gamificado</w:t>
      </w:r>
    </w:p>
    <w:p>
      <w:r>
        <w:t>Não como apenas jogo. Para a lógica comercial, o melhor termo é: recurso educacional gamificado de matemática aplicada. Esse termo comunica melhor valor pedagógico, aplicação escolar e potencial institucional.</w:t>
      </w:r>
    </w:p>
    <w:p>
      <w:pPr>
        <w:pStyle w:val="Heading2"/>
      </w:pPr>
      <w:r>
        <w:t>2. O cliente não é a criança</w:t>
      </w:r>
    </w:p>
    <w:p>
      <w:r>
        <w:t>A criança é o usuário final. A professora é a usuária aplicadora. A escola e a comunidade são beneficiárias. O financiador potencial é institucional: CESUPA, editais, prefeitura, secretaria, fundações ou empresas ESG. Essa separação deve entrar no Modelo C.</w:t>
      </w:r>
    </w:p>
    <w:p>
      <w:pPr>
        <w:pStyle w:val="Heading2"/>
      </w:pPr>
      <w:r>
        <w:t>3. A lógica comercial não é venda direta</w:t>
      </w:r>
    </w:p>
    <w:p>
      <w:r>
        <w:t>O modelo mais coerente é financiamento institucional de uma solução educacional de impacto. Assim, o projeto não precisa ser apresentado como aplicativo vendido para alunos ou famílias.</w:t>
      </w:r>
    </w:p>
    <w:p>
      <w:pPr>
        <w:pStyle w:val="Heading2"/>
      </w:pPr>
      <w:r>
        <w:t>4. O foco territorial na Vila Jutaí é força, não limitação</w:t>
      </w:r>
    </w:p>
    <w:p>
      <w:r>
        <w:t>O Florestia nasce da realidade da Vila Jutaí. A melhor formulação é: foco local agora, potencial adaptável depois. Não é necessário vender a ideia como produto nacional nesta fase.</w:t>
      </w:r>
    </w:p>
    <w:p>
      <w:pPr>
        <w:pStyle w:val="Heading2"/>
      </w:pPr>
      <w:r>
        <w:t>5. O impacto deve ser medido de forma simples</w:t>
      </w:r>
    </w:p>
    <w:p>
      <w:r>
        <w:t>A estrutura recomendada é: pré-teste, aplicação mediada, pós-teste e feedback da professora/crianças. Isso é suficiente para gerar evidência inicial de aprendizagem, engajamento e usabilidade no escopo atual.</w:t>
      </w:r>
    </w:p>
    <w:p>
      <w:pPr>
        <w:pStyle w:val="Heading1"/>
      </w:pPr>
      <w:r>
        <w:t>4. O que depende exclusivamente do líder técnico</w:t>
      </w:r>
    </w:p>
    <w:p>
      <w:r>
        <w:rPr>
          <w:b/>
        </w:rPr>
        <w:t xml:space="preserve">Plataforma final: </w:t>
      </w:r>
      <w:r>
        <w:t>Confirmar se o MVP será executado em PC, Chromebook, Android, navegador ou arquivo instalado.</w:t>
      </w:r>
    </w:p>
    <w:p>
      <w:r>
        <w:rPr>
          <w:b/>
        </w:rPr>
        <w:t xml:space="preserve">Funcionamento offline real: </w:t>
      </w:r>
      <w:r>
        <w:t>Validar se o MVP roda sem internet do início ao fim.</w:t>
      </w:r>
    </w:p>
    <w:p>
      <w:r>
        <w:rPr>
          <w:b/>
        </w:rPr>
        <w:t xml:space="preserve">Mecânicas do MVP: </w:t>
      </w:r>
      <w:r>
        <w:t>Confirmar quais mecânicas estarão prontas: plantio, colheita, venda, precificação, compradores, resumo financeiro, tela final e indicadores.</w:t>
      </w:r>
    </w:p>
    <w:p>
      <w:r>
        <w:rPr>
          <w:b/>
        </w:rPr>
        <w:t xml:space="preserve">Indicadores automáticos: </w:t>
      </w:r>
      <w:r>
        <w:t>Só prometer tempo de permanência, acertos, decisões, fases concluídas ou desempenho por aluno se o jogo realmente registrar esses dados.</w:t>
      </w:r>
    </w:p>
    <w:p>
      <w:r>
        <w:rPr>
          <w:b/>
        </w:rPr>
        <w:t xml:space="preserve">Material de apoio: </w:t>
      </w:r>
      <w:r>
        <w:t>Validar se haverá roteiro ou material simples para a professora. Comercialmente, é altamente recomendável incluir pelo menos um roteiro de aplicação.</w:t>
      </w:r>
    </w:p>
    <w:p>
      <w:pPr>
        <w:pStyle w:val="Heading1"/>
      </w:pPr>
      <w:r>
        <w:t>5. Versão final da lógica de negócios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F3F6F4"/>
          </w:tcPr>
          <w:p>
            <w:r>
              <w:rPr>
                <w:i/>
              </w:rPr>
              <w:t>Minha recomendação é posicionar o Florestia como um recurso educacional gamificado, complementar à aula, voltado a crianças de 8 a 11 anos da Vila Jutaí. A aplicação prioritária será em sala de aula, mediada pela professora, usando a agricultura familiar amazônica como contexto para ensinar custo, preço, receita, sobra/lucro simples e tomada de decisão. Comercialmente, não devemos vender como aplicativo para alunos, mas como solução educacional financiável por instituições interessadas em educação, Amazônia, tecnologia e impacto social. A validação deve ser feita com pré-teste, aplicação mediada, pós-teste e feedback da professora, além de possíveis indicadores do jogo caso o MVP permita.</w:t>
            </w:r>
          </w:p>
        </w:tc>
      </w:tr>
    </w:tbl>
    <w:p>
      <w:pPr>
        <w:pStyle w:val="Heading1"/>
      </w:pPr>
      <w:r>
        <w:t>6. Mensagem objetiva para enviar ao líder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0"/>
      </w:tblGrid>
      <w:tr>
        <w:tc>
          <w:tcPr>
            <w:tcW w:type="dxa" w:w="10080"/>
            <w:shd w:fill="EAF4EF"/>
          </w:tcPr>
          <w:p>
            <w:pPr>
              <w:spacing w:after="80"/>
            </w:pPr>
            <w:r>
              <w:rPr>
                <w:sz w:val="20"/>
              </w:rPr>
              <w:t>Minha posição para a lógica de negócios do Florestia é a seguinte:</w:t>
              <w:br/>
              <w:br/>
              <w:t>O projeto deve ser apresentado como um recurso educacional gamificado complementar à aula, e não apenas como um jogo. O público-alvo deve ficar padronizado em crianças de 8 a 11 anos da Vila Jutaí. A aplicação principal deve ser em sala de aula, mediada pela professora, porque ela é a ponte entre o jogo e a aprendizagem.</w:t>
              <w:br/>
              <w:br/>
              <w:t>Na parte comercial, não vejo sentido em vender como aplicativo para alunos/famílias. A melhor lógica é apresentar como solução educacional financiável institucionalmente: CESUPA, editais, secretaria/prefeitura, fundações ou empresas com agenda ESG. Ou seja, a criança usa, a professora aplica, a escola/comunidade se beneficia e uma instituição pode financiar.</w:t>
              <w:br/>
              <w:br/>
              <w:t>A proposta de valor seria: o Florestia transforma a realidade da agricultura familiar amazônica em uma experiência gamificada de aprendizagem matemática, ajudando crianças a entender custo, preço, receita, sobra/lucro simples e tomada de decisão.</w:t>
              <w:br/>
              <w:br/>
              <w:t>O que eu preciso validar com a parte técnica é:</w:t>
              <w:br/>
              <w:t>1. plataforma final do MVP;</w:t>
              <w:br/>
              <w:t>2. se realmente funciona offline;</w:t>
              <w:br/>
              <w:t>3. quais mecânicas estarão prontas;</w:t>
              <w:br/>
              <w:t>4. quais indicadores o jogo registra automaticamente;</w:t>
              <w:br/>
              <w:t>5. se teremos material/roteiro de apoio para a professora.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Florestia — lógica de negócios | Documento de alinhamento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