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pPr>
    </w:p>
    <w:p>
      <w:pPr>
        <w:spacing w:after="60" w:before="0"/>
        <w:jc w:val="center"/>
      </w:pPr>
      <w:r>
        <w:rPr>
          <w:b/>
          <w:bCs/>
          <w:color w:val="0F2D4A"/>
          <w:sz w:val="64"/>
          <w:szCs w:val="64"/>
        </w:rPr>
        <w:t xml:space="preserve">QUANTUM SHIELD</w:t>
      </w:r>
    </w:p>
    <w:p>
      <w:pPr>
        <w:spacing w:after="40" w:before="0"/>
        <w:jc w:val="center"/>
      </w:pPr>
      <w:r>
        <w:rPr>
          <w:b/>
          <w:bCs/>
          <w:color w:val="1B5F8C"/>
          <w:sz w:val="34"/>
          <w:szCs w:val="34"/>
        </w:rPr>
        <w:t xml:space="preserve">Architecture Design Document</w:t>
      </w:r>
    </w:p>
    <w:p>
      <w:pPr>
        <w:spacing w:after="400" w:before="0"/>
        <w:jc w:val="center"/>
      </w:pPr>
      <w:r>
        <w:rPr>
          <w:i/>
          <w:iCs/>
          <w:color w:val="707070"/>
          <w:sz w:val="24"/>
          <w:szCs w:val="24"/>
        </w:rPr>
        <w:t xml:space="preserve">Piattaforma SaaS di Assessment Zero Trust — Microsoft Identity</w:t>
      </w:r>
    </w:p>
    <w:p>
      <w:pPr>
        <w:spacing w:after="0" w:before="0"/>
        <w:jc w:val="center"/>
      </w:pPr>
      <w:r>
        <w:rPr>
          <w:color w:val="707070"/>
          <w:sz w:val="20"/>
          <w:szCs w:val="20"/>
        </w:rPr>
        <w:t xml:space="preserve">Versione 1.0  ·  Giugno 2026  ·  Riservato</w:t>
      </w:r>
    </w:p>
    <w:p>
      <w:r>
        <w:br w:type="page"/>
      </w:r>
    </w:p>
    <w:p>
      <w:pPr>
        <w:pStyle w:val="Heading1"/>
        <w:spacing w:after="120" w:before="480"/>
      </w:pPr>
      <w:r>
        <w:t xml:space="preserve">Informazioni sul documento</w:t>
      </w:r>
    </w:p>
    <w:p>
      <w:pPr>
        <w:spacing w:after="40" w:before="40"/>
      </w:pPr>
    </w:p>
    <w:tbl>
      <w:tblPr>
        <w:tblW w:type="pct" w:w="100%"/>
        <w:tblBorders>
          <w:top w:val="single" w:color="A0C4E0" w:sz="4"/>
          <w:left w:val="single" w:color="A0C4E0" w:sz="4"/>
          <w:bottom w:val="single" w:color="A0C4E0" w:sz="4"/>
          <w:right w:val="single" w:color="A0C4E0" w:sz="4"/>
          <w:insideH w:val="single" w:color="auto" w:sz="4"/>
          <w:insideV w:val="single" w:color="auto" w:sz="4"/>
        </w:tblBorders>
      </w:tblPr>
      <w:tblGrid>
        <w:gridCol w:w="100"/>
        <w:gridCol w:w="100"/>
      </w:tblGrid>
      <w:tr>
        <w:trPr>
          <w:tblHeader/>
        </w:trPr>
        <w:tc>
          <w:tcPr>
            <w:tcW w:type="pct" w:w="28%"/>
            <w:shd w:fill="0F2D4A" w:val="clear"/>
          </w:tcPr>
          <w:p>
            <w:pPr>
              <w:spacing w:after="60" w:before="60"/>
            </w:pPr>
            <w:r>
              <w:rPr>
                <w:b/>
                <w:bCs/>
                <w:color w:val="FFFFFF"/>
                <w:sz w:val="21"/>
                <w:szCs w:val="21"/>
              </w:rPr>
              <w:t xml:space="preserve">Campo</w:t>
            </w:r>
          </w:p>
        </w:tc>
        <w:tc>
          <w:tcPr>
            <w:tcW w:type="pct" w:w="72%"/>
            <w:shd w:fill="0F2D4A" w:val="clear"/>
          </w:tcPr>
          <w:p>
            <w:pPr>
              <w:spacing w:after="60" w:before="60"/>
            </w:pPr>
            <w:r>
              <w:rPr>
                <w:b/>
                <w:bCs/>
                <w:color w:val="FFFFFF"/>
                <w:sz w:val="21"/>
                <w:szCs w:val="21"/>
              </w:rPr>
              <w:t xml:space="preserve">Valore</w:t>
            </w:r>
          </w:p>
        </w:tc>
      </w:tr>
      <w:tr>
        <w:tc>
          <w:tcPr>
            <w:shd w:fill="EBF4FB" w:val="clear"/>
          </w:tcPr>
          <w:p>
            <w:pPr>
              <w:spacing w:after="50" w:before="50"/>
            </w:pPr>
            <w:r>
              <w:rPr>
                <w:b/>
                <w:bCs/>
                <w:color w:val="0F2D4A"/>
                <w:sz w:val="21"/>
                <w:szCs w:val="21"/>
              </w:rPr>
              <w:t xml:space="preserve">Titolo</w:t>
            </w:r>
          </w:p>
        </w:tc>
        <w:tc>
          <w:tcPr>
            <w:shd w:fill="EBF4FB" w:val="clear"/>
          </w:tcPr>
          <w:p>
            <w:pPr>
              <w:spacing w:after="50" w:before="50"/>
            </w:pPr>
            <w:r>
              <w:rPr>
                <w:b w:val="false"/>
                <w:bCs w:val="false"/>
                <w:color w:val="404040"/>
                <w:sz w:val="21"/>
                <w:szCs w:val="21"/>
              </w:rPr>
              <w:t xml:space="preserve">Architecture Design Document — Quantum Shield</w:t>
            </w:r>
          </w:p>
        </w:tc>
      </w:tr>
      <w:tr>
        <w:tc>
          <w:tcPr>
            <w:shd w:fill="FFFFFF" w:val="clear"/>
          </w:tcPr>
          <w:p>
            <w:pPr>
              <w:spacing w:after="50" w:before="50"/>
            </w:pPr>
            <w:r>
              <w:rPr>
                <w:b/>
                <w:bCs/>
                <w:color w:val="0F2D4A"/>
                <w:sz w:val="21"/>
                <w:szCs w:val="21"/>
              </w:rPr>
              <w:t xml:space="preserve">Versione</w:t>
            </w:r>
          </w:p>
        </w:tc>
        <w:tc>
          <w:tcPr>
            <w:shd w:fill="FFFFFF" w:val="clear"/>
          </w:tcPr>
          <w:p>
            <w:pPr>
              <w:spacing w:after="50" w:before="50"/>
            </w:pPr>
            <w:r>
              <w:rPr>
                <w:b w:val="false"/>
                <w:bCs w:val="false"/>
                <w:color w:val="404040"/>
                <w:sz w:val="21"/>
                <w:szCs w:val="21"/>
              </w:rPr>
              <w:t xml:space="preserve">1.0</w:t>
            </w:r>
          </w:p>
        </w:tc>
      </w:tr>
      <w:tr>
        <w:tc>
          <w:tcPr>
            <w:shd w:fill="EBF4FB" w:val="clear"/>
          </w:tcPr>
          <w:p>
            <w:pPr>
              <w:spacing w:after="50" w:before="50"/>
            </w:pPr>
            <w:r>
              <w:rPr>
                <w:b/>
                <w:bCs/>
                <w:color w:val="0F2D4A"/>
                <w:sz w:val="21"/>
                <w:szCs w:val="21"/>
              </w:rPr>
              <w:t xml:space="preserve">Data</w:t>
            </w:r>
          </w:p>
        </w:tc>
        <w:tc>
          <w:tcPr>
            <w:shd w:fill="EBF4FB" w:val="clear"/>
          </w:tcPr>
          <w:p>
            <w:pPr>
              <w:spacing w:after="50" w:before="50"/>
            </w:pPr>
            <w:r>
              <w:rPr>
                <w:b w:val="false"/>
                <w:bCs w:val="false"/>
                <w:color w:val="404040"/>
                <w:sz w:val="21"/>
                <w:szCs w:val="21"/>
              </w:rPr>
              <w:t xml:space="preserve">Giugno 2026</w:t>
            </w:r>
          </w:p>
        </w:tc>
      </w:tr>
      <w:tr>
        <w:tc>
          <w:tcPr>
            <w:shd w:fill="FFFFFF" w:val="clear"/>
          </w:tcPr>
          <w:p>
            <w:pPr>
              <w:spacing w:after="50" w:before="50"/>
            </w:pPr>
            <w:r>
              <w:rPr>
                <w:b/>
                <w:bCs/>
                <w:color w:val="0F2D4A"/>
                <w:sz w:val="21"/>
                <w:szCs w:val="21"/>
              </w:rPr>
              <w:t xml:space="preserve">Stato</w:t>
            </w:r>
          </w:p>
        </w:tc>
        <w:tc>
          <w:tcPr>
            <w:shd w:fill="FFFFFF" w:val="clear"/>
          </w:tcPr>
          <w:p>
            <w:pPr>
              <w:spacing w:after="50" w:before="50"/>
            </w:pPr>
            <w:r>
              <w:rPr>
                <w:b w:val="false"/>
                <w:bCs w:val="false"/>
                <w:color w:val="404040"/>
                <w:sz w:val="21"/>
                <w:szCs w:val="21"/>
              </w:rPr>
              <w:t xml:space="preserve">In revisione</w:t>
            </w:r>
          </w:p>
        </w:tc>
      </w:tr>
      <w:tr>
        <w:tc>
          <w:tcPr>
            <w:shd w:fill="EBF4FB" w:val="clear"/>
          </w:tcPr>
          <w:p>
            <w:pPr>
              <w:spacing w:after="50" w:before="50"/>
            </w:pPr>
            <w:r>
              <w:rPr>
                <w:b/>
                <w:bCs/>
                <w:color w:val="0F2D4A"/>
                <w:sz w:val="21"/>
                <w:szCs w:val="21"/>
              </w:rPr>
              <w:t xml:space="preserve">Classificazione</w:t>
            </w:r>
          </w:p>
        </w:tc>
        <w:tc>
          <w:tcPr>
            <w:shd w:fill="EBF4FB" w:val="clear"/>
          </w:tcPr>
          <w:p>
            <w:pPr>
              <w:spacing w:after="50" w:before="50"/>
            </w:pPr>
            <w:r>
              <w:rPr>
                <w:b w:val="false"/>
                <w:bCs w:val="false"/>
                <w:color w:val="404040"/>
                <w:sz w:val="21"/>
                <w:szCs w:val="21"/>
              </w:rPr>
              <w:t xml:space="preserve">Riservato — uso interno</w:t>
            </w:r>
          </w:p>
        </w:tc>
      </w:tr>
      <w:tr>
        <w:tc>
          <w:tcPr>
            <w:shd w:fill="FFFFFF" w:val="clear"/>
          </w:tcPr>
          <w:p>
            <w:pPr>
              <w:spacing w:after="50" w:before="50"/>
            </w:pPr>
            <w:r>
              <w:rPr>
                <w:b/>
                <w:bCs/>
                <w:color w:val="0F2D4A"/>
                <w:sz w:val="21"/>
                <w:szCs w:val="21"/>
              </w:rPr>
              <w:t xml:space="preserve">Tipo documento</w:t>
            </w:r>
          </w:p>
        </w:tc>
        <w:tc>
          <w:tcPr>
            <w:shd w:fill="FFFFFF" w:val="clear"/>
          </w:tcPr>
          <w:p>
            <w:pPr>
              <w:spacing w:after="50" w:before="50"/>
            </w:pPr>
            <w:r>
              <w:rPr>
                <w:b w:val="false"/>
                <w:bCs w:val="false"/>
                <w:color w:val="404040"/>
                <w:sz w:val="21"/>
                <w:szCs w:val="21"/>
              </w:rPr>
              <w:t xml:space="preserve">Architecture Design Document (ADD)</w:t>
            </w:r>
          </w:p>
        </w:tc>
      </w:tr>
    </w:tbl>
    <w:p>
      <w:r>
        <w:br w:type="page"/>
      </w:r>
    </w:p>
    <w:p>
      <w:pPr>
        <w:pStyle w:val="Heading1"/>
        <w:spacing w:after="120" w:before="480"/>
      </w:pPr>
      <w:r>
        <w:t xml:space="preserve">1. Executive Summary</w:t>
      </w:r>
    </w:p>
    <w:p>
      <w:pPr>
        <w:spacing w:after="100" w:before="40"/>
        <w:jc w:val="both"/>
      </w:pPr>
      <w:r>
        <w:rPr>
          <w:color w:val="404040"/>
          <w:sz w:val="22"/>
          <w:szCs w:val="22"/>
        </w:rPr>
        <w:t xml:space="preserve">Quantum Shield è una piattaforma SaaS multi-tenant progettata per valutare la postura di sicurezza dei tenant Microsoft 365 / Entra ID rispetto ai principi Zero Trust. Il sistema acquisisce le configurazioni Identity di un tenant cliente tramite Microsoft Graph API (in modalità read-only), le confronta con un set di regole di controllo configurabili e produce un assessment strutturato con evidenze, scoring, raccomandazioni di remediation e reportistica esportabile.</w:t>
      </w:r>
    </w:p>
    <w:p>
      <w:pPr>
        <w:spacing w:after="40" w:before="40"/>
      </w:pPr>
    </w:p>
    <w:p>
      <w:pPr>
        <w:spacing w:after="100" w:before="40"/>
        <w:jc w:val="both"/>
      </w:pPr>
      <w:r>
        <w:rPr>
          <w:color w:val="404040"/>
          <w:sz w:val="22"/>
          <w:szCs w:val="22"/>
        </w:rPr>
        <w:t xml:space="preserve">Il presente documento descrive l'architettura generale della soluzione: topologia infrastrutturale su Azure, decomposizione logica in layer applicativi, pattern architetturali adottati, flussi di dati principali e vincoli di sicurezza. Il diagramma di riferimento primario è illustrato nella sezione 3.</w:t>
      </w:r>
    </w:p>
    <w:p>
      <w:pPr>
        <w:spacing w:after="40" w:before="40"/>
      </w:pPr>
    </w:p>
    <w:tbl>
      <w:tblPr>
        <w:tblW w:type="pct" w:w="100%"/>
        <w:tblBorders>
          <w:top w:val="single" w:color="1B5F8C" w:sz="8"/>
          <w:left w:val="single" w:color="1B5F8C" w:sz="20"/>
          <w:bottom w:val="single" w:color="1B5F8C" w:sz="2"/>
          <w:right w:val="single" w:color="1B5F8C" w:sz="2"/>
          <w:insideH w:val="single" w:color="auto" w:sz="4"/>
          <w:insideV w:val="single" w:color="auto" w:sz="4"/>
        </w:tblBorders>
      </w:tblPr>
      <w:tblGrid>
        <w:gridCol w:w="100"/>
      </w:tblGrid>
      <w:tr>
        <w:tc>
          <w:tcPr>
            <w:shd w:fill="D6E8F7" w:val="clear"/>
          </w:tcPr>
          <w:p>
            <w:pPr>
              <w:spacing w:after="80" w:before="80"/>
            </w:pPr>
            <w:r>
              <w:rPr>
                <w:b/>
                <w:bCs/>
                <w:color w:val="1B5F8C"/>
                <w:sz w:val="19"/>
                <w:szCs w:val="19"/>
              </w:rPr>
              <w:t xml:space="preserve">Principio guida:</w:t>
            </w:r>
            <w:r>
              <w:rPr>
                <w:color w:val="404040"/>
                <w:sz w:val="21"/>
                <w:szCs w:val="21"/>
              </w:rPr>
              <w:t xml:space="preserve">  L'intera architettura è progettata attorno al principio di minimo privilegio — la piattaforma non scrive mai nel tenant cliente, opera esclusivamente in lettura tramite permessi delegati e amministrativi espliciti.</w:t>
            </w:r>
          </w:p>
        </w:tc>
      </w:tr>
    </w:tbl>
    <w:p>
      <w:r>
        <w:br w:type="page"/>
      </w:r>
    </w:p>
    <w:p>
      <w:pPr>
        <w:pStyle w:val="Heading1"/>
        <w:spacing w:after="120" w:before="480"/>
      </w:pPr>
      <w:r>
        <w:t xml:space="preserve">2. Contesto e scopo architetturale</w:t>
      </w:r>
    </w:p>
    <w:p>
      <w:pPr>
        <w:spacing w:after="100" w:before="40"/>
        <w:jc w:val="both"/>
      </w:pPr>
      <w:r>
        <w:rPr>
          <w:color w:val="404040"/>
          <w:sz w:val="22"/>
          <w:szCs w:val="22"/>
        </w:rPr>
        <w:t xml:space="preserve">La soluzione è nata per rispondere a una domanda concreta del mercato enterprise: le organizzazioni che utilizzano Microsoft 365 e Entra ID spesso non dispongono di strumenti strutturati per misurare il proprio allineamento al modello Zero Trust. Gli assessment manuali sono costosi, non ripetibili e soggettivi.</w:t>
      </w:r>
    </w:p>
    <w:p>
      <w:pPr>
        <w:spacing w:after="40" w:before="40"/>
      </w:pPr>
    </w:p>
    <w:p>
      <w:pPr>
        <w:spacing w:after="100" w:before="40"/>
        <w:jc w:val="both"/>
      </w:pPr>
      <w:r>
        <w:rPr>
          <w:color w:val="404040"/>
          <w:sz w:val="22"/>
          <w:szCs w:val="22"/>
        </w:rPr>
        <w:t xml:space="preserve">Quantum Shield automatizza questo processo introducendo un motore di regole (rule engine) guidato da template JSON, un layer di raccolta dati verso Microsoft Graph, e un pipeline di valutazione che produce risultati deterministici, confrontabili nel tempo e verificabili da audit.</w:t>
      </w:r>
    </w:p>
    <w:p>
      <w:pPr>
        <w:spacing w:after="40" w:before="40"/>
      </w:pPr>
    </w:p>
    <w:p>
      <w:pPr>
        <w:pStyle w:val="Heading2"/>
        <w:spacing w:after="100" w:before="320"/>
      </w:pPr>
      <w:r>
        <w:t xml:space="preserve">2.1 Vincoli architetturali primari</w:t>
      </w:r>
    </w:p>
    <w:p>
      <w:pPr>
        <w:pStyle w:val="ListParagraph"/>
        <w:numPr>
          <w:ilvl w:val="0"/>
          <w:numId w:val="1"/>
        </w:numPr>
        <w:spacing w:after="50" w:before="30"/>
      </w:pPr>
      <w:r>
        <w:rPr>
          <w:b w:val="false"/>
          <w:bCs w:val="false"/>
          <w:color w:val="404040"/>
          <w:sz w:val="22"/>
          <w:szCs w:val="22"/>
        </w:rPr>
        <w:t xml:space="preserve">La piattaforma non deve mai scrivere nel tenant cliente — accesso esclusivamente read-only</w:t>
      </w:r>
    </w:p>
    <w:p>
      <w:pPr>
        <w:pStyle w:val="ListParagraph"/>
        <w:numPr>
          <w:ilvl w:val="0"/>
          <w:numId w:val="1"/>
        </w:numPr>
        <w:spacing w:after="50" w:before="30"/>
      </w:pPr>
      <w:r>
        <w:rPr>
          <w:b w:val="false"/>
          <w:bCs w:val="false"/>
          <w:color w:val="404040"/>
          <w:sz w:val="22"/>
          <w:szCs w:val="22"/>
        </w:rPr>
        <w:t xml:space="preserve">I secret dei tenant clienti non devono mai transitare in chiaro nella piattaforma — gestione delegata ad Azure Key Vault</w:t>
      </w:r>
    </w:p>
    <w:p>
      <w:pPr>
        <w:pStyle w:val="ListParagraph"/>
        <w:numPr>
          <w:ilvl w:val="0"/>
          <w:numId w:val="1"/>
        </w:numPr>
        <w:spacing w:after="50" w:before="30"/>
      </w:pPr>
      <w:r>
        <w:rPr>
          <w:b w:val="false"/>
          <w:bCs w:val="false"/>
          <w:color w:val="404040"/>
          <w:sz w:val="22"/>
          <w:szCs w:val="22"/>
        </w:rPr>
        <w:t xml:space="preserve">La segregazione dei dati tra tenant cliente diversi deve essere garantita a livello applicativo e di storage</w:t>
      </w:r>
    </w:p>
    <w:p>
      <w:pPr>
        <w:pStyle w:val="ListParagraph"/>
        <w:numPr>
          <w:ilvl w:val="0"/>
          <w:numId w:val="1"/>
        </w:numPr>
        <w:spacing w:after="50" w:before="30"/>
      </w:pPr>
      <w:r>
        <w:rPr>
          <w:b w:val="false"/>
          <w:bCs w:val="false"/>
          <w:color w:val="404040"/>
          <w:sz w:val="22"/>
          <w:szCs w:val="22"/>
        </w:rPr>
        <w:t xml:space="preserve">Il sistema deve essere progettato per l'esecuzione asincrona degli assessment — evitare timeout HTTP su operazioni lunghe</w:t>
      </w:r>
    </w:p>
    <w:p>
      <w:pPr>
        <w:pStyle w:val="ListParagraph"/>
        <w:numPr>
          <w:ilvl w:val="0"/>
          <w:numId w:val="1"/>
        </w:numPr>
        <w:spacing w:after="50" w:before="30"/>
      </w:pPr>
      <w:r>
        <w:rPr>
          <w:b w:val="false"/>
          <w:bCs w:val="false"/>
          <w:color w:val="404040"/>
          <w:sz w:val="22"/>
          <w:szCs w:val="22"/>
        </w:rPr>
        <w:t xml:space="preserve">La configurazione dei controlli (regole di valutazione) deve essere esternalizzata e modificabile senza deploy del codice</w:t>
      </w:r>
    </w:p>
    <w:p>
      <w:pPr>
        <w:spacing w:after="40" w:before="40"/>
      </w:pPr>
    </w:p>
    <w:p>
      <w:pPr>
        <w:pStyle w:val="Heading2"/>
        <w:spacing w:after="100" w:before="320"/>
      </w:pPr>
      <w:r>
        <w:t xml:space="preserve">2.2 Qualità architetturali (Quality Attributes)</w:t>
      </w:r>
    </w:p>
    <w:tbl>
      <w:tblPr>
        <w:tblW w:type="pct" w:w="100%"/>
        <w:tblBorders>
          <w:top w:val="single" w:color="A0C4E0" w:sz="4"/>
          <w:left w:val="single" w:color="A0C4E0" w:sz="4"/>
          <w:bottom w:val="single" w:color="A0C4E0" w:sz="4"/>
          <w:right w:val="single" w:color="A0C4E0" w:sz="4"/>
          <w:insideH w:val="single" w:color="auto" w:sz="4"/>
          <w:insideV w:val="single" w:color="auto" w:sz="4"/>
        </w:tblBorders>
      </w:tblPr>
      <w:tblGrid>
        <w:gridCol w:w="100"/>
        <w:gridCol w:w="100"/>
      </w:tblGrid>
      <w:tr>
        <w:trPr>
          <w:tblHeader/>
        </w:trPr>
        <w:tc>
          <w:tcPr>
            <w:tcW w:type="pct" w:w="22%"/>
            <w:shd w:fill="0F2D4A" w:val="clear"/>
          </w:tcPr>
          <w:p>
            <w:pPr>
              <w:spacing w:after="60" w:before="60"/>
            </w:pPr>
            <w:r>
              <w:rPr>
                <w:b/>
                <w:bCs/>
                <w:color w:val="FFFFFF"/>
                <w:sz w:val="21"/>
                <w:szCs w:val="21"/>
              </w:rPr>
              <w:t xml:space="preserve">Attributo</w:t>
            </w:r>
          </w:p>
        </w:tc>
        <w:tc>
          <w:tcPr>
            <w:tcW w:type="pct" w:w="78%"/>
            <w:shd w:fill="0F2D4A" w:val="clear"/>
          </w:tcPr>
          <w:p>
            <w:pPr>
              <w:spacing w:after="60" w:before="60"/>
            </w:pPr>
            <w:r>
              <w:rPr>
                <w:b/>
                <w:bCs/>
                <w:color w:val="FFFFFF"/>
                <w:sz w:val="21"/>
                <w:szCs w:val="21"/>
              </w:rPr>
              <w:t xml:space="preserve">Requisito</w:t>
            </w:r>
          </w:p>
        </w:tc>
      </w:tr>
      <w:tr>
        <w:tc>
          <w:tcPr>
            <w:shd w:fill="EBF4FB" w:val="clear"/>
          </w:tcPr>
          <w:p>
            <w:pPr>
              <w:spacing w:after="50" w:before="50"/>
            </w:pPr>
            <w:r>
              <w:rPr>
                <w:b/>
                <w:bCs/>
                <w:color w:val="0F2D4A"/>
                <w:sz w:val="21"/>
                <w:szCs w:val="21"/>
              </w:rPr>
              <w:t xml:space="preserve">Security</w:t>
            </w:r>
          </w:p>
        </w:tc>
        <w:tc>
          <w:tcPr>
            <w:shd w:fill="EBF4FB" w:val="clear"/>
          </w:tcPr>
          <w:p>
            <w:pPr>
              <w:spacing w:after="50" w:before="50"/>
            </w:pPr>
            <w:r>
              <w:rPr>
                <w:b w:val="false"/>
                <w:bCs w:val="false"/>
                <w:color w:val="404040"/>
                <w:sz w:val="21"/>
                <w:szCs w:val="21"/>
              </w:rPr>
              <w:t xml:space="preserve">Cifratura dati a riposo e in transito; credenziali in Key Vault; accessi tracciati</w:t>
            </w:r>
          </w:p>
        </w:tc>
      </w:tr>
      <w:tr>
        <w:tc>
          <w:tcPr>
            <w:shd w:fill="FFFFFF" w:val="clear"/>
          </w:tcPr>
          <w:p>
            <w:pPr>
              <w:spacing w:after="50" w:before="50"/>
            </w:pPr>
            <w:r>
              <w:rPr>
                <w:b/>
                <w:bCs/>
                <w:color w:val="0F2D4A"/>
                <w:sz w:val="21"/>
                <w:szCs w:val="21"/>
              </w:rPr>
              <w:t xml:space="preserve">Multi-tenancy</w:t>
            </w:r>
          </w:p>
        </w:tc>
        <w:tc>
          <w:tcPr>
            <w:shd w:fill="FFFFFF" w:val="clear"/>
          </w:tcPr>
          <w:p>
            <w:pPr>
              <w:spacing w:after="50" w:before="50"/>
            </w:pPr>
            <w:r>
              <w:rPr>
                <w:b w:val="false"/>
                <w:bCs w:val="false"/>
                <w:color w:val="404040"/>
                <w:sz w:val="21"/>
                <w:szCs w:val="21"/>
              </w:rPr>
              <w:t xml:space="preserve">Segregazione completa dei dati tra clienti a livello di modello dati e query</w:t>
            </w:r>
          </w:p>
        </w:tc>
      </w:tr>
      <w:tr>
        <w:tc>
          <w:tcPr>
            <w:shd w:fill="EBF4FB" w:val="clear"/>
          </w:tcPr>
          <w:p>
            <w:pPr>
              <w:spacing w:after="50" w:before="50"/>
            </w:pPr>
            <w:r>
              <w:rPr>
                <w:b/>
                <w:bCs/>
                <w:color w:val="0F2D4A"/>
                <w:sz w:val="21"/>
                <w:szCs w:val="21"/>
              </w:rPr>
              <w:t xml:space="preserve">Extensibility</w:t>
            </w:r>
          </w:p>
        </w:tc>
        <w:tc>
          <w:tcPr>
            <w:shd w:fill="EBF4FB" w:val="clear"/>
          </w:tcPr>
          <w:p>
            <w:pPr>
              <w:spacing w:after="50" w:before="50"/>
            </w:pPr>
            <w:r>
              <w:rPr>
                <w:b w:val="false"/>
                <w:bCs w:val="false"/>
                <w:color w:val="404040"/>
                <w:sz w:val="21"/>
                <w:szCs w:val="21"/>
              </w:rPr>
              <w:t xml:space="preserve">Nuove regole aggiungibili via template JSON senza modifiche al codice applicativo</w:t>
            </w:r>
          </w:p>
        </w:tc>
      </w:tr>
      <w:tr>
        <w:tc>
          <w:tcPr>
            <w:shd w:fill="FFFFFF" w:val="clear"/>
          </w:tcPr>
          <w:p>
            <w:pPr>
              <w:spacing w:after="50" w:before="50"/>
            </w:pPr>
            <w:r>
              <w:rPr>
                <w:b/>
                <w:bCs/>
                <w:color w:val="0F2D4A"/>
                <w:sz w:val="21"/>
                <w:szCs w:val="21"/>
              </w:rPr>
              <w:t xml:space="preserve">Observability</w:t>
            </w:r>
          </w:p>
        </w:tc>
        <w:tc>
          <w:tcPr>
            <w:shd w:fill="FFFFFF" w:val="clear"/>
          </w:tcPr>
          <w:p>
            <w:pPr>
              <w:spacing w:after="50" w:before="50"/>
            </w:pPr>
            <w:r>
              <w:rPr>
                <w:b w:val="false"/>
                <w:bCs w:val="false"/>
                <w:color w:val="404040"/>
                <w:sz w:val="21"/>
                <w:szCs w:val="21"/>
              </w:rPr>
              <w:t xml:space="preserve">Telemetria centralizzata su Application Insights; logging strutturato</w:t>
            </w:r>
          </w:p>
        </w:tc>
      </w:tr>
      <w:tr>
        <w:tc>
          <w:tcPr>
            <w:shd w:fill="EBF4FB" w:val="clear"/>
          </w:tcPr>
          <w:p>
            <w:pPr>
              <w:spacing w:after="50" w:before="50"/>
            </w:pPr>
            <w:r>
              <w:rPr>
                <w:b/>
                <w:bCs/>
                <w:color w:val="0F2D4A"/>
                <w:sz w:val="21"/>
                <w:szCs w:val="21"/>
              </w:rPr>
              <w:t xml:space="preserve">Reliability</w:t>
            </w:r>
          </w:p>
        </w:tc>
        <w:tc>
          <w:tcPr>
            <w:shd w:fill="EBF4FB" w:val="clear"/>
          </w:tcPr>
          <w:p>
            <w:pPr>
              <w:spacing w:after="50" w:before="50"/>
            </w:pPr>
            <w:r>
              <w:rPr>
                <w:b w:val="false"/>
                <w:bCs w:val="false"/>
                <w:color w:val="404040"/>
                <w:sz w:val="21"/>
                <w:szCs w:val="21"/>
              </w:rPr>
              <w:t xml:space="preserve">Assessment fault-tolerant: errori parziali non annullano l'intera esecuzione</w:t>
            </w:r>
          </w:p>
        </w:tc>
      </w:tr>
      <w:tr>
        <w:tc>
          <w:tcPr>
            <w:shd w:fill="FFFFFF" w:val="clear"/>
          </w:tcPr>
          <w:p>
            <w:pPr>
              <w:spacing w:after="50" w:before="50"/>
            </w:pPr>
            <w:r>
              <w:rPr>
                <w:b/>
                <w:bCs/>
                <w:color w:val="0F2D4A"/>
                <w:sz w:val="21"/>
                <w:szCs w:val="21"/>
              </w:rPr>
              <w:t xml:space="preserve">Testability</w:t>
            </w:r>
          </w:p>
        </w:tc>
        <w:tc>
          <w:tcPr>
            <w:shd w:fill="FFFFFF" w:val="clear"/>
          </w:tcPr>
          <w:p>
            <w:pPr>
              <w:spacing w:after="50" w:before="50"/>
            </w:pPr>
            <w:r>
              <w:rPr>
                <w:b w:val="false"/>
                <w:bCs w:val="false"/>
                <w:color w:val="404040"/>
                <w:sz w:val="21"/>
                <w:szCs w:val="21"/>
              </w:rPr>
              <w:t xml:space="preserve">Tutti i componenti infrastructure sostituibili con fake per i test di integrazione</w:t>
            </w:r>
          </w:p>
        </w:tc>
      </w:tr>
    </w:tbl>
    <w:p>
      <w:r>
        <w:br w:type="page"/>
      </w:r>
    </w:p>
    <w:p>
      <w:pPr>
        <w:pStyle w:val="Heading1"/>
        <w:spacing w:after="120" w:before="480"/>
      </w:pPr>
      <w:r>
        <w:t xml:space="preserve">3. Diagramma architetturale</w:t>
      </w:r>
    </w:p>
    <w:p>
      <w:pPr>
        <w:spacing w:after="100" w:before="40"/>
        <w:jc w:val="both"/>
      </w:pPr>
      <w:r>
        <w:rPr>
          <w:color w:val="404040"/>
          <w:sz w:val="22"/>
          <w:szCs w:val="22"/>
        </w:rPr>
        <w:t xml:space="preserve">Il seguente diagramma illustra la topologia infrastrutturale della soluzione deployata su Azure. I componenti sono organizzati in due gruppi logici: il cluster applicativo principale (sinistra) e il gruppo di risorse condivise (destra).</w:t>
      </w:r>
    </w:p>
    <w:p>
      <w:pPr>
        <w:spacing w:after="40" w:before="40"/>
      </w:pPr>
    </w:p>
    <w:p>
      <w:pPr>
        <w:spacing w:after="120" w:before="120"/>
        <w:jc w:val="center"/>
      </w:pPr>
      <w:r>
        <w:drawing>
          <wp:inline distT="0" distB="0" distL="0" distR="0">
            <wp:extent cx="45720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4095750"/>
                    </a:xfrm>
                    <a:prstGeom prst="rect">
                      <a:avLst/>
                    </a:prstGeom>
                  </pic:spPr>
                </pic:pic>
              </a:graphicData>
            </a:graphic>
          </wp:inline>
        </w:drawing>
      </w:r>
    </w:p>
    <w:p>
      <w:pPr>
        <w:spacing w:after="160" w:before="0"/>
        <w:jc w:val="center"/>
      </w:pPr>
      <w:r>
        <w:rPr>
          <w:i/>
          <w:iCs/>
          <w:color w:val="707070"/>
          <w:sz w:val="22"/>
          <w:szCs w:val="22"/>
        </w:rPr>
        <w:t xml:space="preserve">Figura 1 — Architettura infrastrutturale Quantum Shield su Azure</w:t>
      </w:r>
    </w:p>
    <w:tbl>
      <w:tblPr>
        <w:tblW w:type="pct" w:w="100%"/>
        <w:tblBorders>
          <w:top w:val="single" w:color="1B5F8C" w:sz="8"/>
          <w:left w:val="single" w:color="1B5F8C" w:sz="20"/>
          <w:bottom w:val="single" w:color="1B5F8C" w:sz="2"/>
          <w:right w:val="single" w:color="1B5F8C" w:sz="2"/>
          <w:insideH w:val="single" w:color="auto" w:sz="4"/>
          <w:insideV w:val="single" w:color="auto" w:sz="4"/>
        </w:tblBorders>
      </w:tblPr>
      <w:tblGrid>
        <w:gridCol w:w="100"/>
      </w:tblGrid>
      <w:tr>
        <w:tc>
          <w:tcPr>
            <w:shd w:fill="D6E8F7" w:val="clear"/>
          </w:tcPr>
          <w:p>
            <w:pPr>
              <w:spacing w:after="80" w:before="80"/>
            </w:pPr>
            <w:r>
              <w:rPr>
                <w:b/>
                <w:bCs/>
                <w:color w:val="1B5F8C"/>
                <w:sz w:val="19"/>
                <w:szCs w:val="19"/>
              </w:rPr>
              <w:t xml:space="preserve">Lettura del diagramma:</w:t>
            </w:r>
            <w:r>
              <w:rPr>
                <w:color w:val="404040"/>
                <w:sz w:val="21"/>
                <w:szCs w:val="21"/>
              </w:rPr>
              <w:t xml:space="preserve">  L'Application Gateway (in alto a sinistra) funge da unico punto di ingresso per il traffico esterno. Il Frontend React comunica esclusivamente con l'API BE. L'API BE è l'unico componente con accesso diretto ai servizi Azure di backend. La colonna "Shared Resources" (destra) raggruppa le risorse di infrastruttura condivise tra ambienti.</w:t>
            </w:r>
          </w:p>
        </w:tc>
      </w:tr>
    </w:tbl>
    <w:p>
      <w:r>
        <w:br w:type="page"/>
      </w:r>
    </w:p>
    <w:p>
      <w:pPr>
        <w:pStyle w:val="Heading1"/>
        <w:spacing w:after="120" w:before="480"/>
      </w:pPr>
      <w:r>
        <w:t xml:space="preserve">4. Componenti infrastrutturali</w:t>
      </w:r>
    </w:p>
    <w:p>
      <w:pPr>
        <w:pStyle w:val="Heading2"/>
        <w:spacing w:after="100" w:before="320"/>
      </w:pPr>
      <w:r>
        <w:t xml:space="preserve">4.1 Application Gateway</w:t>
      </w:r>
    </w:p>
    <w:p>
      <w:pPr>
        <w:spacing w:after="100" w:before="40"/>
        <w:jc w:val="both"/>
      </w:pPr>
      <w:r>
        <w:rPr>
          <w:color w:val="404040"/>
          <w:sz w:val="22"/>
          <w:szCs w:val="22"/>
        </w:rPr>
        <w:t xml:space="preserve">L'Application Gateway di Azure costituisce il perimetro di ingresso dell'intera soluzione. Opera come reverse proxy L7 e offre le seguenti funzionalità critiche:</w:t>
      </w:r>
    </w:p>
    <w:p>
      <w:pPr>
        <w:pStyle w:val="ListParagraph"/>
        <w:numPr>
          <w:ilvl w:val="0"/>
          <w:numId w:val="1"/>
        </w:numPr>
        <w:spacing w:after="50" w:before="30"/>
      </w:pPr>
      <w:r>
        <w:rPr>
          <w:b w:val="false"/>
          <w:bCs w:val="false"/>
          <w:color w:val="404040"/>
          <w:sz w:val="22"/>
          <w:szCs w:val="22"/>
        </w:rPr>
        <w:t xml:space="preserve">Terminazione TLS — tutto il traffico esterno è cifrato HTTPS; la comunicazione interna può transitare su HTTP nel segmento protetto</w:t>
      </w:r>
    </w:p>
    <w:p>
      <w:pPr>
        <w:pStyle w:val="ListParagraph"/>
        <w:numPr>
          <w:ilvl w:val="0"/>
          <w:numId w:val="1"/>
        </w:numPr>
        <w:spacing w:after="50" w:before="30"/>
      </w:pPr>
      <w:r>
        <w:rPr>
          <w:b w:val="false"/>
          <w:bCs w:val="false"/>
          <w:color w:val="404040"/>
          <w:sz w:val="22"/>
          <w:szCs w:val="22"/>
        </w:rPr>
        <w:t xml:space="preserve">Routing basato su path/host — smistamento del traffico verso Frontend e API BE su regole configurabili</w:t>
      </w:r>
    </w:p>
    <w:p>
      <w:pPr>
        <w:pStyle w:val="ListParagraph"/>
        <w:numPr>
          <w:ilvl w:val="0"/>
          <w:numId w:val="1"/>
        </w:numPr>
        <w:spacing w:after="50" w:before="30"/>
      </w:pPr>
      <w:r>
        <w:rPr>
          <w:b w:val="false"/>
          <w:bCs w:val="false"/>
          <w:color w:val="404040"/>
          <w:sz w:val="22"/>
          <w:szCs w:val="22"/>
        </w:rPr>
        <w:t xml:space="preserve">Web Application Firewall (WAF) — protezione da OWASP Top 10, SQL injection, XSS e attacchi comuni</w:t>
      </w:r>
    </w:p>
    <w:p>
      <w:pPr>
        <w:pStyle w:val="ListParagraph"/>
        <w:numPr>
          <w:ilvl w:val="0"/>
          <w:numId w:val="1"/>
        </w:numPr>
        <w:spacing w:after="50" w:before="30"/>
      </w:pPr>
      <w:r>
        <w:rPr>
          <w:b w:val="false"/>
          <w:bCs w:val="false"/>
          <w:color w:val="404040"/>
          <w:sz w:val="22"/>
          <w:szCs w:val="22"/>
        </w:rPr>
        <w:t xml:space="preserve">Health probe — monitoraggio continuo della disponibilità dei backend</w:t>
      </w:r>
    </w:p>
    <w:p>
      <w:pPr>
        <w:spacing w:after="40" w:before="40"/>
      </w:pPr>
    </w:p>
    <w:tbl>
      <w:tblPr>
        <w:tblW w:type="pct" w:w="100%"/>
        <w:tblBorders>
          <w:top w:val="single" w:color="C55A11" w:sz="8"/>
          <w:left w:val="single" w:color="C55A11" w:sz="20"/>
          <w:bottom w:val="single" w:color="C55A11" w:sz="2"/>
          <w:right w:val="single" w:color="C55A11" w:sz="2"/>
          <w:insideH w:val="single" w:color="auto" w:sz="4"/>
          <w:insideV w:val="single" w:color="auto" w:sz="4"/>
        </w:tblBorders>
      </w:tblPr>
      <w:tblGrid>
        <w:gridCol w:w="100"/>
      </w:tblGrid>
      <w:tr>
        <w:tc>
          <w:tcPr>
            <w:shd w:fill="D6E8F7" w:val="clear"/>
          </w:tcPr>
          <w:p>
            <w:pPr>
              <w:spacing w:after="80" w:before="80"/>
            </w:pPr>
            <w:r>
              <w:rPr>
                <w:b/>
                <w:bCs/>
                <w:color w:val="C55A11"/>
                <w:sz w:val="19"/>
                <w:szCs w:val="19"/>
              </w:rPr>
              <w:t xml:space="preserve">Nota di sicurezza:</w:t>
            </w:r>
            <w:r>
              <w:rPr>
                <w:color w:val="404040"/>
                <w:sz w:val="21"/>
                <w:szCs w:val="21"/>
              </w:rPr>
              <w:t xml:space="preserve">  Nessun componente interno espone endpoint pubblici diretti. Il traffico in ingresso transita obbligatoriamente attraverso l'Application Gateway.</w:t>
            </w:r>
          </w:p>
        </w:tc>
      </w:tr>
    </w:tbl>
    <w:p>
      <w:pPr>
        <w:spacing w:after="40" w:before="40"/>
      </w:pPr>
    </w:p>
    <w:p>
      <w:pPr>
        <w:pStyle w:val="Heading2"/>
        <w:spacing w:after="100" w:before="320"/>
      </w:pPr>
      <w:r>
        <w:t xml:space="preserve">4.2 Frontend (React SPA)</w:t>
      </w:r>
    </w:p>
    <w:p>
      <w:pPr>
        <w:spacing w:after="100" w:before="40"/>
        <w:jc w:val="both"/>
      </w:pPr>
      <w:r>
        <w:rPr>
          <w:color w:val="404040"/>
          <w:sz w:val="22"/>
          <w:szCs w:val="22"/>
        </w:rPr>
        <w:t xml:space="preserve">Il Frontend è una Single Page Application sviluppata in React 19 con TypeScript strict. Serve esclusivamente come interfaccia di interazione utente e non contiene logica di business.</w:t>
      </w:r>
    </w:p>
    <w:p>
      <w:pPr>
        <w:spacing w:after="40" w:before="40"/>
      </w:pPr>
    </w:p>
    <w:p>
      <w:pPr>
        <w:spacing w:after="100" w:before="40"/>
        <w:jc w:val="both"/>
      </w:pPr>
      <w:r>
        <w:rPr>
          <w:color w:val="404040"/>
          <w:sz w:val="22"/>
          <w:szCs w:val="22"/>
        </w:rPr>
        <w:t xml:space="preserve">Tecnologie e pattern principali:</w:t>
      </w:r>
    </w:p>
    <w:p>
      <w:pPr>
        <w:pStyle w:val="ListParagraph"/>
        <w:numPr>
          <w:ilvl w:val="0"/>
          <w:numId w:val="1"/>
        </w:numPr>
        <w:spacing w:after="50" w:before="30"/>
      </w:pPr>
      <w:r>
        <w:rPr>
          <w:b w:val="false"/>
          <w:bCs w:val="false"/>
          <w:color w:val="404040"/>
          <w:sz w:val="22"/>
          <w:szCs w:val="22"/>
        </w:rPr>
        <w:t xml:space="preserve">React 19 + TypeScript 4.9 — strict mode abilitato</w:t>
      </w:r>
    </w:p>
    <w:p>
      <w:pPr>
        <w:pStyle w:val="ListParagraph"/>
        <w:numPr>
          <w:ilvl w:val="0"/>
          <w:numId w:val="1"/>
        </w:numPr>
        <w:spacing w:after="50" w:before="30"/>
      </w:pPr>
      <w:r>
        <w:rPr>
          <w:b w:val="false"/>
          <w:bCs w:val="false"/>
          <w:color w:val="404040"/>
          <w:sz w:val="22"/>
          <w:szCs w:val="22"/>
        </w:rPr>
        <w:t xml:space="preserve">Azure MSAL (msal-browser + msal-react) — autenticazione utente tramite Azure AD con flusso popup</w:t>
      </w:r>
    </w:p>
    <w:p>
      <w:pPr>
        <w:pStyle w:val="ListParagraph"/>
        <w:numPr>
          <w:ilvl w:val="0"/>
          <w:numId w:val="1"/>
        </w:numPr>
        <w:spacing w:after="50" w:before="30"/>
      </w:pPr>
      <w:r>
        <w:rPr>
          <w:b w:val="false"/>
          <w:bCs w:val="false"/>
          <w:color w:val="404040"/>
          <w:sz w:val="22"/>
          <w:szCs w:val="22"/>
        </w:rPr>
        <w:t xml:space="preserve">MsalProvider come root provider — tutta l'app è avvolta nel contesto di autenticazione</w:t>
      </w:r>
    </w:p>
    <w:p>
      <w:pPr>
        <w:pStyle w:val="ListParagraph"/>
        <w:numPr>
          <w:ilvl w:val="0"/>
          <w:numId w:val="1"/>
        </w:numPr>
        <w:spacing w:after="50" w:before="30"/>
      </w:pPr>
      <w:r>
        <w:rPr>
          <w:b w:val="false"/>
          <w:bCs w:val="false"/>
          <w:color w:val="404040"/>
          <w:sz w:val="22"/>
          <w:szCs w:val="22"/>
        </w:rPr>
        <w:t xml:space="preserve">Nessuna logica di business nel FE — delegata interamente all'API BE tramite chiamate HTTP</w:t>
      </w:r>
    </w:p>
    <w:p>
      <w:pPr>
        <w:spacing w:after="40" w:before="40"/>
      </w:pPr>
    </w:p>
    <w:p>
      <w:pPr>
        <w:spacing w:after="100" w:before="40"/>
        <w:jc w:val="both"/>
      </w:pPr>
      <w:r>
        <w:rPr>
          <w:color w:val="404040"/>
          <w:sz w:val="22"/>
          <w:szCs w:val="22"/>
        </w:rPr>
        <w:t xml:space="preserve">Le variabili di configurazione sono iniettate a build-time tramite variabili d'ambiente prefissate REACT_APP_AZURE_*. Non vengono mai inclusi secret nel bundle JavaScript distribuito.</w:t>
      </w:r>
    </w:p>
    <w:p>
      <w:pPr>
        <w:spacing w:after="40" w:before="40"/>
      </w:pPr>
    </w:p>
    <w:p>
      <w:pPr>
        <w:pStyle w:val="Heading2"/>
        <w:spacing w:after="100" w:before="320"/>
      </w:pPr>
      <w:r>
        <w:t xml:space="preserve">4.3 API Backend (ASP.NET Core)</w:t>
      </w:r>
    </w:p>
    <w:p>
      <w:pPr>
        <w:spacing w:after="100" w:before="40"/>
        <w:jc w:val="both"/>
      </w:pPr>
      <w:r>
        <w:rPr>
          <w:color w:val="404040"/>
          <w:sz w:val="22"/>
          <w:szCs w:val="22"/>
        </w:rPr>
        <w:t xml:space="preserve">L'API Backend è il componente centrale della soluzione. Implementata in ASP.NET Core 10 con architettura Clean Architecture / DDD, espone endpoint REST consumati dal Frontend e orchestra l'intero pipeline di assessment.</w:t>
      </w:r>
    </w:p>
    <w:p>
      <w:pPr>
        <w:spacing w:after="40" w:before="40"/>
      </w:pPr>
    </w:p>
    <w:p>
      <w:pPr>
        <w:spacing w:after="100" w:before="40"/>
        <w:jc w:val="both"/>
      </w:pPr>
      <w:r>
        <w:rPr>
          <w:color w:val="404040"/>
          <w:sz w:val="22"/>
          <w:szCs w:val="22"/>
        </w:rPr>
        <w:t xml:space="preserve">È ospitata su Azure App Service (piano dedicato, vedere sezione 4.7) e accede a tutti i servizi Azure di backend: SQL Database, Blob Storage, Key Vault e Microsoft Graph.</w:t>
      </w:r>
    </w:p>
    <w:p>
      <w:pPr>
        <w:spacing w:after="40" w:before="40"/>
      </w:pPr>
    </w:p>
    <w:p>
      <w:pPr>
        <w:spacing w:after="100" w:before="40"/>
        <w:jc w:val="both"/>
      </w:pPr>
      <w:r>
        <w:rPr>
          <w:color w:val="404040"/>
          <w:sz w:val="22"/>
          <w:szCs w:val="22"/>
        </w:rPr>
        <w:t xml:space="preserve">La decomposizione interna dell'API BE è descritta in dettaglio nella sezione 5 (Architettura applicativa).</w:t>
      </w:r>
    </w:p>
    <w:p>
      <w:pPr>
        <w:spacing w:after="40" w:before="40"/>
      </w:pPr>
    </w:p>
    <w:p>
      <w:pPr>
        <w:pStyle w:val="Heading2"/>
        <w:spacing w:after="100" w:before="320"/>
      </w:pPr>
      <w:r>
        <w:t xml:space="preserve">4.4 Azure SQL Database</w:t>
      </w:r>
    </w:p>
    <w:p>
      <w:pPr>
        <w:spacing w:after="100" w:before="40"/>
        <w:jc w:val="both"/>
      </w:pPr>
      <w:r>
        <w:rPr>
          <w:color w:val="404040"/>
          <w:sz w:val="22"/>
          <w:szCs w:val="22"/>
        </w:rPr>
        <w:t xml:space="preserve">Il database relazionale SQL Server su Azure costituisce il sistema di persistenza principale della piattaforma. Gestisce tre entità fondamentali:</w:t>
      </w:r>
    </w:p>
    <w:p>
      <w:pPr>
        <w:spacing w:after="40" w:before="40"/>
      </w:pPr>
    </w:p>
    <w:tbl>
      <w:tblPr>
        <w:tblW w:type="pct" w:w="100%"/>
        <w:tblBorders>
          <w:top w:val="single" w:color="A0C4E0" w:sz="4"/>
          <w:left w:val="single" w:color="A0C4E0" w:sz="4"/>
          <w:bottom w:val="single" w:color="A0C4E0" w:sz="4"/>
          <w:right w:val="single" w:color="A0C4E0" w:sz="4"/>
          <w:insideH w:val="single" w:color="auto" w:sz="4"/>
          <w:insideV w:val="single" w:color="auto" w:sz="4"/>
        </w:tblBorders>
      </w:tblPr>
      <w:tblGrid>
        <w:gridCol w:w="100"/>
        <w:gridCol w:w="100"/>
      </w:tblGrid>
      <w:tr>
        <w:trPr>
          <w:tblHeader/>
        </w:trPr>
        <w:tc>
          <w:tcPr>
            <w:tcW w:type="pct" w:w="25%"/>
            <w:shd w:fill="0F2D4A" w:val="clear"/>
          </w:tcPr>
          <w:p>
            <w:pPr>
              <w:spacing w:after="60" w:before="60"/>
            </w:pPr>
            <w:r>
              <w:rPr>
                <w:b/>
                <w:bCs/>
                <w:color w:val="FFFFFF"/>
                <w:sz w:val="21"/>
                <w:szCs w:val="21"/>
              </w:rPr>
              <w:t xml:space="preserve">Tabella</w:t>
            </w:r>
          </w:p>
        </w:tc>
        <w:tc>
          <w:tcPr>
            <w:tcW w:type="pct" w:w="75%"/>
            <w:shd w:fill="0F2D4A" w:val="clear"/>
          </w:tcPr>
          <w:p>
            <w:pPr>
              <w:spacing w:after="60" w:before="60"/>
            </w:pPr>
            <w:r>
              <w:rPr>
                <w:b/>
                <w:bCs/>
                <w:color w:val="FFFFFF"/>
                <w:sz w:val="21"/>
                <w:szCs w:val="21"/>
              </w:rPr>
              <w:t xml:space="preserve">Descrizione</w:t>
            </w:r>
          </w:p>
        </w:tc>
      </w:tr>
      <w:tr>
        <w:tc>
          <w:tcPr>
            <w:shd w:fill="EBF4FB" w:val="clear"/>
          </w:tcPr>
          <w:p>
            <w:pPr>
              <w:spacing w:after="50" w:before="50"/>
            </w:pPr>
            <w:r>
              <w:rPr>
                <w:rFonts w:ascii="Courier New" w:cs="Courier New" w:eastAsia="Courier New" w:hAnsi="Courier New"/>
                <w:b w:val="false"/>
                <w:bCs w:val="false"/>
                <w:color w:val="1B5F8C"/>
                <w:sz w:val="21"/>
                <w:szCs w:val="21"/>
              </w:rPr>
              <w:t xml:space="preserve">Tenants</w:t>
            </w:r>
          </w:p>
        </w:tc>
        <w:tc>
          <w:tcPr>
            <w:shd w:fill="EBF4FB" w:val="clear"/>
          </w:tcPr>
          <w:p>
            <w:pPr>
              <w:spacing w:after="50" w:before="50"/>
            </w:pPr>
            <w:r>
              <w:rPr>
                <w:b w:val="false"/>
                <w:bCs w:val="false"/>
                <w:color w:val="404040"/>
                <w:sz w:val="21"/>
                <w:szCs w:val="21"/>
              </w:rPr>
              <w:t xml:space="preserve">Registro dei tenant clienti onboardati: nome, TenantId Azure, ClientId app registration, riferimento al secret in Key Vault</w:t>
            </w:r>
          </w:p>
        </w:tc>
      </w:tr>
      <w:tr>
        <w:tc>
          <w:tcPr>
            <w:shd w:fill="FFFFFF" w:val="clear"/>
          </w:tcPr>
          <w:p>
            <w:pPr>
              <w:spacing w:after="50" w:before="50"/>
            </w:pPr>
            <w:r>
              <w:rPr>
                <w:rFonts w:ascii="Courier New" w:cs="Courier New" w:eastAsia="Courier New" w:hAnsi="Courier New"/>
                <w:b w:val="false"/>
                <w:bCs w:val="false"/>
                <w:color w:val="1B5F8C"/>
                <w:sz w:val="21"/>
                <w:szCs w:val="21"/>
              </w:rPr>
              <w:t xml:space="preserve">EvaluationRuns</w:t>
            </w:r>
          </w:p>
        </w:tc>
        <w:tc>
          <w:tcPr>
            <w:shd w:fill="FFFFFF" w:val="clear"/>
          </w:tcPr>
          <w:p>
            <w:pPr>
              <w:spacing w:after="50" w:before="50"/>
            </w:pPr>
            <w:r>
              <w:rPr>
                <w:b w:val="false"/>
                <w:bCs w:val="false"/>
                <w:color w:val="404040"/>
                <w:sz w:val="21"/>
                <w:szCs w:val="21"/>
              </w:rPr>
              <w:t xml:space="preserve">Esecuzioni di assessment: stato (Pending/InProgress/Completed/Failed), template utilizzato, contatori aggregati (check totali, passati, falliti)</w:t>
            </w:r>
          </w:p>
        </w:tc>
      </w:tr>
      <w:tr>
        <w:tc>
          <w:tcPr>
            <w:shd w:fill="EBF4FB" w:val="clear"/>
          </w:tcPr>
          <w:p>
            <w:pPr>
              <w:spacing w:after="50" w:before="50"/>
            </w:pPr>
            <w:r>
              <w:rPr>
                <w:rFonts w:ascii="Courier New" w:cs="Courier New" w:eastAsia="Courier New" w:hAnsi="Courier New"/>
                <w:b w:val="false"/>
                <w:bCs w:val="false"/>
                <w:color w:val="1B5F8C"/>
                <w:sz w:val="21"/>
                <w:szCs w:val="21"/>
              </w:rPr>
              <w:t xml:space="preserve">EvaluationResults</w:t>
            </w:r>
          </w:p>
        </w:tc>
        <w:tc>
          <w:tcPr>
            <w:shd w:fill="EBF4FB" w:val="clear"/>
          </w:tcPr>
          <w:p>
            <w:pPr>
              <w:spacing w:after="50" w:before="50"/>
            </w:pPr>
            <w:r>
              <w:rPr>
                <w:b w:val="false"/>
                <w:bCs w:val="false"/>
                <w:color w:val="404040"/>
                <w:sz w:val="21"/>
                <w:szCs w:val="21"/>
              </w:rPr>
              <w:t xml:space="preserve">Risultati analitici per singola regola: RuleKey, esito, severità, valore atteso vs valore rilevato, note diagnostiche</w:t>
            </w:r>
          </w:p>
        </w:tc>
      </w:tr>
    </w:tbl>
    <w:p>
      <w:pPr>
        <w:spacing w:after="40" w:before="40"/>
      </w:pPr>
    </w:p>
    <w:p>
      <w:pPr>
        <w:spacing w:after="100" w:before="40"/>
        <w:jc w:val="both"/>
      </w:pPr>
      <w:r>
        <w:rPr>
          <w:color w:val="404040"/>
          <w:sz w:val="22"/>
          <w:szCs w:val="22"/>
        </w:rPr>
        <w:t xml:space="preserve">L'accesso al database è mediato da Entity Framework Core 10 tramite il contesto ZeroTrustDbContext. Le migrazioni sono gestite tramite EF Migrations con esecuzione controllata.</w:t>
      </w:r>
    </w:p>
    <w:p>
      <w:pPr>
        <w:spacing w:after="40" w:before="40"/>
      </w:pPr>
    </w:p>
    <w:p>
      <w:pPr>
        <w:pStyle w:val="Heading2"/>
        <w:spacing w:after="100" w:before="320"/>
      </w:pPr>
      <w:r>
        <w:t xml:space="preserve">4.5 Azure Blob Storage</w:t>
      </w:r>
    </w:p>
    <w:p>
      <w:pPr>
        <w:spacing w:after="100" w:before="40"/>
        <w:jc w:val="both"/>
      </w:pPr>
      <w:r>
        <w:rPr>
          <w:color w:val="404040"/>
          <w:sz w:val="22"/>
          <w:szCs w:val="22"/>
        </w:rPr>
        <w:t xml:space="preserve">Il Blob Storage ospita i template di valutazione in formato JSON, archiviati nel container evaluation-templates. Questo approccio consente di:</w:t>
      </w:r>
    </w:p>
    <w:p>
      <w:pPr>
        <w:pStyle w:val="ListParagraph"/>
        <w:numPr>
          <w:ilvl w:val="0"/>
          <w:numId w:val="1"/>
        </w:numPr>
        <w:spacing w:after="50" w:before="30"/>
      </w:pPr>
      <w:r>
        <w:rPr>
          <w:b w:val="false"/>
          <w:bCs w:val="false"/>
          <w:color w:val="404040"/>
          <w:sz w:val="22"/>
          <w:szCs w:val="22"/>
        </w:rPr>
        <w:t xml:space="preserve">Aggiornare, versionare e distribuire nuove regole di controllo senza alcun re-deploy del codice applicativo</w:t>
      </w:r>
    </w:p>
    <w:p>
      <w:pPr>
        <w:pStyle w:val="ListParagraph"/>
        <w:numPr>
          <w:ilvl w:val="0"/>
          <w:numId w:val="1"/>
        </w:numPr>
        <w:spacing w:after="50" w:before="30"/>
      </w:pPr>
      <w:r>
        <w:rPr>
          <w:b w:val="false"/>
          <w:bCs w:val="false"/>
          <w:color w:val="404040"/>
          <w:sz w:val="22"/>
          <w:szCs w:val="22"/>
        </w:rPr>
        <w:t xml:space="preserve">Mantenere un template di default (default-template.json) sempre disponibile come fallback</w:t>
      </w:r>
    </w:p>
    <w:p>
      <w:pPr>
        <w:pStyle w:val="ListParagraph"/>
        <w:numPr>
          <w:ilvl w:val="0"/>
          <w:numId w:val="1"/>
        </w:numPr>
        <w:spacing w:after="50" w:before="30"/>
      </w:pPr>
      <w:r>
        <w:rPr>
          <w:b w:val="false"/>
          <w:bCs w:val="false"/>
          <w:color w:val="404040"/>
          <w:sz w:val="22"/>
          <w:szCs w:val="22"/>
        </w:rPr>
        <w:t xml:space="preserve">Supportare template multipli per scenari di assessment differenziati (compliance, hardening, audit)</w:t>
      </w:r>
    </w:p>
    <w:p>
      <w:pPr>
        <w:spacing w:after="40" w:before="40"/>
      </w:pPr>
    </w:p>
    <w:p>
      <w:pPr>
        <w:spacing w:after="100" w:before="40"/>
        <w:jc w:val="both"/>
      </w:pPr>
      <w:r>
        <w:rPr>
          <w:color w:val="404040"/>
          <w:sz w:val="22"/>
          <w:szCs w:val="22"/>
        </w:rPr>
        <w:t xml:space="preserve">Il componente BlobTemplateProvider (layer Infrastructure) è responsabile del caricamento e della deserializzazione dei template. Il Blob Storage è accessibile esclusivamente dall'API BE tramite connection string conservata nella configurazione applicativa.</w:t>
      </w:r>
    </w:p>
    <w:p>
      <w:pPr>
        <w:spacing w:after="40" w:before="40"/>
      </w:pPr>
    </w:p>
    <w:p>
      <w:pPr>
        <w:pStyle w:val="Heading2"/>
        <w:spacing w:after="100" w:before="320"/>
      </w:pPr>
      <w:r>
        <w:t xml:space="preserve">4.6 Azure Key Vault</w:t>
      </w:r>
    </w:p>
    <w:p>
      <w:pPr>
        <w:spacing w:after="100" w:before="40"/>
        <w:jc w:val="both"/>
      </w:pPr>
      <w:r>
        <w:rPr>
          <w:color w:val="404040"/>
          <w:sz w:val="22"/>
          <w:szCs w:val="22"/>
        </w:rPr>
        <w:t xml:space="preserve">Il Key Vault è il componente deputato alla custodia sicura dei secret applicativi e, soprattutto, dei secret dei tenant clienti.</w:t>
      </w:r>
    </w:p>
    <w:p>
      <w:pPr>
        <w:spacing w:after="40" w:before="40"/>
      </w:pPr>
    </w:p>
    <w:p>
      <w:pPr>
        <w:spacing w:after="100" w:before="40"/>
        <w:jc w:val="both"/>
      </w:pPr>
      <w:r>
        <w:rPr>
          <w:color w:val="404040"/>
          <w:sz w:val="22"/>
          <w:szCs w:val="22"/>
        </w:rPr>
        <w:t xml:space="preserve">Per ogni tenant onboardato, il sistema conserva in Key Vault il client secret dell'app registration Azure AD del cliente. Il riferimento al secret (SecretReference nel modello Tenant) può essere:</w:t>
      </w:r>
    </w:p>
    <w:p>
      <w:pPr>
        <w:pStyle w:val="ListParagraph"/>
        <w:numPr>
          <w:ilvl w:val="0"/>
          <w:numId w:val="1"/>
        </w:numPr>
        <w:spacing w:after="50" w:before="30"/>
      </w:pPr>
      <w:r>
        <w:rPr>
          <w:b w:val="false"/>
          <w:bCs w:val="false"/>
          <w:color w:val="404040"/>
          <w:sz w:val="22"/>
          <w:szCs w:val="22"/>
        </w:rPr>
        <w:t xml:space="preserve">Un nome semplice (es. contoso-client-secret) — risolto direttamente</w:t>
      </w:r>
    </w:p>
    <w:p>
      <w:pPr>
        <w:pStyle w:val="ListParagraph"/>
        <w:numPr>
          <w:ilvl w:val="0"/>
          <w:numId w:val="1"/>
        </w:numPr>
        <w:spacing w:after="50" w:before="30"/>
      </w:pPr>
      <w:r>
        <w:rPr>
          <w:b w:val="false"/>
          <w:bCs w:val="false"/>
          <w:color w:val="404040"/>
          <w:sz w:val="22"/>
          <w:szCs w:val="22"/>
        </w:rPr>
        <w:t xml:space="preserve">Un URI completo Key Vault (es. https://vault.azure.net/secrets/contoso-client-secret) — il componente KeyVaultTenantCredentialProvider estrae automaticamente il nome dal path</w:t>
      </w:r>
    </w:p>
    <w:p>
      <w:pPr>
        <w:spacing w:after="40" w:before="40"/>
      </w:pPr>
    </w:p>
    <w:p>
      <w:pPr>
        <w:spacing w:after="100" w:before="40"/>
        <w:jc w:val="both"/>
      </w:pPr>
      <w:r>
        <w:rPr>
          <w:color w:val="404040"/>
          <w:sz w:val="22"/>
          <w:szCs w:val="22"/>
        </w:rPr>
        <w:t xml:space="preserve">L'accesso al Key Vault dall'API BE avviene tramite DefaultAzureCredential (Managed Identity in produzione), eliminando completamente la necessità di credenziali statiche nel codice o nella configurazione.</w:t>
      </w:r>
    </w:p>
    <w:p>
      <w:pPr>
        <w:spacing w:after="40" w:before="40"/>
      </w:pPr>
    </w:p>
    <w:tbl>
      <w:tblPr>
        <w:tblW w:type="pct" w:w="100%"/>
        <w:tblBorders>
          <w:top w:val="single" w:color="1B5F8C" w:sz="8"/>
          <w:left w:val="single" w:color="1B5F8C" w:sz="20"/>
          <w:bottom w:val="single" w:color="1B5F8C" w:sz="2"/>
          <w:right w:val="single" w:color="1B5F8C" w:sz="2"/>
          <w:insideH w:val="single" w:color="auto" w:sz="4"/>
          <w:insideV w:val="single" w:color="auto" w:sz="4"/>
        </w:tblBorders>
      </w:tblPr>
      <w:tblGrid>
        <w:gridCol w:w="100"/>
      </w:tblGrid>
      <w:tr>
        <w:tc>
          <w:tcPr>
            <w:shd w:fill="D6E8F7" w:val="clear"/>
          </w:tcPr>
          <w:p>
            <w:pPr>
              <w:spacing w:after="80" w:before="80"/>
            </w:pPr>
            <w:r>
              <w:rPr>
                <w:b/>
                <w:bCs/>
                <w:color w:val="1B5F8C"/>
                <w:sz w:val="19"/>
                <w:szCs w:val="19"/>
              </w:rPr>
              <w:t xml:space="preserve">Principio Zero Trust applicato:</w:t>
            </w:r>
            <w:r>
              <w:rPr>
                <w:color w:val="404040"/>
                <w:sz w:val="21"/>
                <w:szCs w:val="21"/>
              </w:rPr>
              <w:t xml:space="preserve">  Il secret del cliente non viene mai persistito nel database applicativo. Il database conserva solo il riferimento (nome/URI) al secret, che viene recuperato on-demand da Key Vault esclusivamente durante l'esecuzione di un assessment.</w:t>
            </w:r>
          </w:p>
        </w:tc>
      </w:tr>
    </w:tbl>
    <w:p>
      <w:pPr>
        <w:spacing w:after="40" w:before="40"/>
      </w:pPr>
    </w:p>
    <w:p>
      <w:pPr>
        <w:pStyle w:val="Heading2"/>
        <w:spacing w:after="100" w:before="320"/>
      </w:pPr>
      <w:r>
        <w:t xml:space="preserve">4.7 App Service Plan (Shared Resources)</w:t>
      </w:r>
    </w:p>
    <w:p>
      <w:pPr>
        <w:spacing w:after="100" w:before="40"/>
        <w:jc w:val="both"/>
      </w:pPr>
      <w:r>
        <w:rPr>
          <w:color w:val="404040"/>
          <w:sz w:val="22"/>
          <w:szCs w:val="22"/>
        </w:rPr>
        <w:t xml:space="preserve">L'App Service Plan definisce le risorse di calcolo (CPU, memoria, istanze) su cui viene eseguita l'API BE. È classificato come risorsa condivisa in quanto può ospitare più App Service (es. staging slot, ambienti separati) sullo stesso piano di allocazione, ottimizzando i costi infrastrutturali.</w:t>
      </w:r>
    </w:p>
    <w:p>
      <w:pPr>
        <w:spacing w:after="40" w:before="40"/>
      </w:pPr>
    </w:p>
    <w:p>
      <w:pPr>
        <w:pStyle w:val="Heading2"/>
        <w:spacing w:after="100" w:before="320"/>
      </w:pPr>
      <w:r>
        <w:t xml:space="preserve">4.8 Application Insights</w:t>
      </w:r>
    </w:p>
    <w:p>
      <w:pPr>
        <w:spacing w:after="100" w:before="40"/>
        <w:jc w:val="both"/>
      </w:pPr>
      <w:r>
        <w:rPr>
          <w:color w:val="404040"/>
          <w:sz w:val="22"/>
          <w:szCs w:val="22"/>
        </w:rPr>
        <w:t xml:space="preserve">Application Insights fornisce la layer di osservabilità dell'intera soluzione. Raccoglie in modo automatico:</w:t>
      </w:r>
    </w:p>
    <w:p>
      <w:pPr>
        <w:pStyle w:val="ListParagraph"/>
        <w:numPr>
          <w:ilvl w:val="0"/>
          <w:numId w:val="1"/>
        </w:numPr>
        <w:spacing w:after="50" w:before="30"/>
      </w:pPr>
      <w:r>
        <w:rPr>
          <w:b w:val="false"/>
          <w:bCs w:val="false"/>
          <w:color w:val="404040"/>
          <w:sz w:val="22"/>
          <w:szCs w:val="22"/>
        </w:rPr>
        <w:t xml:space="preserve">Request/response HTTP — latenza, status code, throughput</w:t>
      </w:r>
    </w:p>
    <w:p>
      <w:pPr>
        <w:pStyle w:val="ListParagraph"/>
        <w:numPr>
          <w:ilvl w:val="0"/>
          <w:numId w:val="1"/>
        </w:numPr>
        <w:spacing w:after="50" w:before="30"/>
      </w:pPr>
      <w:r>
        <w:rPr>
          <w:b w:val="false"/>
          <w:bCs w:val="false"/>
          <w:color w:val="404040"/>
          <w:sz w:val="22"/>
          <w:szCs w:val="22"/>
        </w:rPr>
        <w:t xml:space="preserve">Eccezioni non gestite e stack trace</w:t>
      </w:r>
    </w:p>
    <w:p>
      <w:pPr>
        <w:pStyle w:val="ListParagraph"/>
        <w:numPr>
          <w:ilvl w:val="0"/>
          <w:numId w:val="1"/>
        </w:numPr>
        <w:spacing w:after="50" w:before="30"/>
      </w:pPr>
      <w:r>
        <w:rPr>
          <w:b w:val="false"/>
          <w:bCs w:val="false"/>
          <w:color w:val="404040"/>
          <w:sz w:val="22"/>
          <w:szCs w:val="22"/>
        </w:rPr>
        <w:t xml:space="preserve">Dipendenze esterne — chiamate a SQL, Blob, Key Vault, Graph con latenza e tasso di errore</w:t>
      </w:r>
    </w:p>
    <w:p>
      <w:pPr>
        <w:pStyle w:val="ListParagraph"/>
        <w:numPr>
          <w:ilvl w:val="0"/>
          <w:numId w:val="1"/>
        </w:numPr>
        <w:spacing w:after="50" w:before="30"/>
      </w:pPr>
      <w:r>
        <w:rPr>
          <w:b w:val="false"/>
          <w:bCs w:val="false"/>
          <w:color w:val="404040"/>
          <w:sz w:val="22"/>
          <w:szCs w:val="22"/>
        </w:rPr>
        <w:t xml:space="preserve">Log strutturati emessi dall'applicazione</w:t>
      </w:r>
    </w:p>
    <w:p>
      <w:pPr>
        <w:spacing w:after="40" w:before="40"/>
      </w:pPr>
    </w:p>
    <w:p>
      <w:pPr>
        <w:spacing w:after="100" w:before="40"/>
        <w:jc w:val="both"/>
      </w:pPr>
      <w:r>
        <w:rPr>
          <w:color w:val="404040"/>
          <w:sz w:val="22"/>
          <w:szCs w:val="22"/>
        </w:rPr>
        <w:t xml:space="preserve">La telemetria di Application Insights è il punto di partenza per diagnostica di produzione, alerting su anomalie e analisi delle performance. È classificato come risorsa condivisa perché può servire più ambienti (produzione, staging).</w:t>
      </w:r>
    </w:p>
    <w:p>
      <w:r>
        <w:br w:type="page"/>
      </w:r>
    </w:p>
    <w:p>
      <w:pPr>
        <w:pStyle w:val="Heading1"/>
        <w:spacing w:after="120" w:before="480"/>
      </w:pPr>
      <w:r>
        <w:t xml:space="preserve">5. Architettura applicativa — Backend</w:t>
      </w:r>
    </w:p>
    <w:p>
      <w:pPr>
        <w:spacing w:after="100" w:before="40"/>
        <w:jc w:val="both"/>
      </w:pPr>
      <w:r>
        <w:rPr>
          <w:color w:val="404040"/>
          <w:sz w:val="22"/>
          <w:szCs w:val="22"/>
        </w:rPr>
        <w:t xml:space="preserve">Il backend adotta una Clean Architecture con separazione netta in quattro layer. Il flusso di dipendenze è unidirezionale: il Domain è il nucleo stabile senza dipendenze esterne; tutti gli altri layer dipendono da esso, mai il contrario.</w:t>
      </w:r>
    </w:p>
    <w:p>
      <w:pPr>
        <w:spacing w:after="40" w:before="40"/>
      </w:pPr>
    </w:p>
    <w:p>
      <w:pPr>
        <w:spacing w:after="120" w:before="80"/>
        <w:jc w:val="center"/>
      </w:pPr>
      <w:r>
        <w:rPr>
          <w:b/>
          <w:bCs/>
          <w:color w:val="FFFFFF"/>
          <w:sz w:val="21"/>
          <w:szCs w:val="21"/>
          <w:highlight w:val="darkBlue"/>
          <w:highlightCs w:val="darkBlue"/>
        </w:rPr>
        <w:t xml:space="preserve">  Api  </w:t>
      </w:r>
      <w:r>
        <w:rPr>
          <w:color w:val="707070"/>
          <w:sz w:val="21"/>
          <w:szCs w:val="21"/>
        </w:rPr>
        <w:t xml:space="preserve">  →  </w:t>
      </w:r>
      <w:r>
        <w:rPr>
          <w:b/>
          <w:bCs/>
          <w:color w:val="FFFFFF"/>
          <w:sz w:val="21"/>
          <w:szCs w:val="21"/>
          <w:highlight w:val="darkBlue"/>
          <w:highlightCs w:val="darkBlue"/>
        </w:rPr>
        <w:t xml:space="preserve">  Business  </w:t>
      </w:r>
      <w:r>
        <w:rPr>
          <w:color w:val="707070"/>
          <w:sz w:val="21"/>
          <w:szCs w:val="21"/>
        </w:rPr>
        <w:t xml:space="preserve">  →  </w:t>
      </w:r>
      <w:r>
        <w:rPr>
          <w:b/>
          <w:bCs/>
          <w:color w:val="FFFFFF"/>
          <w:sz w:val="21"/>
          <w:szCs w:val="21"/>
          <w:highlight w:val="darkBlue"/>
          <w:highlightCs w:val="darkBlue"/>
        </w:rPr>
        <w:t xml:space="preserve">  Domain  </w:t>
      </w:r>
      <w:r>
        <w:rPr>
          <w:color w:val="707070"/>
          <w:sz w:val="21"/>
          <w:szCs w:val="21"/>
        </w:rPr>
        <w:t xml:space="preserve">  ←  </w:t>
      </w:r>
      <w:r>
        <w:rPr>
          <w:b/>
          <w:bCs/>
          <w:color w:val="FFFFFF"/>
          <w:sz w:val="21"/>
          <w:szCs w:val="21"/>
          <w:highlight w:val="darkBlue"/>
          <w:highlightCs w:val="darkBlue"/>
        </w:rPr>
        <w:t xml:space="preserve">  Infrastructure  </w:t>
      </w:r>
    </w:p>
    <w:p>
      <w:pPr>
        <w:spacing w:after="40" w:before="40"/>
      </w:pPr>
    </w:p>
    <w:p>
      <w:pPr>
        <w:pStyle w:val="Heading2"/>
        <w:spacing w:after="100" w:before="320"/>
      </w:pPr>
      <w:r>
        <w:t xml:space="preserve">5.1 Layer Domain</w:t>
      </w:r>
    </w:p>
    <w:p>
      <w:pPr>
        <w:spacing w:after="100" w:before="40"/>
        <w:jc w:val="both"/>
      </w:pPr>
      <w:r>
        <w:rPr>
          <w:color w:val="404040"/>
          <w:sz w:val="22"/>
          <w:szCs w:val="22"/>
        </w:rPr>
        <w:t xml:space="preserve">Il Domain è il nucleo della soluzione. Non ha dipendenze su framework esterni o librerie di terze parti: contiene solo classi C# pure che modellano i concetti di business.</w:t>
      </w:r>
    </w:p>
    <w:p>
      <w:pPr>
        <w:spacing w:after="40" w:before="40"/>
      </w:pPr>
    </w:p>
    <w:tbl>
      <w:tblPr>
        <w:tblW w:type="pct" w:w="100%"/>
        <w:tblBorders>
          <w:top w:val="single" w:color="A0C4E0" w:sz="4"/>
          <w:left w:val="single" w:color="A0C4E0" w:sz="4"/>
          <w:bottom w:val="single" w:color="A0C4E0" w:sz="4"/>
          <w:right w:val="single" w:color="A0C4E0" w:sz="4"/>
          <w:insideH w:val="single" w:color="auto" w:sz="4"/>
          <w:insideV w:val="single" w:color="auto" w:sz="4"/>
        </w:tblBorders>
      </w:tblPr>
      <w:tblGrid>
        <w:gridCol w:w="100"/>
        <w:gridCol w:w="100"/>
      </w:tblGrid>
      <w:tr>
        <w:trPr>
          <w:tblHeader/>
        </w:trPr>
        <w:tc>
          <w:tcPr>
            <w:tcW w:type="pct" w:w="35%"/>
            <w:shd w:fill="0F2D4A" w:val="clear"/>
          </w:tcPr>
          <w:p>
            <w:pPr>
              <w:spacing w:after="60" w:before="60"/>
            </w:pPr>
            <w:r>
              <w:rPr>
                <w:b/>
                <w:bCs/>
                <w:color w:val="FFFFFF"/>
                <w:sz w:val="21"/>
                <w:szCs w:val="21"/>
              </w:rPr>
              <w:t xml:space="preserve">Elemento</w:t>
            </w:r>
          </w:p>
        </w:tc>
        <w:tc>
          <w:tcPr>
            <w:tcW w:type="pct" w:w="65%"/>
            <w:shd w:fill="0F2D4A" w:val="clear"/>
          </w:tcPr>
          <w:p>
            <w:pPr>
              <w:spacing w:after="60" w:before="60"/>
            </w:pPr>
            <w:r>
              <w:rPr>
                <w:b/>
                <w:bCs/>
                <w:color w:val="FFFFFF"/>
                <w:sz w:val="21"/>
                <w:szCs w:val="21"/>
              </w:rPr>
              <w:t xml:space="preserve">Responsabilità</w:t>
            </w:r>
          </w:p>
        </w:tc>
      </w:tr>
      <w:tr>
        <w:tc>
          <w:tcPr>
            <w:shd w:fill="EBF4FB" w:val="clear"/>
          </w:tcPr>
          <w:p>
            <w:pPr>
              <w:spacing w:after="50" w:before="50"/>
            </w:pPr>
            <w:r>
              <w:rPr>
                <w:rFonts w:ascii="Courier New" w:cs="Courier New" w:eastAsia="Courier New" w:hAnsi="Courier New"/>
                <w:b w:val="false"/>
                <w:bCs w:val="false"/>
                <w:color w:val="1B5F8C"/>
                <w:sz w:val="21"/>
                <w:szCs w:val="21"/>
              </w:rPr>
              <w:t xml:space="preserve">Tenant</w:t>
            </w:r>
          </w:p>
        </w:tc>
        <w:tc>
          <w:tcPr>
            <w:shd w:fill="EBF4FB" w:val="clear"/>
          </w:tcPr>
          <w:p>
            <w:pPr>
              <w:spacing w:after="50" w:before="50"/>
            </w:pPr>
            <w:r>
              <w:rPr>
                <w:b w:val="false"/>
                <w:bCs w:val="false"/>
                <w:color w:val="404040"/>
                <w:sz w:val="21"/>
                <w:szCs w:val="21"/>
              </w:rPr>
              <w:t xml:space="preserve">Entità: tenant cliente onboardato. Costruzione solo tramite factory statica Create(), invarianti validate inline.</w:t>
            </w:r>
          </w:p>
        </w:tc>
      </w:tr>
      <w:tr>
        <w:tc>
          <w:tcPr>
            <w:shd w:fill="FFFFFF" w:val="clear"/>
          </w:tcPr>
          <w:p>
            <w:pPr>
              <w:spacing w:after="50" w:before="50"/>
            </w:pPr>
            <w:r>
              <w:rPr>
                <w:rFonts w:ascii="Courier New" w:cs="Courier New" w:eastAsia="Courier New" w:hAnsi="Courier New"/>
                <w:b w:val="false"/>
                <w:bCs w:val="false"/>
                <w:color w:val="1B5F8C"/>
                <w:sz w:val="21"/>
                <w:szCs w:val="21"/>
              </w:rPr>
              <w:t xml:space="preserve">EvaluationRun</w:t>
            </w:r>
          </w:p>
        </w:tc>
        <w:tc>
          <w:tcPr>
            <w:shd w:fill="FFFFFF" w:val="clear"/>
          </w:tcPr>
          <w:p>
            <w:pPr>
              <w:spacing w:after="50" w:before="50"/>
            </w:pPr>
            <w:r>
              <w:rPr>
                <w:b w:val="false"/>
                <w:bCs w:val="false"/>
                <w:color w:val="404040"/>
                <w:sz w:val="21"/>
                <w:szCs w:val="21"/>
              </w:rPr>
              <w:t xml:space="preserve">Aggregate root: ciclo di vita di un assessment (Pending→InProgress→Completed/Failed). Contatori calcolati a Completed.</w:t>
            </w:r>
          </w:p>
        </w:tc>
      </w:tr>
      <w:tr>
        <w:tc>
          <w:tcPr>
            <w:shd w:fill="EBF4FB" w:val="clear"/>
          </w:tcPr>
          <w:p>
            <w:pPr>
              <w:spacing w:after="50" w:before="50"/>
            </w:pPr>
            <w:r>
              <w:rPr>
                <w:rFonts w:ascii="Courier New" w:cs="Courier New" w:eastAsia="Courier New" w:hAnsi="Courier New"/>
                <w:b w:val="false"/>
                <w:bCs w:val="false"/>
                <w:color w:val="1B5F8C"/>
                <w:sz w:val="21"/>
                <w:szCs w:val="21"/>
              </w:rPr>
              <w:t xml:space="preserve">EvaluationResult</w:t>
            </w:r>
          </w:p>
        </w:tc>
        <w:tc>
          <w:tcPr>
            <w:shd w:fill="EBF4FB" w:val="clear"/>
          </w:tcPr>
          <w:p>
            <w:pPr>
              <w:spacing w:after="50" w:before="50"/>
            </w:pPr>
            <w:r>
              <w:rPr>
                <w:b w:val="false"/>
                <w:bCs w:val="false"/>
                <w:color w:val="404040"/>
                <w:sz w:val="21"/>
                <w:szCs w:val="21"/>
              </w:rPr>
              <w:t xml:space="preserve">Value object: esito di una singola regola di controllo.</w:t>
            </w:r>
          </w:p>
        </w:tc>
      </w:tr>
      <w:tr>
        <w:tc>
          <w:tcPr>
            <w:shd w:fill="FFFFFF" w:val="clear"/>
          </w:tcPr>
          <w:p>
            <w:pPr>
              <w:spacing w:after="50" w:before="50"/>
            </w:pPr>
            <w:r>
              <w:rPr>
                <w:rFonts w:ascii="Courier New" w:cs="Courier New" w:eastAsia="Courier New" w:hAnsi="Courier New"/>
                <w:b w:val="false"/>
                <w:bCs w:val="false"/>
                <w:color w:val="1B5F8C"/>
                <w:sz w:val="21"/>
                <w:szCs w:val="21"/>
              </w:rPr>
              <w:t xml:space="preserve">EvaluationTemplateDefinition</w:t>
            </w:r>
          </w:p>
        </w:tc>
        <w:tc>
          <w:tcPr>
            <w:shd w:fill="FFFFFF" w:val="clear"/>
          </w:tcPr>
          <w:p>
            <w:pPr>
              <w:spacing w:after="50" w:before="50"/>
            </w:pPr>
            <w:r>
              <w:rPr>
                <w:b w:val="false"/>
                <w:bCs w:val="false"/>
                <w:color w:val="404040"/>
                <w:sz w:val="21"/>
                <w:szCs w:val="21"/>
              </w:rPr>
              <w:t xml:space="preserve">Template di valutazione: collezione di EvaluationRuleDefinition con DataPath, ComparisonType, Severity.</w:t>
            </w:r>
          </w:p>
        </w:tc>
      </w:tr>
      <w:tr>
        <w:tc>
          <w:tcPr>
            <w:shd w:fill="EBF4FB" w:val="clear"/>
          </w:tcPr>
          <w:p>
            <w:pPr>
              <w:spacing w:after="50" w:before="50"/>
            </w:pPr>
            <w:r>
              <w:rPr>
                <w:rFonts w:ascii="Courier New" w:cs="Courier New" w:eastAsia="Courier New" w:hAnsi="Courier New"/>
                <w:b w:val="false"/>
                <w:bCs w:val="false"/>
                <w:color w:val="1B5F8C"/>
                <w:sz w:val="21"/>
                <w:szCs w:val="21"/>
              </w:rPr>
              <w:t xml:space="preserve">TenantEvaluationSnapshot</w:t>
            </w:r>
          </w:p>
        </w:tc>
        <w:tc>
          <w:tcPr>
            <w:shd w:fill="EBF4FB" w:val="clear"/>
          </w:tcPr>
          <w:p>
            <w:pPr>
              <w:spacing w:after="50" w:before="50"/>
            </w:pPr>
            <w:r>
              <w:rPr>
                <w:b w:val="false"/>
                <w:bCs w:val="false"/>
                <w:color w:val="404040"/>
                <w:sz w:val="21"/>
                <w:szCs w:val="21"/>
              </w:rPr>
              <w:t xml:space="preserve">Dizionario string→string? dei dati raccolti dal tenant. Il DataPath di ogni regola è risolto come chiave.</w:t>
            </w:r>
          </w:p>
        </w:tc>
      </w:tr>
      <w:tr>
        <w:tc>
          <w:tcPr>
            <w:shd w:fill="FFFFFF" w:val="clear"/>
          </w:tcPr>
          <w:p>
            <w:pPr>
              <w:spacing w:after="50" w:before="50"/>
            </w:pPr>
            <w:r>
              <w:rPr>
                <w:rFonts w:ascii="Courier New" w:cs="Courier New" w:eastAsia="Courier New" w:hAnsi="Courier New"/>
                <w:b w:val="false"/>
                <w:bCs w:val="false"/>
                <w:color w:val="1B5F8C"/>
                <w:sz w:val="21"/>
                <w:szCs w:val="21"/>
              </w:rPr>
              <w:t xml:space="preserve">ITenantRepository</w:t>
            </w:r>
          </w:p>
        </w:tc>
        <w:tc>
          <w:tcPr>
            <w:shd w:fill="FFFFFF" w:val="clear"/>
          </w:tcPr>
          <w:p>
            <w:pPr>
              <w:spacing w:after="50" w:before="50"/>
            </w:pPr>
            <w:r>
              <w:rPr>
                <w:b w:val="false"/>
                <w:bCs w:val="false"/>
                <w:color w:val="404040"/>
                <w:sz w:val="21"/>
                <w:szCs w:val="21"/>
              </w:rPr>
              <w:t xml:space="preserve">Interfaccia di persistenza Tenant — implementata in Infrastructure.</w:t>
            </w:r>
          </w:p>
        </w:tc>
      </w:tr>
      <w:tr>
        <w:tc>
          <w:tcPr>
            <w:shd w:fill="EBF4FB" w:val="clear"/>
          </w:tcPr>
          <w:p>
            <w:pPr>
              <w:spacing w:after="50" w:before="50"/>
            </w:pPr>
            <w:r>
              <w:rPr>
                <w:rFonts w:ascii="Courier New" w:cs="Courier New" w:eastAsia="Courier New" w:hAnsi="Courier New"/>
                <w:b w:val="false"/>
                <w:bCs w:val="false"/>
                <w:color w:val="1B5F8C"/>
                <w:sz w:val="21"/>
                <w:szCs w:val="21"/>
              </w:rPr>
              <w:t xml:space="preserve">IEvaluationRunRepository</w:t>
            </w:r>
          </w:p>
        </w:tc>
        <w:tc>
          <w:tcPr>
            <w:shd w:fill="EBF4FB" w:val="clear"/>
          </w:tcPr>
          <w:p>
            <w:pPr>
              <w:spacing w:after="50" w:before="50"/>
            </w:pPr>
            <w:r>
              <w:rPr>
                <w:b w:val="false"/>
                <w:bCs w:val="false"/>
                <w:color w:val="404040"/>
                <w:sz w:val="21"/>
                <w:szCs w:val="21"/>
              </w:rPr>
              <w:t xml:space="preserve">Interfaccia di persistenza EvaluationRun — implementata in Infrastructure.</w:t>
            </w:r>
          </w:p>
        </w:tc>
      </w:tr>
      <w:tr>
        <w:tc>
          <w:tcPr>
            <w:shd w:fill="FFFFFF" w:val="clear"/>
          </w:tcPr>
          <w:p>
            <w:pPr>
              <w:spacing w:after="50" w:before="50"/>
            </w:pPr>
            <w:r>
              <w:rPr>
                <w:rFonts w:ascii="Courier New" w:cs="Courier New" w:eastAsia="Courier New" w:hAnsi="Courier New"/>
                <w:b w:val="false"/>
                <w:bCs w:val="false"/>
                <w:color w:val="1B5F8C"/>
                <w:sz w:val="21"/>
                <w:szCs w:val="21"/>
              </w:rPr>
              <w:t xml:space="preserve">IPolicyEvaluator</w:t>
            </w:r>
          </w:p>
        </w:tc>
        <w:tc>
          <w:tcPr>
            <w:shd w:fill="FFFFFF" w:val="clear"/>
          </w:tcPr>
          <w:p>
            <w:pPr>
              <w:spacing w:after="50" w:before="50"/>
            </w:pPr>
            <w:r>
              <w:rPr>
                <w:b w:val="false"/>
                <w:bCs w:val="false"/>
                <w:color w:val="404040"/>
                <w:sz w:val="21"/>
                <w:szCs w:val="21"/>
              </w:rPr>
              <w:t xml:space="preserve">Interfaccia del rule engine — implementata in Infrastructure.</w:t>
            </w:r>
          </w:p>
        </w:tc>
      </w:tr>
      <w:tr>
        <w:tc>
          <w:tcPr>
            <w:shd w:fill="EBF4FB" w:val="clear"/>
          </w:tcPr>
          <w:p>
            <w:pPr>
              <w:spacing w:after="50" w:before="50"/>
            </w:pPr>
            <w:r>
              <w:rPr>
                <w:rFonts w:ascii="Courier New" w:cs="Courier New" w:eastAsia="Courier New" w:hAnsi="Courier New"/>
                <w:b w:val="false"/>
                <w:bCs w:val="false"/>
                <w:color w:val="1B5F8C"/>
                <w:sz w:val="21"/>
                <w:szCs w:val="21"/>
              </w:rPr>
              <w:t xml:space="preserve">ITenantDataCollector</w:t>
            </w:r>
          </w:p>
        </w:tc>
        <w:tc>
          <w:tcPr>
            <w:shd w:fill="EBF4FB" w:val="clear"/>
          </w:tcPr>
          <w:p>
            <w:pPr>
              <w:spacing w:after="50" w:before="50"/>
            </w:pPr>
            <w:r>
              <w:rPr>
                <w:b w:val="false"/>
                <w:bCs w:val="false"/>
                <w:color w:val="404040"/>
                <w:sz w:val="21"/>
                <w:szCs w:val="21"/>
              </w:rPr>
              <w:t xml:space="preserve">Interfaccia raccolta dati tenant — implementata in Infrastructure (Microsoft Graph).</w:t>
            </w:r>
          </w:p>
        </w:tc>
      </w:tr>
      <w:tr>
        <w:tc>
          <w:tcPr>
            <w:shd w:fill="FFFFFF" w:val="clear"/>
          </w:tcPr>
          <w:p>
            <w:pPr>
              <w:spacing w:after="50" w:before="50"/>
            </w:pPr>
            <w:r>
              <w:rPr>
                <w:rFonts w:ascii="Courier New" w:cs="Courier New" w:eastAsia="Courier New" w:hAnsi="Courier New"/>
                <w:b w:val="false"/>
                <w:bCs w:val="false"/>
                <w:color w:val="1B5F8C"/>
                <w:sz w:val="21"/>
                <w:szCs w:val="21"/>
              </w:rPr>
              <w:t xml:space="preserve">ITenantCredentialProvider</w:t>
            </w:r>
          </w:p>
        </w:tc>
        <w:tc>
          <w:tcPr>
            <w:shd w:fill="FFFFFF" w:val="clear"/>
          </w:tcPr>
          <w:p>
            <w:pPr>
              <w:spacing w:after="50" w:before="50"/>
            </w:pPr>
            <w:r>
              <w:rPr>
                <w:b w:val="false"/>
                <w:bCs w:val="false"/>
                <w:color w:val="404040"/>
                <w:sz w:val="21"/>
                <w:szCs w:val="21"/>
              </w:rPr>
              <w:t xml:space="preserve">Interfaccia recupero secret — implementata in Infrastructure (Key Vault).</w:t>
            </w:r>
          </w:p>
        </w:tc>
      </w:tr>
      <w:tr>
        <w:tc>
          <w:tcPr>
            <w:shd w:fill="EBF4FB" w:val="clear"/>
          </w:tcPr>
          <w:p>
            <w:pPr>
              <w:spacing w:after="50" w:before="50"/>
            </w:pPr>
            <w:r>
              <w:rPr>
                <w:rFonts w:ascii="Courier New" w:cs="Courier New" w:eastAsia="Courier New" w:hAnsi="Courier New"/>
                <w:b w:val="false"/>
                <w:bCs w:val="false"/>
                <w:color w:val="1B5F8C"/>
                <w:sz w:val="21"/>
                <w:szCs w:val="21"/>
              </w:rPr>
              <w:t xml:space="preserve">ITemplateProvider</w:t>
            </w:r>
          </w:p>
        </w:tc>
        <w:tc>
          <w:tcPr>
            <w:shd w:fill="EBF4FB" w:val="clear"/>
          </w:tcPr>
          <w:p>
            <w:pPr>
              <w:spacing w:after="50" w:before="50"/>
            </w:pPr>
            <w:r>
              <w:rPr>
                <w:b w:val="false"/>
                <w:bCs w:val="false"/>
                <w:color w:val="404040"/>
                <w:sz w:val="21"/>
                <w:szCs w:val="21"/>
              </w:rPr>
              <w:t xml:space="preserve">Interfaccia caricamento template — implementata in Infrastructure (Blob Storage).</w:t>
            </w:r>
          </w:p>
        </w:tc>
      </w:tr>
    </w:tbl>
    <w:p>
      <w:pPr>
        <w:spacing w:after="40" w:before="40"/>
      </w:pPr>
    </w:p>
    <w:p>
      <w:pPr>
        <w:pStyle w:val="Heading2"/>
        <w:spacing w:after="100" w:before="320"/>
      </w:pPr>
      <w:r>
        <w:t xml:space="preserve">5.2 Layer Business</w:t>
      </w:r>
    </w:p>
    <w:p>
      <w:pPr>
        <w:spacing w:after="100" w:before="40"/>
        <w:jc w:val="both"/>
      </w:pPr>
      <w:r>
        <w:rPr>
          <w:color w:val="404040"/>
          <w:sz w:val="22"/>
          <w:szCs w:val="22"/>
        </w:rPr>
        <w:t xml:space="preserve">Il Business layer contiene i servizi applicativi che orchestrano i use-case. Dipende esclusivamente dalle interfacce definite nel Domain; non conosce EF Core, Azure SDK o HTTP.</w:t>
      </w:r>
    </w:p>
    <w:p>
      <w:pPr>
        <w:spacing w:after="40" w:before="40"/>
      </w:pPr>
    </w:p>
    <w:p>
      <w:pPr>
        <w:pStyle w:val="Heading3"/>
        <w:spacing w:after="80" w:before="220"/>
      </w:pPr>
      <w:r>
        <w:t xml:space="preserve">EvaluationRunService — pipeline di assessment</w:t>
      </w:r>
    </w:p>
    <w:p>
      <w:pPr>
        <w:spacing w:after="100" w:before="40"/>
        <w:jc w:val="both"/>
      </w:pPr>
      <w:r>
        <w:rPr>
          <w:color w:val="404040"/>
          <w:sz w:val="22"/>
          <w:szCs w:val="22"/>
        </w:rPr>
        <w:t xml:space="preserve">Questo servizio implementa il flusso critico dell'assessment in sequenza:</w:t>
      </w:r>
    </w:p>
    <w:p>
      <w:pPr>
        <w:pStyle w:val="ListParagraph"/>
        <w:numPr>
          <w:ilvl w:val="0"/>
          <w:numId w:val="1"/>
        </w:numPr>
        <w:spacing w:after="50" w:before="30"/>
      </w:pPr>
      <w:r>
        <w:rPr>
          <w:b w:val="false"/>
          <w:bCs w:val="false"/>
          <w:color w:val="404040"/>
          <w:sz w:val="22"/>
          <w:szCs w:val="22"/>
        </w:rPr>
        <w:t xml:space="preserve">Recupera il tenant dal repository e valida la sua esistenza</w:t>
      </w:r>
    </w:p>
    <w:p>
      <w:pPr>
        <w:pStyle w:val="ListParagraph"/>
        <w:numPr>
          <w:ilvl w:val="0"/>
          <w:numId w:val="1"/>
        </w:numPr>
        <w:spacing w:after="50" w:before="30"/>
      </w:pPr>
      <w:r>
        <w:rPr>
          <w:b w:val="false"/>
          <w:bCs w:val="false"/>
          <w:color w:val="404040"/>
          <w:sz w:val="22"/>
          <w:szCs w:val="22"/>
        </w:rPr>
        <w:t xml:space="preserve">Crea un EvaluationRun in stato Pending e lo persiste immediatamente (per tracciabilità)</w:t>
      </w:r>
    </w:p>
    <w:p>
      <w:pPr>
        <w:pStyle w:val="ListParagraph"/>
        <w:numPr>
          <w:ilvl w:val="0"/>
          <w:numId w:val="1"/>
        </w:numPr>
        <w:spacing w:after="50" w:before="30"/>
      </w:pPr>
      <w:r>
        <w:rPr>
          <w:b w:val="false"/>
          <w:bCs w:val="false"/>
          <w:color w:val="404040"/>
          <w:sz w:val="22"/>
          <w:szCs w:val="22"/>
        </w:rPr>
        <w:t xml:space="preserve">Carica il template JSON da Blob Storage tramite ITemplateProvider</w:t>
      </w:r>
    </w:p>
    <w:p>
      <w:pPr>
        <w:pStyle w:val="ListParagraph"/>
        <w:numPr>
          <w:ilvl w:val="0"/>
          <w:numId w:val="1"/>
        </w:numPr>
        <w:spacing w:after="50" w:before="30"/>
      </w:pPr>
      <w:r>
        <w:rPr>
          <w:b w:val="false"/>
          <w:bCs w:val="false"/>
          <w:color w:val="404040"/>
          <w:sz w:val="22"/>
          <w:szCs w:val="22"/>
        </w:rPr>
        <w:t xml:space="preserve">Recupera il client secret del tenant da Key Vault tramite ITenantCredentialProvider</w:t>
      </w:r>
    </w:p>
    <w:p>
      <w:pPr>
        <w:pStyle w:val="ListParagraph"/>
        <w:numPr>
          <w:ilvl w:val="0"/>
          <w:numId w:val="1"/>
        </w:numPr>
        <w:spacing w:after="50" w:before="30"/>
      </w:pPr>
      <w:r>
        <w:rPr>
          <w:b w:val="false"/>
          <w:bCs w:val="false"/>
          <w:color w:val="404040"/>
          <w:sz w:val="22"/>
          <w:szCs w:val="22"/>
        </w:rPr>
        <w:t xml:space="preserve">Raccoglie i dati di configurazione del tenant tramite Microsoft Graph (ITenantDataCollector)</w:t>
      </w:r>
    </w:p>
    <w:p>
      <w:pPr>
        <w:pStyle w:val="ListParagraph"/>
        <w:numPr>
          <w:ilvl w:val="0"/>
          <w:numId w:val="1"/>
        </w:numPr>
        <w:spacing w:after="50" w:before="30"/>
      </w:pPr>
      <w:r>
        <w:rPr>
          <w:b w:val="false"/>
          <w:bCs w:val="false"/>
          <w:color w:val="404040"/>
          <w:sz w:val="22"/>
          <w:szCs w:val="22"/>
        </w:rPr>
        <w:t xml:space="preserve">Esegue il rule engine (IPolicyEvaluator) producendo i risultati per ogni regola</w:t>
      </w:r>
    </w:p>
    <w:p>
      <w:pPr>
        <w:pStyle w:val="ListParagraph"/>
        <w:numPr>
          <w:ilvl w:val="0"/>
          <w:numId w:val="1"/>
        </w:numPr>
        <w:spacing w:after="50" w:before="30"/>
      </w:pPr>
      <w:r>
        <w:rPr>
          <w:b w:val="false"/>
          <w:bCs w:val="false"/>
          <w:color w:val="404040"/>
          <w:sz w:val="22"/>
          <w:szCs w:val="22"/>
        </w:rPr>
        <w:t xml:space="preserve">Chiama EvaluationRun.Complete(results) o EvaluationRun.Fail(message) e salva lo stato finale</w:t>
      </w:r>
    </w:p>
    <w:p>
      <w:pPr>
        <w:spacing w:after="40" w:before="40"/>
      </w:pPr>
    </w:p>
    <w:tbl>
      <w:tblPr>
        <w:tblW w:type="pct" w:w="100%"/>
        <w:tblBorders>
          <w:top w:val="single" w:color="1B5F8C" w:sz="8"/>
          <w:left w:val="single" w:color="1B5F8C" w:sz="20"/>
          <w:bottom w:val="single" w:color="1B5F8C" w:sz="2"/>
          <w:right w:val="single" w:color="1B5F8C" w:sz="2"/>
          <w:insideH w:val="single" w:color="auto" w:sz="4"/>
          <w:insideV w:val="single" w:color="auto" w:sz="4"/>
        </w:tblBorders>
      </w:tblPr>
      <w:tblGrid>
        <w:gridCol w:w="100"/>
      </w:tblGrid>
      <w:tr>
        <w:tc>
          <w:tcPr>
            <w:shd w:fill="D6E8F7" w:val="clear"/>
          </w:tcPr>
          <w:p>
            <w:pPr>
              <w:spacing w:after="80" w:before="80"/>
            </w:pPr>
            <w:r>
              <w:rPr>
                <w:b/>
                <w:bCs/>
                <w:color w:val="1B5F8C"/>
                <w:sz w:val="19"/>
                <w:szCs w:val="19"/>
              </w:rPr>
              <w:t xml:space="preserve">Fault tolerance:</w:t>
            </w:r>
            <w:r>
              <w:rPr>
                <w:color w:val="404040"/>
                <w:sz w:val="21"/>
                <w:szCs w:val="21"/>
              </w:rPr>
              <w:t xml:space="preserve">  Qualsiasi eccezione nel pipeline viene catturata, l'EvaluationRun viene marcato Failed con il messaggio di errore, e il risultato parziale viene comunque persistito. Il chiamante HTTP riceve sempre una risposta 202 Accepted.</w:t>
            </w:r>
          </w:p>
        </w:tc>
      </w:tr>
    </w:tbl>
    <w:p>
      <w:pPr>
        <w:spacing w:after="40" w:before="40"/>
      </w:pPr>
    </w:p>
    <w:p>
      <w:pPr>
        <w:pStyle w:val="Heading2"/>
        <w:spacing w:after="100" w:before="320"/>
      </w:pPr>
      <w:r>
        <w:t xml:space="preserve">5.3 Layer Infrastructure</w:t>
      </w:r>
    </w:p>
    <w:p>
      <w:pPr>
        <w:spacing w:after="100" w:before="40"/>
        <w:jc w:val="both"/>
      </w:pPr>
      <w:r>
        <w:rPr>
          <w:color w:val="404040"/>
          <w:sz w:val="22"/>
          <w:szCs w:val="22"/>
        </w:rPr>
        <w:t xml:space="preserve">Il layer Infrastructure fornisce le implementazioni concrete delle interfacce di dominio, integrando i servizi Azure e il database relazionale.</w:t>
      </w:r>
    </w:p>
    <w:p>
      <w:pPr>
        <w:spacing w:after="40" w:before="40"/>
      </w:pPr>
    </w:p>
    <w:tbl>
      <w:tblPr>
        <w:tblW w:type="pct" w:w="100%"/>
        <w:tblBorders>
          <w:top w:val="single" w:color="A0C4E0" w:sz="4"/>
          <w:left w:val="single" w:color="A0C4E0" w:sz="4"/>
          <w:bottom w:val="single" w:color="A0C4E0" w:sz="4"/>
          <w:right w:val="single" w:color="A0C4E0" w:sz="4"/>
          <w:insideH w:val="single" w:color="auto" w:sz="4"/>
          <w:insideV w:val="single" w:color="auto" w:sz="4"/>
        </w:tblBorders>
      </w:tblPr>
      <w:tblGrid>
        <w:gridCol w:w="100"/>
        <w:gridCol w:w="100"/>
        <w:gridCol w:w="100"/>
      </w:tblGrid>
      <w:tr>
        <w:trPr>
          <w:tblHeader/>
        </w:trPr>
        <w:tc>
          <w:tcPr>
            <w:tcW w:type="pct" w:w="42%"/>
            <w:shd w:fill="0F2D4A" w:val="clear"/>
          </w:tcPr>
          <w:p>
            <w:pPr>
              <w:spacing w:after="60" w:before="60"/>
            </w:pPr>
            <w:r>
              <w:rPr>
                <w:b/>
                <w:bCs/>
                <w:color w:val="FFFFFF"/>
                <w:sz w:val="21"/>
                <w:szCs w:val="21"/>
              </w:rPr>
              <w:t xml:space="preserve">Classe</w:t>
            </w:r>
          </w:p>
        </w:tc>
        <w:tc>
          <w:tcPr>
            <w:tcW w:type="pct" w:w="28%"/>
            <w:shd w:fill="0F2D4A" w:val="clear"/>
          </w:tcPr>
          <w:p>
            <w:pPr>
              <w:spacing w:after="60" w:before="60"/>
            </w:pPr>
            <w:r>
              <w:rPr>
                <w:b/>
                <w:bCs/>
                <w:color w:val="FFFFFF"/>
                <w:sz w:val="21"/>
                <w:szCs w:val="21"/>
              </w:rPr>
              <w:t xml:space="preserve">Interfaccia</w:t>
            </w:r>
          </w:p>
        </w:tc>
        <w:tc>
          <w:tcPr>
            <w:tcW w:type="pct" w:w="30%"/>
            <w:shd w:fill="0F2D4A" w:val="clear"/>
          </w:tcPr>
          <w:p>
            <w:pPr>
              <w:spacing w:after="60" w:before="60"/>
            </w:pPr>
            <w:r>
              <w:rPr>
                <w:b/>
                <w:bCs/>
                <w:color w:val="FFFFFF"/>
                <w:sz w:val="21"/>
                <w:szCs w:val="21"/>
              </w:rPr>
              <w:t xml:space="preserve">Tecnologia</w:t>
            </w:r>
          </w:p>
        </w:tc>
      </w:tr>
      <w:tr>
        <w:tc>
          <w:tcPr>
            <w:shd w:fill="EBF4FB" w:val="clear"/>
          </w:tcPr>
          <w:p>
            <w:pPr>
              <w:spacing w:after="50" w:before="50"/>
            </w:pPr>
            <w:r>
              <w:rPr>
                <w:rFonts w:ascii="Courier New" w:cs="Courier New" w:eastAsia="Courier New" w:hAnsi="Courier New"/>
                <w:b w:val="false"/>
                <w:bCs w:val="false"/>
                <w:color w:val="1B5F8C"/>
                <w:sz w:val="21"/>
                <w:szCs w:val="21"/>
              </w:rPr>
              <w:t xml:space="preserve">TenantRepository</w:t>
            </w:r>
          </w:p>
        </w:tc>
        <w:tc>
          <w:tcPr>
            <w:shd w:fill="EBF4FB" w:val="clear"/>
          </w:tcPr>
          <w:p>
            <w:pPr>
              <w:spacing w:after="50" w:before="50"/>
            </w:pPr>
            <w:r>
              <w:rPr>
                <w:rFonts w:ascii="Courier New" w:cs="Courier New" w:eastAsia="Courier New" w:hAnsi="Courier New"/>
                <w:b w:val="false"/>
                <w:bCs w:val="false"/>
                <w:color w:val="1B5F8C"/>
                <w:sz w:val="21"/>
                <w:szCs w:val="21"/>
              </w:rPr>
              <w:t xml:space="preserve">ITenantRepository</w:t>
            </w:r>
          </w:p>
        </w:tc>
        <w:tc>
          <w:tcPr>
            <w:shd w:fill="EBF4FB" w:val="clear"/>
          </w:tcPr>
          <w:p>
            <w:pPr>
              <w:spacing w:after="50" w:before="50"/>
            </w:pPr>
            <w:r>
              <w:rPr>
                <w:b w:val="false"/>
                <w:bCs w:val="false"/>
                <w:color w:val="404040"/>
                <w:sz w:val="21"/>
                <w:szCs w:val="21"/>
              </w:rPr>
              <w:t xml:space="preserve">EF Core / SQL Server</w:t>
            </w:r>
          </w:p>
        </w:tc>
      </w:tr>
      <w:tr>
        <w:tc>
          <w:tcPr>
            <w:shd w:fill="FFFFFF" w:val="clear"/>
          </w:tcPr>
          <w:p>
            <w:pPr>
              <w:spacing w:after="50" w:before="50"/>
            </w:pPr>
            <w:r>
              <w:rPr>
                <w:rFonts w:ascii="Courier New" w:cs="Courier New" w:eastAsia="Courier New" w:hAnsi="Courier New"/>
                <w:b w:val="false"/>
                <w:bCs w:val="false"/>
                <w:color w:val="1B5F8C"/>
                <w:sz w:val="21"/>
                <w:szCs w:val="21"/>
              </w:rPr>
              <w:t xml:space="preserve">EvaluationRunRepository</w:t>
            </w:r>
          </w:p>
        </w:tc>
        <w:tc>
          <w:tcPr>
            <w:shd w:fill="FFFFFF" w:val="clear"/>
          </w:tcPr>
          <w:p>
            <w:pPr>
              <w:spacing w:after="50" w:before="50"/>
            </w:pPr>
            <w:r>
              <w:rPr>
                <w:rFonts w:ascii="Courier New" w:cs="Courier New" w:eastAsia="Courier New" w:hAnsi="Courier New"/>
                <w:b w:val="false"/>
                <w:bCs w:val="false"/>
                <w:color w:val="1B5F8C"/>
                <w:sz w:val="21"/>
                <w:szCs w:val="21"/>
              </w:rPr>
              <w:t xml:space="preserve">IEvaluationRunRepository</w:t>
            </w:r>
          </w:p>
        </w:tc>
        <w:tc>
          <w:tcPr>
            <w:shd w:fill="FFFFFF" w:val="clear"/>
          </w:tcPr>
          <w:p>
            <w:pPr>
              <w:spacing w:after="50" w:before="50"/>
            </w:pPr>
            <w:r>
              <w:rPr>
                <w:b w:val="false"/>
                <w:bCs w:val="false"/>
                <w:color w:val="404040"/>
                <w:sz w:val="21"/>
                <w:szCs w:val="21"/>
              </w:rPr>
              <w:t xml:space="preserve">EF Core / SQL Server</w:t>
            </w:r>
          </w:p>
        </w:tc>
      </w:tr>
      <w:tr>
        <w:tc>
          <w:tcPr>
            <w:shd w:fill="EBF4FB" w:val="clear"/>
          </w:tcPr>
          <w:p>
            <w:pPr>
              <w:spacing w:after="50" w:before="50"/>
            </w:pPr>
            <w:r>
              <w:rPr>
                <w:rFonts w:ascii="Courier New" w:cs="Courier New" w:eastAsia="Courier New" w:hAnsi="Courier New"/>
                <w:b w:val="false"/>
                <w:bCs w:val="false"/>
                <w:color w:val="1B5F8C"/>
                <w:sz w:val="21"/>
                <w:szCs w:val="21"/>
              </w:rPr>
              <w:t xml:space="preserve">BlobTemplateProvider</w:t>
            </w:r>
          </w:p>
        </w:tc>
        <w:tc>
          <w:tcPr>
            <w:shd w:fill="EBF4FB" w:val="clear"/>
          </w:tcPr>
          <w:p>
            <w:pPr>
              <w:spacing w:after="50" w:before="50"/>
            </w:pPr>
            <w:r>
              <w:rPr>
                <w:rFonts w:ascii="Courier New" w:cs="Courier New" w:eastAsia="Courier New" w:hAnsi="Courier New"/>
                <w:b w:val="false"/>
                <w:bCs w:val="false"/>
                <w:color w:val="1B5F8C"/>
                <w:sz w:val="21"/>
                <w:szCs w:val="21"/>
              </w:rPr>
              <w:t xml:space="preserve">ITemplateProvider</w:t>
            </w:r>
          </w:p>
        </w:tc>
        <w:tc>
          <w:tcPr>
            <w:shd w:fill="EBF4FB" w:val="clear"/>
          </w:tcPr>
          <w:p>
            <w:pPr>
              <w:spacing w:after="50" w:before="50"/>
            </w:pPr>
            <w:r>
              <w:rPr>
                <w:b w:val="false"/>
                <w:bCs w:val="false"/>
                <w:color w:val="404040"/>
                <w:sz w:val="21"/>
                <w:szCs w:val="21"/>
              </w:rPr>
              <w:t xml:space="preserve">Azure Blob Storage SDK</w:t>
            </w:r>
          </w:p>
        </w:tc>
      </w:tr>
      <w:tr>
        <w:tc>
          <w:tcPr>
            <w:shd w:fill="FFFFFF" w:val="clear"/>
          </w:tcPr>
          <w:p>
            <w:pPr>
              <w:spacing w:after="50" w:before="50"/>
            </w:pPr>
            <w:r>
              <w:rPr>
                <w:rFonts w:ascii="Courier New" w:cs="Courier New" w:eastAsia="Courier New" w:hAnsi="Courier New"/>
                <w:b w:val="false"/>
                <w:bCs w:val="false"/>
                <w:color w:val="1B5F8C"/>
                <w:sz w:val="21"/>
                <w:szCs w:val="21"/>
              </w:rPr>
              <w:t xml:space="preserve">KeyVaultTenantCredentialProvider</w:t>
            </w:r>
          </w:p>
        </w:tc>
        <w:tc>
          <w:tcPr>
            <w:shd w:fill="FFFFFF" w:val="clear"/>
          </w:tcPr>
          <w:p>
            <w:pPr>
              <w:spacing w:after="50" w:before="50"/>
            </w:pPr>
            <w:r>
              <w:rPr>
                <w:rFonts w:ascii="Courier New" w:cs="Courier New" w:eastAsia="Courier New" w:hAnsi="Courier New"/>
                <w:b w:val="false"/>
                <w:bCs w:val="false"/>
                <w:color w:val="1B5F8C"/>
                <w:sz w:val="21"/>
                <w:szCs w:val="21"/>
              </w:rPr>
              <w:t xml:space="preserve">ITenantCredentialProvider</w:t>
            </w:r>
          </w:p>
        </w:tc>
        <w:tc>
          <w:tcPr>
            <w:shd w:fill="FFFFFF" w:val="clear"/>
          </w:tcPr>
          <w:p>
            <w:pPr>
              <w:spacing w:after="50" w:before="50"/>
            </w:pPr>
            <w:r>
              <w:rPr>
                <w:b w:val="false"/>
                <w:bCs w:val="false"/>
                <w:color w:val="404040"/>
                <w:sz w:val="21"/>
                <w:szCs w:val="21"/>
              </w:rPr>
              <w:t xml:space="preserve">Azure Key Vault SDK</w:t>
            </w:r>
          </w:p>
        </w:tc>
      </w:tr>
      <w:tr>
        <w:tc>
          <w:tcPr>
            <w:shd w:fill="EBF4FB" w:val="clear"/>
          </w:tcPr>
          <w:p>
            <w:pPr>
              <w:spacing w:after="50" w:before="50"/>
            </w:pPr>
            <w:r>
              <w:rPr>
                <w:rFonts w:ascii="Courier New" w:cs="Courier New" w:eastAsia="Courier New" w:hAnsi="Courier New"/>
                <w:b w:val="false"/>
                <w:bCs w:val="false"/>
                <w:color w:val="1B5F8C"/>
                <w:sz w:val="21"/>
                <w:szCs w:val="21"/>
              </w:rPr>
              <w:t xml:space="preserve">MicrosoftGraphTenantDataCollector</w:t>
            </w:r>
          </w:p>
        </w:tc>
        <w:tc>
          <w:tcPr>
            <w:shd w:fill="EBF4FB" w:val="clear"/>
          </w:tcPr>
          <w:p>
            <w:pPr>
              <w:spacing w:after="50" w:before="50"/>
            </w:pPr>
            <w:r>
              <w:rPr>
                <w:rFonts w:ascii="Courier New" w:cs="Courier New" w:eastAsia="Courier New" w:hAnsi="Courier New"/>
                <w:b w:val="false"/>
                <w:bCs w:val="false"/>
                <w:color w:val="1B5F8C"/>
                <w:sz w:val="21"/>
                <w:szCs w:val="21"/>
              </w:rPr>
              <w:t xml:space="preserve">ITenantDataCollector</w:t>
            </w:r>
          </w:p>
        </w:tc>
        <w:tc>
          <w:tcPr>
            <w:shd w:fill="EBF4FB" w:val="clear"/>
          </w:tcPr>
          <w:p>
            <w:pPr>
              <w:spacing w:after="50" w:before="50"/>
            </w:pPr>
            <w:r>
              <w:rPr>
                <w:b w:val="false"/>
                <w:bCs w:val="false"/>
                <w:color w:val="404040"/>
                <w:sz w:val="21"/>
                <w:szCs w:val="21"/>
              </w:rPr>
              <w:t xml:space="preserve">Microsoft Graph SDK</w:t>
            </w:r>
          </w:p>
        </w:tc>
      </w:tr>
      <w:tr>
        <w:tc>
          <w:tcPr>
            <w:shd w:fill="FFFFFF" w:val="clear"/>
          </w:tcPr>
          <w:p>
            <w:pPr>
              <w:spacing w:after="50" w:before="50"/>
            </w:pPr>
            <w:r>
              <w:rPr>
                <w:rFonts w:ascii="Courier New" w:cs="Courier New" w:eastAsia="Courier New" w:hAnsi="Courier New"/>
                <w:b w:val="false"/>
                <w:bCs w:val="false"/>
                <w:color w:val="1B5F8C"/>
                <w:sz w:val="21"/>
                <w:szCs w:val="21"/>
              </w:rPr>
              <w:t xml:space="preserve">PolicyEvaluator</w:t>
            </w:r>
          </w:p>
        </w:tc>
        <w:tc>
          <w:tcPr>
            <w:shd w:fill="FFFFFF" w:val="clear"/>
          </w:tcPr>
          <w:p>
            <w:pPr>
              <w:spacing w:after="50" w:before="50"/>
            </w:pPr>
            <w:r>
              <w:rPr>
                <w:rFonts w:ascii="Courier New" w:cs="Courier New" w:eastAsia="Courier New" w:hAnsi="Courier New"/>
                <w:b w:val="false"/>
                <w:bCs w:val="false"/>
                <w:color w:val="1B5F8C"/>
                <w:sz w:val="21"/>
                <w:szCs w:val="21"/>
              </w:rPr>
              <w:t xml:space="preserve">IPolicyEvaluator</w:t>
            </w:r>
          </w:p>
        </w:tc>
        <w:tc>
          <w:tcPr>
            <w:shd w:fill="FFFFFF" w:val="clear"/>
          </w:tcPr>
          <w:p>
            <w:pPr>
              <w:spacing w:after="50" w:before="50"/>
            </w:pPr>
            <w:r>
              <w:rPr>
                <w:b w:val="false"/>
                <w:bCs w:val="false"/>
                <w:color w:val="404040"/>
                <w:sz w:val="21"/>
                <w:szCs w:val="21"/>
              </w:rPr>
              <w:t xml:space="preserve">Logica C# pura</w:t>
            </w:r>
          </w:p>
        </w:tc>
      </w:tr>
    </w:tbl>
    <w:p>
      <w:pPr>
        <w:spacing w:after="40" w:before="40"/>
      </w:pPr>
    </w:p>
    <w:p>
      <w:pPr>
        <w:pStyle w:val="Heading2"/>
        <w:spacing w:after="100" w:before="320"/>
      </w:pPr>
      <w:r>
        <w:t xml:space="preserve">5.4 Layer API</w:t>
      </w:r>
    </w:p>
    <w:p>
      <w:pPr>
        <w:spacing w:after="100" w:before="40"/>
        <w:jc w:val="both"/>
      </w:pPr>
      <w:r>
        <w:rPr>
          <w:color w:val="404040"/>
          <w:sz w:val="22"/>
          <w:szCs w:val="22"/>
        </w:rPr>
        <w:t xml:space="preserve">Il layer API espone gli endpoint REST e orchestra la Dependency Injection. Non contiene logica di business: delega interamente al layer Business.</w:t>
      </w:r>
    </w:p>
    <w:p>
      <w:pPr>
        <w:spacing w:after="40" w:before="40"/>
      </w:pPr>
    </w:p>
    <w:tbl>
      <w:tblPr>
        <w:tblW w:type="pct" w:w="100%"/>
        <w:tblBorders>
          <w:top w:val="single" w:color="A0C4E0" w:sz="4"/>
          <w:left w:val="single" w:color="A0C4E0" w:sz="4"/>
          <w:bottom w:val="single" w:color="A0C4E0" w:sz="4"/>
          <w:right w:val="single" w:color="A0C4E0" w:sz="4"/>
          <w:insideH w:val="single" w:color="auto" w:sz="4"/>
          <w:insideV w:val="single" w:color="auto" w:sz="4"/>
        </w:tblBorders>
      </w:tblPr>
      <w:tblGrid>
        <w:gridCol w:w="100"/>
        <w:gridCol w:w="100"/>
        <w:gridCol w:w="100"/>
      </w:tblGrid>
      <w:tr>
        <w:trPr>
          <w:tblHeader/>
        </w:trPr>
        <w:tc>
          <w:tcPr>
            <w:tcW w:type="pct" w:w="38%"/>
            <w:shd w:fill="0F2D4A" w:val="clear"/>
          </w:tcPr>
          <w:p>
            <w:pPr>
              <w:spacing w:after="60" w:before="60"/>
            </w:pPr>
            <w:r>
              <w:rPr>
                <w:b/>
                <w:bCs/>
                <w:color w:val="FFFFFF"/>
                <w:sz w:val="21"/>
                <w:szCs w:val="21"/>
              </w:rPr>
              <w:t xml:space="preserve">Controller</w:t>
            </w:r>
          </w:p>
        </w:tc>
        <w:tc>
          <w:tcPr>
            <w:tcW w:type="pct" w:w="32%"/>
            <w:shd w:fill="0F2D4A" w:val="clear"/>
          </w:tcPr>
          <w:p>
            <w:pPr>
              <w:spacing w:after="60" w:before="60"/>
            </w:pPr>
            <w:r>
              <w:rPr>
                <w:b/>
                <w:bCs/>
                <w:color w:val="FFFFFF"/>
                <w:sz w:val="21"/>
                <w:szCs w:val="21"/>
              </w:rPr>
              <w:t xml:space="preserve">Route</w:t>
            </w:r>
          </w:p>
        </w:tc>
        <w:tc>
          <w:tcPr>
            <w:tcW w:type="pct" w:w="30%"/>
            <w:shd w:fill="0F2D4A" w:val="clear"/>
          </w:tcPr>
          <w:p>
            <w:pPr>
              <w:spacing w:after="60" w:before="60"/>
            </w:pPr>
            <w:r>
              <w:rPr>
                <w:b/>
                <w:bCs/>
                <w:color w:val="FFFFFF"/>
                <w:sz w:val="21"/>
                <w:szCs w:val="21"/>
              </w:rPr>
              <w:t xml:space="preserve">Operazioni</w:t>
            </w:r>
          </w:p>
        </w:tc>
      </w:tr>
      <w:tr>
        <w:tc>
          <w:tcPr>
            <w:shd w:fill="EBF4FB" w:val="clear"/>
          </w:tcPr>
          <w:p>
            <w:pPr>
              <w:spacing w:after="50" w:before="50"/>
            </w:pPr>
            <w:r>
              <w:rPr>
                <w:rFonts w:ascii="Courier New" w:cs="Courier New" w:eastAsia="Courier New" w:hAnsi="Courier New"/>
                <w:b w:val="false"/>
                <w:bCs w:val="false"/>
                <w:color w:val="1B5F8C"/>
                <w:sz w:val="21"/>
                <w:szCs w:val="21"/>
              </w:rPr>
              <w:t xml:space="preserve">TenantsController</w:t>
            </w:r>
          </w:p>
        </w:tc>
        <w:tc>
          <w:tcPr>
            <w:shd w:fill="EBF4FB" w:val="clear"/>
          </w:tcPr>
          <w:p>
            <w:pPr>
              <w:spacing w:after="50" w:before="50"/>
            </w:pPr>
            <w:r>
              <w:rPr>
                <w:rFonts w:ascii="Courier New" w:cs="Courier New" w:eastAsia="Courier New" w:hAnsi="Courier New"/>
                <w:b w:val="false"/>
                <w:bCs w:val="false"/>
                <w:color w:val="1B5F8C"/>
                <w:sz w:val="21"/>
                <w:szCs w:val="21"/>
              </w:rPr>
              <w:t xml:space="preserve">GET/POST/PUT /api/tenants</w:t>
            </w:r>
          </w:p>
        </w:tc>
        <w:tc>
          <w:tcPr>
            <w:shd w:fill="EBF4FB" w:val="clear"/>
          </w:tcPr>
          <w:p>
            <w:pPr>
              <w:spacing w:after="50" w:before="50"/>
            </w:pPr>
            <w:r>
              <w:rPr>
                <w:b w:val="false"/>
                <w:bCs w:val="false"/>
                <w:color w:val="404040"/>
                <w:sz w:val="21"/>
                <w:szCs w:val="21"/>
              </w:rPr>
              <w:t xml:space="preserve">CRUD tenant clienti</w:t>
            </w:r>
          </w:p>
        </w:tc>
      </w:tr>
      <w:tr>
        <w:tc>
          <w:tcPr>
            <w:shd w:fill="FFFFFF" w:val="clear"/>
          </w:tcPr>
          <w:p>
            <w:pPr>
              <w:spacing w:after="50" w:before="50"/>
            </w:pPr>
            <w:r>
              <w:rPr>
                <w:rFonts w:ascii="Courier New" w:cs="Courier New" w:eastAsia="Courier New" w:hAnsi="Courier New"/>
                <w:b w:val="false"/>
                <w:bCs w:val="false"/>
                <w:color w:val="1B5F8C"/>
                <w:sz w:val="21"/>
                <w:szCs w:val="21"/>
              </w:rPr>
              <w:t xml:space="preserve">EvaluationRunsController</w:t>
            </w:r>
          </w:p>
        </w:tc>
        <w:tc>
          <w:tcPr>
            <w:shd w:fill="FFFFFF" w:val="clear"/>
          </w:tcPr>
          <w:p>
            <w:pPr>
              <w:spacing w:after="50" w:before="50"/>
            </w:pPr>
            <w:r>
              <w:rPr>
                <w:rFonts w:ascii="Courier New" w:cs="Courier New" w:eastAsia="Courier New" w:hAnsi="Courier New"/>
                <w:b w:val="false"/>
                <w:bCs w:val="false"/>
                <w:color w:val="1B5F8C"/>
                <w:sz w:val="21"/>
                <w:szCs w:val="21"/>
              </w:rPr>
              <w:t xml:space="preserve">POST /api/evaluations/runs</w:t>
            </w:r>
          </w:p>
        </w:tc>
        <w:tc>
          <w:tcPr>
            <w:shd w:fill="FFFFFF" w:val="clear"/>
          </w:tcPr>
          <w:p>
            <w:pPr>
              <w:spacing w:after="50" w:before="50"/>
            </w:pPr>
            <w:r>
              <w:rPr>
                <w:b w:val="false"/>
                <w:bCs w:val="false"/>
                <w:color w:val="404040"/>
                <w:sz w:val="21"/>
                <w:szCs w:val="21"/>
              </w:rPr>
              <w:t xml:space="preserve">Avvia assessment</w:t>
            </w:r>
          </w:p>
        </w:tc>
      </w:tr>
      <w:tr>
        <w:tc>
          <w:tcPr>
            <w:shd w:fill="EBF4FB" w:val="clear"/>
          </w:tcPr>
          <w:p>
            <w:pPr>
              <w:spacing w:after="50" w:before="50"/>
            </w:pPr>
            <w:r>
              <w:rPr>
                <w:rFonts w:ascii="Courier New" w:cs="Courier New" w:eastAsia="Courier New" w:hAnsi="Courier New"/>
                <w:b w:val="false"/>
                <w:bCs w:val="false"/>
                <w:color w:val="1B5F8C"/>
                <w:sz w:val="21"/>
                <w:szCs w:val="21"/>
              </w:rPr>
              <w:t xml:space="preserve">EvaluationRunsController</w:t>
            </w:r>
          </w:p>
        </w:tc>
        <w:tc>
          <w:tcPr>
            <w:shd w:fill="EBF4FB" w:val="clear"/>
          </w:tcPr>
          <w:p>
            <w:pPr>
              <w:spacing w:after="50" w:before="50"/>
            </w:pPr>
            <w:r>
              <w:rPr>
                <w:rFonts w:ascii="Courier New" w:cs="Courier New" w:eastAsia="Courier New" w:hAnsi="Courier New"/>
                <w:b w:val="false"/>
                <w:bCs w:val="false"/>
                <w:color w:val="1B5F8C"/>
                <w:sz w:val="21"/>
                <w:szCs w:val="21"/>
              </w:rPr>
              <w:t xml:space="preserve">GET /api/evaluations/runs</w:t>
            </w:r>
          </w:p>
        </w:tc>
        <w:tc>
          <w:tcPr>
            <w:shd w:fill="EBF4FB" w:val="clear"/>
          </w:tcPr>
          <w:p>
            <w:pPr>
              <w:spacing w:after="50" w:before="50"/>
            </w:pPr>
            <w:r>
              <w:rPr>
                <w:b w:val="false"/>
                <w:bCs w:val="false"/>
                <w:color w:val="404040"/>
                <w:sz w:val="21"/>
                <w:szCs w:val="21"/>
              </w:rPr>
              <w:t xml:space="preserve">Lista tutti gli assessment</w:t>
            </w:r>
          </w:p>
        </w:tc>
      </w:tr>
      <w:tr>
        <w:tc>
          <w:tcPr>
            <w:shd w:fill="FFFFFF" w:val="clear"/>
          </w:tcPr>
          <w:p>
            <w:pPr>
              <w:spacing w:after="50" w:before="50"/>
            </w:pPr>
            <w:r>
              <w:rPr>
                <w:rFonts w:ascii="Courier New" w:cs="Courier New" w:eastAsia="Courier New" w:hAnsi="Courier New"/>
                <w:b w:val="false"/>
                <w:bCs w:val="false"/>
                <w:color w:val="1B5F8C"/>
                <w:sz w:val="21"/>
                <w:szCs w:val="21"/>
              </w:rPr>
              <w:t xml:space="preserve">EvaluationRunsController</w:t>
            </w:r>
          </w:p>
        </w:tc>
        <w:tc>
          <w:tcPr>
            <w:shd w:fill="FFFFFF" w:val="clear"/>
          </w:tcPr>
          <w:p>
            <w:pPr>
              <w:spacing w:after="50" w:before="50"/>
            </w:pPr>
            <w:r>
              <w:rPr>
                <w:rFonts w:ascii="Courier New" w:cs="Courier New" w:eastAsia="Courier New" w:hAnsi="Courier New"/>
                <w:b w:val="false"/>
                <w:bCs w:val="false"/>
                <w:color w:val="1B5F8C"/>
                <w:sz w:val="21"/>
                <w:szCs w:val="21"/>
              </w:rPr>
              <w:t xml:space="preserve">GET /api/evaluations/runs/{id}</w:t>
            </w:r>
          </w:p>
        </w:tc>
        <w:tc>
          <w:tcPr>
            <w:shd w:fill="FFFFFF" w:val="clear"/>
          </w:tcPr>
          <w:p>
            <w:pPr>
              <w:spacing w:after="50" w:before="50"/>
            </w:pPr>
            <w:r>
              <w:rPr>
                <w:b w:val="false"/>
                <w:bCs w:val="false"/>
                <w:color w:val="404040"/>
                <w:sz w:val="21"/>
                <w:szCs w:val="21"/>
              </w:rPr>
              <w:t xml:space="preserve">Dettaglio assessment</w:t>
            </w:r>
          </w:p>
        </w:tc>
      </w:tr>
      <w:tr>
        <w:tc>
          <w:tcPr>
            <w:shd w:fill="EBF4FB" w:val="clear"/>
          </w:tcPr>
          <w:p>
            <w:pPr>
              <w:spacing w:after="50" w:before="50"/>
            </w:pPr>
            <w:r>
              <w:rPr>
                <w:rFonts w:ascii="Courier New" w:cs="Courier New" w:eastAsia="Courier New" w:hAnsi="Courier New"/>
                <w:b w:val="false"/>
                <w:bCs w:val="false"/>
                <w:color w:val="1B5F8C"/>
                <w:sz w:val="21"/>
                <w:szCs w:val="21"/>
              </w:rPr>
              <w:t xml:space="preserve">EvaluationRunsController</w:t>
            </w:r>
          </w:p>
        </w:tc>
        <w:tc>
          <w:tcPr>
            <w:shd w:fill="EBF4FB" w:val="clear"/>
          </w:tcPr>
          <w:p>
            <w:pPr>
              <w:spacing w:after="50" w:before="50"/>
            </w:pPr>
            <w:r>
              <w:rPr>
                <w:rFonts w:ascii="Courier New" w:cs="Courier New" w:eastAsia="Courier New" w:hAnsi="Courier New"/>
                <w:b w:val="false"/>
                <w:bCs w:val="false"/>
                <w:color w:val="1B5F8C"/>
                <w:sz w:val="21"/>
                <w:szCs w:val="21"/>
              </w:rPr>
              <w:t xml:space="preserve">GET /api/tenants/{id}/runs</w:t>
            </w:r>
          </w:p>
        </w:tc>
        <w:tc>
          <w:tcPr>
            <w:shd w:fill="EBF4FB" w:val="clear"/>
          </w:tcPr>
          <w:p>
            <w:pPr>
              <w:spacing w:after="50" w:before="50"/>
            </w:pPr>
            <w:r>
              <w:rPr>
                <w:b w:val="false"/>
                <w:bCs w:val="false"/>
                <w:color w:val="404040"/>
                <w:sz w:val="21"/>
                <w:szCs w:val="21"/>
              </w:rPr>
              <w:t xml:space="preserve">Assessment per tenant</w:t>
            </w:r>
          </w:p>
        </w:tc>
      </w:tr>
    </w:tbl>
    <w:p>
      <w:pPr>
        <w:spacing w:after="40" w:before="40"/>
      </w:pPr>
    </w:p>
    <w:p>
      <w:pPr>
        <w:spacing w:after="100" w:before="40"/>
        <w:jc w:val="both"/>
      </w:pPr>
      <w:r>
        <w:rPr>
          <w:color w:val="404040"/>
          <w:sz w:val="22"/>
          <w:szCs w:val="22"/>
        </w:rPr>
        <w:t xml:space="preserve">I contratti API (request/response) sono implementati come sealed record C#. Le mappature Domain→Response sono centralizzate nel file ApiMappings.cs come extension methods interni al progetto Api. La validazione del dominio (DomainValidationException) viene convertita automaticamente in ValidationProblem HTTP 400.</w:t>
      </w:r>
    </w:p>
    <w:p>
      <w:r>
        <w:br w:type="page"/>
      </w:r>
    </w:p>
    <w:p>
      <w:pPr>
        <w:pStyle w:val="Heading1"/>
        <w:spacing w:after="120" w:before="480"/>
      </w:pPr>
      <w:r>
        <w:t xml:space="preserve">6. Flussi di dati principali</w:t>
      </w:r>
    </w:p>
    <w:p>
      <w:pPr>
        <w:pStyle w:val="Heading2"/>
        <w:spacing w:after="100" w:before="320"/>
      </w:pPr>
      <w:r>
        <w:t xml:space="preserve">6.1 Flusso di autenticazione utente</w:t>
      </w:r>
    </w:p>
    <w:p>
      <w:pPr>
        <w:spacing w:after="100" w:before="40"/>
        <w:jc w:val="both"/>
      </w:pPr>
      <w:r>
        <w:rPr>
          <w:color w:val="404040"/>
          <w:sz w:val="22"/>
          <w:szCs w:val="22"/>
        </w:rPr>
        <w:t xml:space="preserve">1. L'utente accede al Frontend React. </w:t>
      </w:r>
      <w:r>
        <w:rPr>
          <w:b/>
          <w:bCs/>
          <w:color w:val="0F2D4A"/>
          <w:sz w:val="22"/>
          <w:szCs w:val="22"/>
        </w:rPr>
        <w:t xml:space="preserve">MSAL </w:t>
      </w:r>
      <w:r>
        <w:rPr>
          <w:color w:val="404040"/>
          <w:sz w:val="22"/>
          <w:szCs w:val="22"/>
        </w:rPr>
        <w:t xml:space="preserve">intercetta la sessione non autenticata e avvia il flusso </w:t>
      </w:r>
      <w:r>
        <w:rPr>
          <w:b/>
          <w:bCs/>
          <w:color w:val="0F2D4A"/>
          <w:sz w:val="22"/>
          <w:szCs w:val="22"/>
        </w:rPr>
        <w:t xml:space="preserve">loginPopup </w:t>
      </w:r>
      <w:r>
        <w:rPr>
          <w:color w:val="404040"/>
          <w:sz w:val="22"/>
          <w:szCs w:val="22"/>
        </w:rPr>
        <w:t xml:space="preserve">verso Azure AD.</w:t>
      </w:r>
    </w:p>
    <w:p>
      <w:pPr>
        <w:spacing w:after="100" w:before="40"/>
        <w:jc w:val="both"/>
      </w:pPr>
      <w:r>
        <w:rPr>
          <w:color w:val="404040"/>
          <w:sz w:val="22"/>
          <w:szCs w:val="22"/>
        </w:rPr>
        <w:t xml:space="preserve">2. Azure AD autentica l'utente, rilascia un ID token e un access token.</w:t>
      </w:r>
    </w:p>
    <w:p>
      <w:pPr>
        <w:spacing w:after="100" w:before="40"/>
        <w:jc w:val="both"/>
      </w:pPr>
      <w:r>
        <w:rPr>
          <w:color w:val="404040"/>
          <w:sz w:val="22"/>
          <w:szCs w:val="22"/>
        </w:rPr>
        <w:t xml:space="preserve">3. MSAL persiste i token in sessionStorage (non localStorage, per sicurezza).</w:t>
      </w:r>
    </w:p>
    <w:p>
      <w:pPr>
        <w:spacing w:after="100" w:before="40"/>
        <w:jc w:val="both"/>
      </w:pPr>
      <w:r>
        <w:rPr>
          <w:color w:val="404040"/>
          <w:sz w:val="22"/>
          <w:szCs w:val="22"/>
        </w:rPr>
        <w:t xml:space="preserve">4. Le successive chiamate HTTP dal Frontend all'API BE includono l'access token nell'header Authorization Bearer.</w:t>
      </w:r>
    </w:p>
    <w:p>
      <w:pPr>
        <w:spacing w:after="40" w:before="40"/>
      </w:pPr>
    </w:p>
    <w:p>
      <w:pPr>
        <w:pStyle w:val="Heading2"/>
        <w:spacing w:after="100" w:before="320"/>
      </w:pPr>
      <w:r>
        <w:t xml:space="preserve">6.2 Flusso di onboarding tenant</w:t>
      </w:r>
    </w:p>
    <w:p>
      <w:pPr>
        <w:spacing w:after="100" w:before="40"/>
        <w:jc w:val="both"/>
      </w:pPr>
      <w:r>
        <w:rPr>
          <w:color w:val="404040"/>
          <w:sz w:val="22"/>
          <w:szCs w:val="22"/>
        </w:rPr>
        <w:t xml:space="preserve">1. L'amministratore registra un nuovo tenant cliente tramite POST /api/tenants fornendo: TenantName, TenantId Azure, ClientId dell'app registration, SecretReference al secret in Key Vault.</w:t>
      </w:r>
    </w:p>
    <w:p>
      <w:pPr>
        <w:spacing w:after="100" w:before="40"/>
        <w:jc w:val="both"/>
      </w:pPr>
      <w:r>
        <w:rPr>
          <w:color w:val="404040"/>
          <w:sz w:val="22"/>
          <w:szCs w:val="22"/>
        </w:rPr>
        <w:t xml:space="preserve">2. Il Domain model Tenant.Create() valida i GUID e la non-nullità dei campi.</w:t>
      </w:r>
    </w:p>
    <w:p>
      <w:pPr>
        <w:spacing w:after="100" w:before="40"/>
        <w:jc w:val="both"/>
      </w:pPr>
      <w:r>
        <w:rPr>
          <w:color w:val="404040"/>
          <w:sz w:val="22"/>
          <w:szCs w:val="22"/>
        </w:rPr>
        <w:t xml:space="preserve">3. Il record viene persistito in SQL Database. Il secret del cliente rimane in Key Vault — nel DB viene salvato solo il riferimento.</w:t>
      </w:r>
    </w:p>
    <w:p>
      <w:pPr>
        <w:spacing w:after="40" w:before="40"/>
      </w:pPr>
    </w:p>
    <w:p>
      <w:pPr>
        <w:pStyle w:val="Heading2"/>
        <w:spacing w:after="100" w:before="320"/>
      </w:pPr>
      <w:r>
        <w:t xml:space="preserve">6.3 Flusso di assessment (pipeline principale)</w:t>
      </w:r>
    </w:p>
    <w:p>
      <w:pPr>
        <w:spacing w:after="100" w:before="40"/>
        <w:jc w:val="both"/>
      </w:pPr>
      <w:r>
        <w:rPr>
          <w:color w:val="404040"/>
          <w:sz w:val="22"/>
          <w:szCs w:val="22"/>
        </w:rPr>
        <w:t xml:space="preserve">Questo è il flusso critico della piattaforma:</w:t>
      </w:r>
    </w:p>
    <w:p>
      <w:pPr>
        <w:spacing w:after="40" w:before="40"/>
      </w:pPr>
    </w:p>
    <w:tbl>
      <w:tblPr>
        <w:tblW w:type="pct" w:w="100%"/>
        <w:tblBorders>
          <w:top w:val="single" w:color="A0C4E0" w:sz="4"/>
          <w:left w:val="single" w:color="A0C4E0" w:sz="4"/>
          <w:bottom w:val="single" w:color="A0C4E0" w:sz="4"/>
          <w:right w:val="single" w:color="A0C4E0" w:sz="4"/>
          <w:insideH w:val="single" w:color="auto" w:sz="4"/>
          <w:insideV w:val="single" w:color="auto" w:sz="4"/>
        </w:tblBorders>
      </w:tblPr>
      <w:tblGrid>
        <w:gridCol w:w="100"/>
        <w:gridCol w:w="100"/>
        <w:gridCol w:w="100"/>
      </w:tblGrid>
      <w:tr>
        <w:trPr>
          <w:tblHeader/>
        </w:trPr>
        <w:tc>
          <w:tcPr>
            <w:tcW w:type="pct" w:w="8%"/>
            <w:shd w:fill="0F2D4A" w:val="clear"/>
          </w:tcPr>
          <w:p>
            <w:pPr>
              <w:spacing w:after="60" w:before="60"/>
            </w:pPr>
            <w:r>
              <w:rPr>
                <w:b/>
                <w:bCs/>
                <w:color w:val="FFFFFF"/>
                <w:sz w:val="21"/>
                <w:szCs w:val="21"/>
              </w:rPr>
              <w:t xml:space="preserve">Step</w:t>
            </w:r>
          </w:p>
        </w:tc>
        <w:tc>
          <w:tcPr>
            <w:tcW w:type="pct" w:w="30%"/>
            <w:shd w:fill="0F2D4A" w:val="clear"/>
          </w:tcPr>
          <w:p>
            <w:pPr>
              <w:spacing w:after="60" w:before="60"/>
            </w:pPr>
            <w:r>
              <w:rPr>
                <w:b/>
                <w:bCs/>
                <w:color w:val="FFFFFF"/>
                <w:sz w:val="21"/>
                <w:szCs w:val="21"/>
              </w:rPr>
              <w:t xml:space="preserve">Componente</w:t>
            </w:r>
          </w:p>
        </w:tc>
        <w:tc>
          <w:tcPr>
            <w:tcW w:type="pct" w:w="62%"/>
            <w:shd w:fill="0F2D4A" w:val="clear"/>
          </w:tcPr>
          <w:p>
            <w:pPr>
              <w:spacing w:after="60" w:before="60"/>
            </w:pPr>
            <w:r>
              <w:rPr>
                <w:b/>
                <w:bCs/>
                <w:color w:val="FFFFFF"/>
                <w:sz w:val="21"/>
                <w:szCs w:val="21"/>
              </w:rPr>
              <w:t xml:space="preserve">Azione</w:t>
            </w:r>
          </w:p>
        </w:tc>
      </w:tr>
      <w:tr>
        <w:tc>
          <w:tcPr>
            <w:shd w:fill="EBF4FB" w:val="clear"/>
          </w:tcPr>
          <w:p>
            <w:pPr>
              <w:spacing w:after="50" w:before="50"/>
            </w:pPr>
            <w:r>
              <w:rPr>
                <w:b w:val="false"/>
                <w:bCs w:val="false"/>
                <w:color w:val="404040"/>
                <w:sz w:val="21"/>
                <w:szCs w:val="21"/>
              </w:rPr>
              <w:t xml:space="preserve">1</w:t>
            </w:r>
          </w:p>
        </w:tc>
        <w:tc>
          <w:tcPr>
            <w:shd w:fill="EBF4FB" w:val="clear"/>
          </w:tcPr>
          <w:p>
            <w:pPr>
              <w:spacing w:after="50" w:before="50"/>
            </w:pPr>
            <w:r>
              <w:rPr>
                <w:rFonts w:ascii="Courier New" w:cs="Courier New" w:eastAsia="Courier New" w:hAnsi="Courier New"/>
                <w:b w:val="false"/>
                <w:bCs w:val="false"/>
                <w:color w:val="1B5F8C"/>
                <w:sz w:val="21"/>
                <w:szCs w:val="21"/>
              </w:rPr>
              <w:t xml:space="preserve">EvaluationRunsController</w:t>
            </w:r>
          </w:p>
        </w:tc>
        <w:tc>
          <w:tcPr>
            <w:shd w:fill="EBF4FB" w:val="clear"/>
          </w:tcPr>
          <w:p>
            <w:pPr>
              <w:spacing w:after="50" w:before="50"/>
            </w:pPr>
            <w:r>
              <w:rPr>
                <w:b w:val="false"/>
                <w:bCs w:val="false"/>
                <w:color w:val="404040"/>
                <w:sz w:val="21"/>
                <w:szCs w:val="21"/>
              </w:rPr>
              <w:t xml:space="preserve">Riceve POST /api/evaluations/runs con TenantId e TemplateIdentifier</w:t>
            </w:r>
          </w:p>
        </w:tc>
      </w:tr>
      <w:tr>
        <w:tc>
          <w:tcPr>
            <w:shd w:fill="FFFFFF" w:val="clear"/>
          </w:tcPr>
          <w:p>
            <w:pPr>
              <w:spacing w:after="50" w:before="50"/>
            </w:pPr>
            <w:r>
              <w:rPr>
                <w:b w:val="false"/>
                <w:bCs w:val="false"/>
                <w:color w:val="404040"/>
                <w:sz w:val="21"/>
                <w:szCs w:val="21"/>
              </w:rPr>
              <w:t xml:space="preserve">2</w:t>
            </w:r>
          </w:p>
        </w:tc>
        <w:tc>
          <w:tcPr>
            <w:shd w:fill="FFFFFF" w:val="clear"/>
          </w:tcPr>
          <w:p>
            <w:pPr>
              <w:spacing w:after="50" w:before="50"/>
            </w:pPr>
            <w:r>
              <w:rPr>
                <w:rFonts w:ascii="Courier New" w:cs="Courier New" w:eastAsia="Courier New" w:hAnsi="Courier New"/>
                <w:b w:val="false"/>
                <w:bCs w:val="false"/>
                <w:color w:val="1B5F8C"/>
                <w:sz w:val="21"/>
                <w:szCs w:val="21"/>
              </w:rPr>
              <w:t xml:space="preserve">EvaluationRunService</w:t>
            </w:r>
          </w:p>
        </w:tc>
        <w:tc>
          <w:tcPr>
            <w:shd w:fill="FFFFFF" w:val="clear"/>
          </w:tcPr>
          <w:p>
            <w:pPr>
              <w:spacing w:after="50" w:before="50"/>
            </w:pPr>
            <w:r>
              <w:rPr>
                <w:b w:val="false"/>
                <w:bCs w:val="false"/>
                <w:color w:val="404040"/>
                <w:sz w:val="21"/>
                <w:szCs w:val="21"/>
              </w:rPr>
              <w:t xml:space="preserve">Crea EvaluationRun in stato Pending → persiste su SQL (tracciabilità immediata)</w:t>
            </w:r>
          </w:p>
        </w:tc>
      </w:tr>
      <w:tr>
        <w:tc>
          <w:tcPr>
            <w:shd w:fill="EBF4FB" w:val="clear"/>
          </w:tcPr>
          <w:p>
            <w:pPr>
              <w:spacing w:after="50" w:before="50"/>
            </w:pPr>
            <w:r>
              <w:rPr>
                <w:b w:val="false"/>
                <w:bCs w:val="false"/>
                <w:color w:val="404040"/>
                <w:sz w:val="21"/>
                <w:szCs w:val="21"/>
              </w:rPr>
              <w:t xml:space="preserve">3</w:t>
            </w:r>
          </w:p>
        </w:tc>
        <w:tc>
          <w:tcPr>
            <w:shd w:fill="EBF4FB" w:val="clear"/>
          </w:tcPr>
          <w:p>
            <w:pPr>
              <w:spacing w:after="50" w:before="50"/>
            </w:pPr>
            <w:r>
              <w:rPr>
                <w:rFonts w:ascii="Courier New" w:cs="Courier New" w:eastAsia="Courier New" w:hAnsi="Courier New"/>
                <w:b w:val="false"/>
                <w:bCs w:val="false"/>
                <w:color w:val="1B5F8C"/>
                <w:sz w:val="21"/>
                <w:szCs w:val="21"/>
              </w:rPr>
              <w:t xml:space="preserve">BlobTemplateProvider</w:t>
            </w:r>
          </w:p>
        </w:tc>
        <w:tc>
          <w:tcPr>
            <w:shd w:fill="EBF4FB" w:val="clear"/>
          </w:tcPr>
          <w:p>
            <w:pPr>
              <w:spacing w:after="50" w:before="50"/>
            </w:pPr>
            <w:r>
              <w:rPr>
                <w:b w:val="false"/>
                <w:bCs w:val="false"/>
                <w:color w:val="404040"/>
                <w:sz w:val="21"/>
                <w:szCs w:val="21"/>
              </w:rPr>
              <w:t xml:space="preserve">Carica il template JSON dal container Azure Blob Storage</w:t>
            </w:r>
          </w:p>
        </w:tc>
      </w:tr>
      <w:tr>
        <w:tc>
          <w:tcPr>
            <w:shd w:fill="FFFFFF" w:val="clear"/>
          </w:tcPr>
          <w:p>
            <w:pPr>
              <w:spacing w:after="50" w:before="50"/>
            </w:pPr>
            <w:r>
              <w:rPr>
                <w:b w:val="false"/>
                <w:bCs w:val="false"/>
                <w:color w:val="404040"/>
                <w:sz w:val="21"/>
                <w:szCs w:val="21"/>
              </w:rPr>
              <w:t xml:space="preserve">4</w:t>
            </w:r>
          </w:p>
        </w:tc>
        <w:tc>
          <w:tcPr>
            <w:shd w:fill="FFFFFF" w:val="clear"/>
          </w:tcPr>
          <w:p>
            <w:pPr>
              <w:spacing w:after="50" w:before="50"/>
            </w:pPr>
            <w:r>
              <w:rPr>
                <w:rFonts w:ascii="Courier New" w:cs="Courier New" w:eastAsia="Courier New" w:hAnsi="Courier New"/>
                <w:b w:val="false"/>
                <w:bCs w:val="false"/>
                <w:color w:val="1B5F8C"/>
                <w:sz w:val="21"/>
                <w:szCs w:val="21"/>
              </w:rPr>
              <w:t xml:space="preserve">EvaluationRun.MarkInProgress()</w:t>
            </w:r>
          </w:p>
        </w:tc>
        <w:tc>
          <w:tcPr>
            <w:shd w:fill="FFFFFF" w:val="clear"/>
          </w:tcPr>
          <w:p>
            <w:pPr>
              <w:spacing w:after="50" w:before="50"/>
            </w:pPr>
            <w:r>
              <w:rPr>
                <w:b w:val="false"/>
                <w:bCs w:val="false"/>
                <w:color w:val="404040"/>
                <w:sz w:val="21"/>
                <w:szCs w:val="21"/>
              </w:rPr>
              <w:t xml:space="preserve">Transizione di stato → aggiorna SQL</w:t>
            </w:r>
          </w:p>
        </w:tc>
      </w:tr>
      <w:tr>
        <w:tc>
          <w:tcPr>
            <w:shd w:fill="EBF4FB" w:val="clear"/>
          </w:tcPr>
          <w:p>
            <w:pPr>
              <w:spacing w:after="50" w:before="50"/>
            </w:pPr>
            <w:r>
              <w:rPr>
                <w:b w:val="false"/>
                <w:bCs w:val="false"/>
                <w:color w:val="404040"/>
                <w:sz w:val="21"/>
                <w:szCs w:val="21"/>
              </w:rPr>
              <w:t xml:space="preserve">5</w:t>
            </w:r>
          </w:p>
        </w:tc>
        <w:tc>
          <w:tcPr>
            <w:shd w:fill="EBF4FB" w:val="clear"/>
          </w:tcPr>
          <w:p>
            <w:pPr>
              <w:spacing w:after="50" w:before="50"/>
            </w:pPr>
            <w:r>
              <w:rPr>
                <w:rFonts w:ascii="Courier New" w:cs="Courier New" w:eastAsia="Courier New" w:hAnsi="Courier New"/>
                <w:b w:val="false"/>
                <w:bCs w:val="false"/>
                <w:color w:val="1B5F8C"/>
                <w:sz w:val="21"/>
                <w:szCs w:val="21"/>
              </w:rPr>
              <w:t xml:space="preserve">KeyVaultTenantCredentialProvider</w:t>
            </w:r>
          </w:p>
        </w:tc>
        <w:tc>
          <w:tcPr>
            <w:shd w:fill="EBF4FB" w:val="clear"/>
          </w:tcPr>
          <w:p>
            <w:pPr>
              <w:spacing w:after="50" w:before="50"/>
            </w:pPr>
            <w:r>
              <w:rPr>
                <w:b w:val="false"/>
                <w:bCs w:val="false"/>
                <w:color w:val="404040"/>
                <w:sz w:val="21"/>
                <w:szCs w:val="21"/>
              </w:rPr>
              <w:t xml:space="preserve">Recupera il client secret del tenant da Azure Key Vault</w:t>
            </w:r>
          </w:p>
        </w:tc>
      </w:tr>
      <w:tr>
        <w:tc>
          <w:tcPr>
            <w:shd w:fill="FFFFFF" w:val="clear"/>
          </w:tcPr>
          <w:p>
            <w:pPr>
              <w:spacing w:after="50" w:before="50"/>
            </w:pPr>
            <w:r>
              <w:rPr>
                <w:b w:val="false"/>
                <w:bCs w:val="false"/>
                <w:color w:val="404040"/>
                <w:sz w:val="21"/>
                <w:szCs w:val="21"/>
              </w:rPr>
              <w:t xml:space="preserve">6</w:t>
            </w:r>
          </w:p>
        </w:tc>
        <w:tc>
          <w:tcPr>
            <w:shd w:fill="FFFFFF" w:val="clear"/>
          </w:tcPr>
          <w:p>
            <w:pPr>
              <w:spacing w:after="50" w:before="50"/>
            </w:pPr>
            <w:r>
              <w:rPr>
                <w:rFonts w:ascii="Courier New" w:cs="Courier New" w:eastAsia="Courier New" w:hAnsi="Courier New"/>
                <w:b w:val="false"/>
                <w:bCs w:val="false"/>
                <w:color w:val="1B5F8C"/>
                <w:sz w:val="21"/>
                <w:szCs w:val="21"/>
              </w:rPr>
              <w:t xml:space="preserve">MicrosoftGraphTenantDataCollector</w:t>
            </w:r>
          </w:p>
        </w:tc>
        <w:tc>
          <w:tcPr>
            <w:shd w:fill="FFFFFF" w:val="clear"/>
          </w:tcPr>
          <w:p>
            <w:pPr>
              <w:spacing w:after="50" w:before="50"/>
            </w:pPr>
            <w:r>
              <w:rPr>
                <w:b w:val="false"/>
                <w:bCs w:val="false"/>
                <w:color w:val="404040"/>
                <w:sz w:val="21"/>
                <w:szCs w:val="21"/>
              </w:rPr>
              <w:t xml:space="preserve">Costruisce ClientSecretCredential, chiama Graph API, raccoglie TenantEvaluationSnapshot</w:t>
            </w:r>
          </w:p>
        </w:tc>
      </w:tr>
      <w:tr>
        <w:tc>
          <w:tcPr>
            <w:shd w:fill="EBF4FB" w:val="clear"/>
          </w:tcPr>
          <w:p>
            <w:pPr>
              <w:spacing w:after="50" w:before="50"/>
            </w:pPr>
            <w:r>
              <w:rPr>
                <w:b w:val="false"/>
                <w:bCs w:val="false"/>
                <w:color w:val="404040"/>
                <w:sz w:val="21"/>
                <w:szCs w:val="21"/>
              </w:rPr>
              <w:t xml:space="preserve">7</w:t>
            </w:r>
          </w:p>
        </w:tc>
        <w:tc>
          <w:tcPr>
            <w:shd w:fill="EBF4FB" w:val="clear"/>
          </w:tcPr>
          <w:p>
            <w:pPr>
              <w:spacing w:after="50" w:before="50"/>
            </w:pPr>
            <w:r>
              <w:rPr>
                <w:rFonts w:ascii="Courier New" w:cs="Courier New" w:eastAsia="Courier New" w:hAnsi="Courier New"/>
                <w:b w:val="false"/>
                <w:bCs w:val="false"/>
                <w:color w:val="1B5F8C"/>
                <w:sz w:val="21"/>
                <w:szCs w:val="21"/>
              </w:rPr>
              <w:t xml:space="preserve">PolicyEvaluator</w:t>
            </w:r>
          </w:p>
        </w:tc>
        <w:tc>
          <w:tcPr>
            <w:shd w:fill="EBF4FB" w:val="clear"/>
          </w:tcPr>
          <w:p>
            <w:pPr>
              <w:spacing w:after="50" w:before="50"/>
            </w:pPr>
            <w:r>
              <w:rPr>
                <w:b w:val="false"/>
                <w:bCs w:val="false"/>
                <w:color w:val="404040"/>
                <w:sz w:val="21"/>
                <w:szCs w:val="21"/>
              </w:rPr>
              <w:t xml:space="preserve">Applica ogni regola del template allo snapshot: Equals/NotEquals/Contains/Exists</w:t>
            </w:r>
          </w:p>
        </w:tc>
      </w:tr>
      <w:tr>
        <w:tc>
          <w:tcPr>
            <w:shd w:fill="FFFFFF" w:val="clear"/>
          </w:tcPr>
          <w:p>
            <w:pPr>
              <w:spacing w:after="50" w:before="50"/>
            </w:pPr>
            <w:r>
              <w:rPr>
                <w:b w:val="false"/>
                <w:bCs w:val="false"/>
                <w:color w:val="404040"/>
                <w:sz w:val="21"/>
                <w:szCs w:val="21"/>
              </w:rPr>
              <w:t xml:space="preserve">8</w:t>
            </w:r>
          </w:p>
        </w:tc>
        <w:tc>
          <w:tcPr>
            <w:shd w:fill="FFFFFF" w:val="clear"/>
          </w:tcPr>
          <w:p>
            <w:pPr>
              <w:spacing w:after="50" w:before="50"/>
            </w:pPr>
            <w:r>
              <w:rPr>
                <w:rFonts w:ascii="Courier New" w:cs="Courier New" w:eastAsia="Courier New" w:hAnsi="Courier New"/>
                <w:b w:val="false"/>
                <w:bCs w:val="false"/>
                <w:color w:val="1B5F8C"/>
                <w:sz w:val="21"/>
                <w:szCs w:val="21"/>
              </w:rPr>
              <w:t xml:space="preserve">EvaluationRun.Complete(results)</w:t>
            </w:r>
          </w:p>
        </w:tc>
        <w:tc>
          <w:tcPr>
            <w:shd w:fill="FFFFFF" w:val="clear"/>
          </w:tcPr>
          <w:p>
            <w:pPr>
              <w:spacing w:after="50" w:before="50"/>
            </w:pPr>
            <w:r>
              <w:rPr>
                <w:b w:val="false"/>
                <w:bCs w:val="false"/>
                <w:color w:val="404040"/>
                <w:sz w:val="21"/>
                <w:szCs w:val="21"/>
              </w:rPr>
              <w:t xml:space="preserve">Calcola contatori aggregati, transizione → Completed, persiste risultati su SQL</w:t>
            </w:r>
          </w:p>
        </w:tc>
      </w:tr>
      <w:tr>
        <w:tc>
          <w:tcPr>
            <w:shd w:fill="EBF4FB" w:val="clear"/>
          </w:tcPr>
          <w:p>
            <w:pPr>
              <w:spacing w:after="50" w:before="50"/>
            </w:pPr>
            <w:r>
              <w:rPr>
                <w:b w:val="false"/>
                <w:bCs w:val="false"/>
                <w:color w:val="404040"/>
                <w:sz w:val="21"/>
                <w:szCs w:val="21"/>
              </w:rPr>
              <w:t xml:space="preserve">9</w:t>
            </w:r>
          </w:p>
        </w:tc>
        <w:tc>
          <w:tcPr>
            <w:shd w:fill="EBF4FB" w:val="clear"/>
          </w:tcPr>
          <w:p>
            <w:pPr>
              <w:spacing w:after="50" w:before="50"/>
            </w:pPr>
            <w:r>
              <w:rPr>
                <w:rFonts w:ascii="Courier New" w:cs="Courier New" w:eastAsia="Courier New" w:hAnsi="Courier New"/>
                <w:b w:val="false"/>
                <w:bCs w:val="false"/>
                <w:color w:val="1B5F8C"/>
                <w:sz w:val="21"/>
                <w:szCs w:val="21"/>
              </w:rPr>
              <w:t xml:space="preserve">EvaluationRunsController</w:t>
            </w:r>
          </w:p>
        </w:tc>
        <w:tc>
          <w:tcPr>
            <w:shd w:fill="EBF4FB" w:val="clear"/>
          </w:tcPr>
          <w:p>
            <w:pPr>
              <w:spacing w:after="50" w:before="50"/>
            </w:pPr>
            <w:r>
              <w:rPr>
                <w:b w:val="false"/>
                <w:bCs w:val="false"/>
                <w:color w:val="404040"/>
                <w:sz w:val="21"/>
                <w:szCs w:val="21"/>
              </w:rPr>
              <w:t xml:space="preserve">Risponde 202 Accepted con la rappresentazione dell'EvaluationRun completato</w:t>
            </w:r>
          </w:p>
        </w:tc>
      </w:tr>
    </w:tbl>
    <w:p>
      <w:pPr>
        <w:spacing w:after="40" w:before="40"/>
      </w:pPr>
    </w:p>
    <w:tbl>
      <w:tblPr>
        <w:tblW w:type="pct" w:w="100%"/>
        <w:tblBorders>
          <w:top w:val="single" w:color="C55A11" w:sz="8"/>
          <w:left w:val="single" w:color="C55A11" w:sz="20"/>
          <w:bottom w:val="single" w:color="C55A11" w:sz="2"/>
          <w:right w:val="single" w:color="C55A11" w:sz="2"/>
          <w:insideH w:val="single" w:color="auto" w:sz="4"/>
          <w:insideV w:val="single" w:color="auto" w:sz="4"/>
        </w:tblBorders>
      </w:tblPr>
      <w:tblGrid>
        <w:gridCol w:w="100"/>
      </w:tblGrid>
      <w:tr>
        <w:tc>
          <w:tcPr>
            <w:shd w:fill="D6E8F7" w:val="clear"/>
          </w:tcPr>
          <w:p>
            <w:pPr>
              <w:spacing w:after="80" w:before="80"/>
            </w:pPr>
            <w:r>
              <w:rPr>
                <w:b/>
                <w:bCs/>
                <w:color w:val="C55A11"/>
                <w:sz w:val="19"/>
                <w:szCs w:val="19"/>
              </w:rPr>
              <w:t xml:space="preserve">Gestione errori:</w:t>
            </w:r>
            <w:r>
              <w:rPr>
                <w:color w:val="404040"/>
                <w:sz w:val="21"/>
                <w:szCs w:val="21"/>
              </w:rPr>
              <w:t xml:space="preserve">  Se qualsiasi step dal 3 all'8 fallisce, viene chiamato EvaluationRun.Fail(message). Il run viene persistito in stato Failed con il messaggio diagnostico. Il chiamante HTTP riceve comunque 202 Accepted con lo stato aggiornato.</w:t>
            </w:r>
          </w:p>
        </w:tc>
      </w:tr>
    </w:tbl>
    <w:p>
      <w:r>
        <w:br w:type="page"/>
      </w:r>
    </w:p>
    <w:p>
      <w:pPr>
        <w:pStyle w:val="Heading1"/>
        <w:spacing w:after="120" w:before="480"/>
      </w:pPr>
      <w:r>
        <w:t xml:space="preserve">7. Architettura di sicurezza</w:t>
      </w:r>
    </w:p>
    <w:p>
      <w:pPr>
        <w:pStyle w:val="Heading2"/>
        <w:spacing w:after="100" w:before="320"/>
      </w:pPr>
      <w:r>
        <w:t xml:space="preserve">7.1 Superficie di attacco e perimetro</w:t>
      </w:r>
    </w:p>
    <w:p>
      <w:pPr>
        <w:spacing w:after="100" w:before="40"/>
        <w:jc w:val="both"/>
      </w:pPr>
      <w:r>
        <w:rPr>
          <w:color w:val="404040"/>
          <w:sz w:val="22"/>
          <w:szCs w:val="22"/>
        </w:rPr>
        <w:t xml:space="preserve">L'unico punto di ingresso esposto a Internet è l'Application Gateway con WAF abilitato. Nessun componente applicativo o di storage è accessibile direttamente dall'esterno. I servizi Azure (SQL, Blob, Key Vault) sono accessibili esclusivamente dall'API BE tramite endpoint privati o connection string protette.</w:t>
      </w:r>
    </w:p>
    <w:p>
      <w:pPr>
        <w:spacing w:after="40" w:before="40"/>
      </w:pPr>
    </w:p>
    <w:p>
      <w:pPr>
        <w:pStyle w:val="Heading2"/>
        <w:spacing w:after="100" w:before="320"/>
      </w:pPr>
      <w:r>
        <w:t xml:space="preserve">7.2 Gestione delle identità e dei secret</w:t>
      </w:r>
    </w:p>
    <w:tbl>
      <w:tblPr>
        <w:tblW w:type="pct" w:w="100%"/>
        <w:tblBorders>
          <w:top w:val="single" w:color="A0C4E0" w:sz="4"/>
          <w:left w:val="single" w:color="A0C4E0" w:sz="4"/>
          <w:bottom w:val="single" w:color="A0C4E0" w:sz="4"/>
          <w:right w:val="single" w:color="A0C4E0" w:sz="4"/>
          <w:insideH w:val="single" w:color="auto" w:sz="4"/>
          <w:insideV w:val="single" w:color="auto" w:sz="4"/>
        </w:tblBorders>
      </w:tblPr>
      <w:tblGrid>
        <w:gridCol w:w="100"/>
        <w:gridCol w:w="100"/>
      </w:tblGrid>
      <w:tr>
        <w:trPr>
          <w:tblHeader/>
        </w:trPr>
        <w:tc>
          <w:tcPr>
            <w:tcW w:type="pct" w:w="35%"/>
            <w:shd w:fill="0F2D4A" w:val="clear"/>
          </w:tcPr>
          <w:p>
            <w:pPr>
              <w:spacing w:after="60" w:before="60"/>
            </w:pPr>
            <w:r>
              <w:rPr>
                <w:b/>
                <w:bCs/>
                <w:color w:val="FFFFFF"/>
                <w:sz w:val="21"/>
                <w:szCs w:val="21"/>
              </w:rPr>
              <w:t xml:space="preserve">Scenario</w:t>
            </w:r>
          </w:p>
        </w:tc>
        <w:tc>
          <w:tcPr>
            <w:tcW w:type="pct" w:w="65%"/>
            <w:shd w:fill="0F2D4A" w:val="clear"/>
          </w:tcPr>
          <w:p>
            <w:pPr>
              <w:spacing w:after="60" w:before="60"/>
            </w:pPr>
            <w:r>
              <w:rPr>
                <w:b/>
                <w:bCs/>
                <w:color w:val="FFFFFF"/>
                <w:sz w:val="21"/>
                <w:szCs w:val="21"/>
              </w:rPr>
              <w:t xml:space="preserve">Soluzione adottata</w:t>
            </w:r>
          </w:p>
        </w:tc>
      </w:tr>
      <w:tr>
        <w:tc>
          <w:tcPr>
            <w:shd w:fill="EBF4FB" w:val="clear"/>
          </w:tcPr>
          <w:p>
            <w:pPr>
              <w:spacing w:after="50" w:before="50"/>
            </w:pPr>
            <w:r>
              <w:rPr>
                <w:b/>
                <w:bCs/>
                <w:color w:val="0F2D4A"/>
                <w:sz w:val="21"/>
                <w:szCs w:val="21"/>
              </w:rPr>
              <w:t xml:space="preserve">Autenticazione utenti FE</w:t>
            </w:r>
          </w:p>
        </w:tc>
        <w:tc>
          <w:tcPr>
            <w:shd w:fill="EBF4FB" w:val="clear"/>
          </w:tcPr>
          <w:p>
            <w:pPr>
              <w:spacing w:after="50" w:before="50"/>
            </w:pPr>
            <w:r>
              <w:rPr>
                <w:b w:val="false"/>
                <w:bCs w:val="false"/>
                <w:color w:val="404040"/>
                <w:sz w:val="21"/>
                <w:szCs w:val="21"/>
              </w:rPr>
              <w:t xml:space="preserve">Azure AD tramite MSAL — flusso popup, token in sessionStorage</w:t>
            </w:r>
          </w:p>
        </w:tc>
      </w:tr>
      <w:tr>
        <w:tc>
          <w:tcPr>
            <w:shd w:fill="FFFFFF" w:val="clear"/>
          </w:tcPr>
          <w:p>
            <w:pPr>
              <w:spacing w:after="50" w:before="50"/>
            </w:pPr>
            <w:r>
              <w:rPr>
                <w:b/>
                <w:bCs/>
                <w:color w:val="0F2D4A"/>
                <w:sz w:val="21"/>
                <w:szCs w:val="21"/>
              </w:rPr>
              <w:t xml:space="preserve">Identità dell'API BE</w:t>
            </w:r>
          </w:p>
        </w:tc>
        <w:tc>
          <w:tcPr>
            <w:shd w:fill="FFFFFF" w:val="clear"/>
          </w:tcPr>
          <w:p>
            <w:pPr>
              <w:spacing w:after="50" w:before="50"/>
            </w:pPr>
            <w:r>
              <w:rPr>
                <w:b w:val="false"/>
                <w:bCs w:val="false"/>
                <w:color w:val="404040"/>
                <w:sz w:val="21"/>
                <w:szCs w:val="21"/>
              </w:rPr>
              <w:t xml:space="preserve">Managed Identity Azure — nessuna credenziale statica nel codice</w:t>
            </w:r>
          </w:p>
        </w:tc>
      </w:tr>
      <w:tr>
        <w:tc>
          <w:tcPr>
            <w:shd w:fill="EBF4FB" w:val="clear"/>
          </w:tcPr>
          <w:p>
            <w:pPr>
              <w:spacing w:after="50" w:before="50"/>
            </w:pPr>
            <w:r>
              <w:rPr>
                <w:b/>
                <w:bCs/>
                <w:color w:val="0F2D4A"/>
                <w:sz w:val="21"/>
                <w:szCs w:val="21"/>
              </w:rPr>
              <w:t xml:space="preserve">Secret tenant clienti</w:t>
            </w:r>
          </w:p>
        </w:tc>
        <w:tc>
          <w:tcPr>
            <w:shd w:fill="EBF4FB" w:val="clear"/>
          </w:tcPr>
          <w:p>
            <w:pPr>
              <w:spacing w:after="50" w:before="50"/>
            </w:pPr>
            <w:r>
              <w:rPr>
                <w:b w:val="false"/>
                <w:bCs w:val="false"/>
                <w:color w:val="404040"/>
                <w:sz w:val="21"/>
                <w:szCs w:val="21"/>
              </w:rPr>
              <w:t xml:space="preserve">Archiviati in Azure Key Vault; nel DB solo il riferimento (nome/URI)</w:t>
            </w:r>
          </w:p>
        </w:tc>
      </w:tr>
      <w:tr>
        <w:tc>
          <w:tcPr>
            <w:shd w:fill="FFFFFF" w:val="clear"/>
          </w:tcPr>
          <w:p>
            <w:pPr>
              <w:spacing w:after="50" w:before="50"/>
            </w:pPr>
            <w:r>
              <w:rPr>
                <w:b/>
                <w:bCs/>
                <w:color w:val="0F2D4A"/>
                <w:sz w:val="21"/>
                <w:szCs w:val="21"/>
              </w:rPr>
              <w:t xml:space="preserve">Accesso al Key Vault</w:t>
            </w:r>
          </w:p>
        </w:tc>
        <w:tc>
          <w:tcPr>
            <w:shd w:fill="FFFFFF" w:val="clear"/>
          </w:tcPr>
          <w:p>
            <w:pPr>
              <w:spacing w:after="50" w:before="50"/>
            </w:pPr>
            <w:r>
              <w:rPr>
                <w:b w:val="false"/>
                <w:bCs w:val="false"/>
                <w:color w:val="404040"/>
                <w:sz w:val="21"/>
                <w:szCs w:val="21"/>
              </w:rPr>
              <w:t xml:space="preserve">DefaultAzureCredential (Managed Identity) — zero credenziali in appsettings</w:t>
            </w:r>
          </w:p>
        </w:tc>
      </w:tr>
      <w:tr>
        <w:tc>
          <w:tcPr>
            <w:shd w:fill="EBF4FB" w:val="clear"/>
          </w:tcPr>
          <w:p>
            <w:pPr>
              <w:spacing w:after="50" w:before="50"/>
            </w:pPr>
            <w:r>
              <w:rPr>
                <w:b/>
                <w:bCs/>
                <w:color w:val="0F2D4A"/>
                <w:sz w:val="21"/>
                <w:szCs w:val="21"/>
              </w:rPr>
              <w:t xml:space="preserve">Connessione al database</w:t>
            </w:r>
          </w:p>
        </w:tc>
        <w:tc>
          <w:tcPr>
            <w:shd w:fill="EBF4FB" w:val="clear"/>
          </w:tcPr>
          <w:p>
            <w:pPr>
              <w:spacing w:after="50" w:before="50"/>
            </w:pPr>
            <w:r>
              <w:rPr>
                <w:b w:val="false"/>
                <w:bCs w:val="false"/>
                <w:color w:val="404040"/>
                <w:sz w:val="21"/>
                <w:szCs w:val="21"/>
              </w:rPr>
              <w:t xml:space="preserve">Connection string via appsettings / Azure App Configuration / Key Vault reference</w:t>
            </w:r>
          </w:p>
        </w:tc>
      </w:tr>
    </w:tbl>
    <w:p>
      <w:pPr>
        <w:spacing w:after="40" w:before="40"/>
      </w:pPr>
    </w:p>
    <w:p>
      <w:pPr>
        <w:pStyle w:val="Heading2"/>
        <w:spacing w:after="100" w:before="320"/>
      </w:pPr>
      <w:r>
        <w:t xml:space="preserve">7.3 Accesso al tenant cliente (read-only)</w:t>
      </w:r>
    </w:p>
    <w:p>
      <w:pPr>
        <w:spacing w:after="100" w:before="40"/>
        <w:jc w:val="both"/>
      </w:pPr>
      <w:r>
        <w:rPr>
          <w:color w:val="404040"/>
          <w:sz w:val="22"/>
          <w:szCs w:val="22"/>
        </w:rPr>
        <w:t xml:space="preserve">Per ogni assessment, la piattaforma costruisce a runtime una ClientSecretCredential con le credenziali del tenant cliente recuperate da Key Vault. Viene creato un GraphServiceClient dedicato e monouso per la singola esecuzione. Non vengono mai persistite credenziali o token del cliente nel database applicativo.</w:t>
      </w:r>
    </w:p>
    <w:p>
      <w:pPr>
        <w:spacing w:after="40" w:before="40"/>
      </w:pPr>
    </w:p>
    <w:p>
      <w:pPr>
        <w:spacing w:after="100" w:before="40"/>
        <w:jc w:val="both"/>
      </w:pPr>
      <w:r>
        <w:rPr>
          <w:color w:val="404040"/>
          <w:sz w:val="22"/>
          <w:szCs w:val="22"/>
        </w:rPr>
        <w:t xml:space="preserve">I permessi richiesti al tenant cliente sono limitati a scopes di sola lettura su Microsoft Graph (minimum: User.Read, con estensioni per le aree di analisi coperte dal template).</w:t>
      </w:r>
    </w:p>
    <w:p>
      <w:pPr>
        <w:spacing w:after="40" w:before="40"/>
      </w:pPr>
    </w:p>
    <w:p>
      <w:pPr>
        <w:pStyle w:val="Heading2"/>
        <w:spacing w:after="100" w:before="320"/>
      </w:pPr>
      <w:r>
        <w:t xml:space="preserve">7.4 Isolamento multi-tenant</w:t>
      </w:r>
    </w:p>
    <w:p>
      <w:pPr>
        <w:spacing w:after="100" w:before="40"/>
        <w:jc w:val="both"/>
      </w:pPr>
      <w:r>
        <w:rPr>
          <w:color w:val="404040"/>
          <w:sz w:val="22"/>
          <w:szCs w:val="22"/>
        </w:rPr>
        <w:t xml:space="preserve">La segregazione dei dati tra clienti è garantita a livello applicativo: ogni query al database filtra obbligatoriamente per TenantId. Il modello dati non prevede strutture condivise tra clienti. L'architettura attuale adotta un approccio shared-database / shared-schema con row-level filtering; per requisiti di compliance più stringenti è possibile evolvere verso schemi separati o database dedicati per cliente.</w:t>
      </w:r>
    </w:p>
    <w:p>
      <w:r>
        <w:br w:type="page"/>
      </w:r>
    </w:p>
    <w:p>
      <w:pPr>
        <w:pStyle w:val="Heading1"/>
        <w:spacing w:after="120" w:before="480"/>
      </w:pPr>
      <w:r>
        <w:t xml:space="preserve">8. Pattern architetturali e decisioni di design</w:t>
      </w:r>
    </w:p>
    <w:p>
      <w:pPr>
        <w:pStyle w:val="Heading2"/>
        <w:spacing w:after="100" w:before="320"/>
      </w:pPr>
      <w:r>
        <w:t xml:space="preserve">8.1 Clean Architecture + DDD</w:t>
      </w:r>
    </w:p>
    <w:p>
      <w:pPr>
        <w:spacing w:after="100" w:before="40"/>
        <w:jc w:val="both"/>
      </w:pPr>
      <w:r>
        <w:rPr>
          <w:color w:val="404040"/>
          <w:sz w:val="22"/>
          <w:szCs w:val="22"/>
        </w:rPr>
        <w:t xml:space="preserve">La separazione Domain / Business / Infrastructure / Api garantisce che la logica di business rimanga indipendente dal framework e dai servizi Azure. Questa scelta consente di:</w:t>
      </w:r>
    </w:p>
    <w:p>
      <w:pPr>
        <w:pStyle w:val="ListParagraph"/>
        <w:numPr>
          <w:ilvl w:val="0"/>
          <w:numId w:val="1"/>
        </w:numPr>
        <w:spacing w:after="50" w:before="30"/>
      </w:pPr>
      <w:r>
        <w:rPr>
          <w:b w:val="false"/>
          <w:bCs w:val="false"/>
          <w:color w:val="404040"/>
          <w:sz w:val="22"/>
          <w:szCs w:val="22"/>
        </w:rPr>
        <w:t xml:space="preserve">Testare la logica di dominio in isolamento totale (zero dipendenze esterne)</w:t>
      </w:r>
    </w:p>
    <w:p>
      <w:pPr>
        <w:pStyle w:val="ListParagraph"/>
        <w:numPr>
          <w:ilvl w:val="0"/>
          <w:numId w:val="1"/>
        </w:numPr>
        <w:spacing w:after="50" w:before="30"/>
      </w:pPr>
      <w:r>
        <w:rPr>
          <w:b w:val="false"/>
          <w:bCs w:val="false"/>
          <w:color w:val="404040"/>
          <w:sz w:val="22"/>
          <w:szCs w:val="22"/>
        </w:rPr>
        <w:t xml:space="preserve">Sostituire qualsiasi implementazione infrastrutturale (es. sostituire SQL con CosmosDB) senza toccare Business o Domain</w:t>
      </w:r>
    </w:p>
    <w:p>
      <w:pPr>
        <w:pStyle w:val="ListParagraph"/>
        <w:numPr>
          <w:ilvl w:val="0"/>
          <w:numId w:val="1"/>
        </w:numPr>
        <w:spacing w:after="50" w:before="30"/>
      </w:pPr>
      <w:r>
        <w:rPr>
          <w:b w:val="false"/>
          <w:bCs w:val="false"/>
          <w:color w:val="404040"/>
          <w:sz w:val="22"/>
          <w:szCs w:val="22"/>
        </w:rPr>
        <w:t xml:space="preserve">Fare test di integrazione dell'API completa sostituendo tutti i servizi Azure con fake in-memory (WebApplicationFactory pattern)</w:t>
      </w:r>
    </w:p>
    <w:p>
      <w:pPr>
        <w:spacing w:after="40" w:before="40"/>
      </w:pPr>
    </w:p>
    <w:p>
      <w:pPr>
        <w:pStyle w:val="Heading2"/>
        <w:spacing w:after="100" w:before="320"/>
      </w:pPr>
      <w:r>
        <w:t xml:space="preserve">8.2 Template-driven rule engine</w:t>
      </w:r>
    </w:p>
    <w:p>
      <w:pPr>
        <w:spacing w:after="100" w:before="40"/>
        <w:jc w:val="both"/>
      </w:pPr>
      <w:r>
        <w:rPr>
          <w:color w:val="404040"/>
          <w:sz w:val="22"/>
          <w:szCs w:val="22"/>
        </w:rPr>
        <w:t xml:space="preserve">Le regole di valutazione sono definite in JSON e caricate da Blob Storage. Questo design separa la configurazione dal codice: nuovi controlli Zero Trust possono essere aggiunti, modificati o disabilitati aggiornando un file JSON senza alcun deploy applicativo. Il PolicyEvaluator supporta i tipi di confronto Equals, NotEquals, Contains ed Exists.</w:t>
      </w:r>
    </w:p>
    <w:p>
      <w:pPr>
        <w:spacing w:after="40" w:before="40"/>
      </w:pPr>
    </w:p>
    <w:p>
      <w:pPr>
        <w:pStyle w:val="Heading2"/>
        <w:spacing w:after="100" w:before="320"/>
      </w:pPr>
      <w:r>
        <w:t xml:space="preserve">8.3 Snapshot-based evaluation</w:t>
      </w:r>
    </w:p>
    <w:p>
      <w:pPr>
        <w:spacing w:after="100" w:before="40"/>
        <w:jc w:val="both"/>
      </w:pPr>
      <w:r>
        <w:rPr>
          <w:color w:val="404040"/>
          <w:sz w:val="22"/>
          <w:szCs w:val="22"/>
        </w:rPr>
        <w:t xml:space="preserve">La raccolta dati (MicrosoftGraphTenantDataCollector) produce un TenantEvaluationSnapshot — un dizionario in memoria dei valori rilevati. Il PolicyEvaluator lavora esclusivamente su questo snapshot. Questa separazione garantisce che la logica di valutazione sia deterministica e testabile in modo completo senza connessione a Microsoft Graph.</w:t>
      </w:r>
    </w:p>
    <w:p>
      <w:pPr>
        <w:spacing w:after="40" w:before="40"/>
      </w:pPr>
    </w:p>
    <w:p>
      <w:pPr>
        <w:pStyle w:val="Heading2"/>
        <w:spacing w:after="100" w:before="320"/>
      </w:pPr>
      <w:r>
        <w:t xml:space="preserve">8.4 Central Package Management</w:t>
      </w:r>
    </w:p>
    <w:p>
      <w:pPr>
        <w:spacing w:after="100" w:before="40"/>
        <w:jc w:val="both"/>
      </w:pPr>
      <w:r>
        <w:rPr>
          <w:color w:val="404040"/>
          <w:sz w:val="22"/>
          <w:szCs w:val="22"/>
        </w:rPr>
        <w:t xml:space="preserve">Tutte le versioni dei pacchetti NuGet sono centralizzate nel file Directory.Packages.props. I singoli .csproj dichiarano solo le dipendenze senza versione. Questo pattern previene il version drift tra progetti e semplifica gli aggiornamenti di sicurezza.</w:t>
      </w:r>
    </w:p>
    <w:p>
      <w:pPr>
        <w:spacing w:after="40" w:before="40"/>
      </w:pPr>
    </w:p>
    <w:p>
      <w:pPr>
        <w:pStyle w:val="Heading2"/>
        <w:spacing w:after="100" w:before="320"/>
      </w:pPr>
      <w:r>
        <w:t xml:space="preserve">8.5 Options pattern con ValidateOnStart</w:t>
      </w:r>
    </w:p>
    <w:p>
      <w:pPr>
        <w:spacing w:after="100" w:before="40"/>
        <w:jc w:val="both"/>
      </w:pPr>
      <w:r>
        <w:rPr>
          <w:color w:val="404040"/>
          <w:sz w:val="22"/>
          <w:szCs w:val="22"/>
        </w:rPr>
        <w:t xml:space="preserve">Ogni sezione di configurazione (SqlDatabase, BlobStorage, KeyVault, Graph) è tipizzata tramite Options classes con validazione al momento del boot. Se una configurazione è incompleta o errata, l'applicazione fallisce all'avvio con un messaggio chiaro, invece di fallire silenziosamente durante l'esecuzione.</w:t>
      </w:r>
    </w:p>
    <w:p>
      <w:r>
        <w:br w:type="page"/>
      </w:r>
    </w:p>
    <w:p>
      <w:pPr>
        <w:pStyle w:val="Heading1"/>
        <w:spacing w:after="120" w:before="480"/>
      </w:pPr>
      <w:r>
        <w:t xml:space="preserve">9. Considerazioni per l'evoluzione</w:t>
      </w:r>
    </w:p>
    <w:p>
      <w:pPr>
        <w:pStyle w:val="Heading2"/>
        <w:spacing w:after="100" w:before="320"/>
      </w:pPr>
      <w:r>
        <w:t xml:space="preserve">9.1 Assessment asincrono con code</w:t>
      </w:r>
    </w:p>
    <w:p>
      <w:pPr>
        <w:spacing w:after="100" w:before="40"/>
        <w:jc w:val="both"/>
      </w:pPr>
      <w:r>
        <w:rPr>
          <w:color w:val="404040"/>
          <w:sz w:val="22"/>
          <w:szCs w:val="22"/>
        </w:rPr>
        <w:t xml:space="preserve">Il pipeline di assessment attuale è sincrono nell'ambito di una singola request HTTP. Per tenant con grandi volumi di configurazioni o per assessment multi-area, si raccomanda di introdurre una coda Azure Service Bus o Azure Storage Queue. L'API BE accoderebbe il job e risponderebbe immediatamente 202 Accepted; un Azure Function o un background worker consumerebbe la coda ed eseguirebbe l'assessment.</w:t>
      </w:r>
    </w:p>
    <w:p>
      <w:pPr>
        <w:spacing w:after="40" w:before="40"/>
      </w:pPr>
    </w:p>
    <w:p>
      <w:pPr>
        <w:pStyle w:val="Heading2"/>
        <w:spacing w:after="100" w:before="320"/>
      </w:pPr>
      <w:r>
        <w:t xml:space="preserve">9.2 Caching e ottimizzazione Graph</w:t>
      </w:r>
    </w:p>
    <w:p>
      <w:pPr>
        <w:spacing w:after="100" w:before="40"/>
        <w:jc w:val="both"/>
      </w:pPr>
      <w:r>
        <w:rPr>
          <w:color w:val="404040"/>
          <w:sz w:val="22"/>
          <w:szCs w:val="22"/>
        </w:rPr>
        <w:t xml:space="preserve">Le chiamate a Microsoft Graph sono attualmente prive di caching. Per ridurre la latenza e i costi di API, si raccomanda di introdurre Redis Cache per i dati di configurazione tenant con TTL configurabile per categoria di dato.</w:t>
      </w:r>
    </w:p>
    <w:p>
      <w:pPr>
        <w:spacing w:after="40" w:before="40"/>
      </w:pPr>
    </w:p>
    <w:p>
      <w:pPr>
        <w:pStyle w:val="Heading2"/>
        <w:spacing w:after="100" w:before="320"/>
      </w:pPr>
      <w:r>
        <w:t xml:space="preserve">9.3 Continuous monitoring</w:t>
      </w:r>
    </w:p>
    <w:p>
      <w:pPr>
        <w:spacing w:after="100" w:before="40"/>
        <w:jc w:val="both"/>
      </w:pPr>
      <w:r>
        <w:rPr>
          <w:color w:val="404040"/>
          <w:sz w:val="22"/>
          <w:szCs w:val="22"/>
        </w:rPr>
        <w:t xml:space="preserve">Il documento funzionale prevede un modulo di continuous monitoring per rilevare variazioni critiche tra assessment consecutivi. Architetturalmente, questo richiederebbe l'introduzione di Azure Event Grid o Logic Apps per la schedulazione periodica degli assessment e la notifica di variazioni significative.</w:t>
      </w:r>
    </w:p>
    <w:p>
      <w:pPr>
        <w:spacing w:after="40" w:before="40"/>
      </w:pPr>
    </w:p>
    <w:p>
      <w:pPr>
        <w:pStyle w:val="Heading2"/>
        <w:spacing w:after="100" w:before="320"/>
      </w:pPr>
      <w:r>
        <w:t xml:space="preserve">9.4 Versionamento dei template</w:t>
      </w:r>
    </w:p>
    <w:p>
      <w:pPr>
        <w:spacing w:after="100" w:before="40"/>
        <w:jc w:val="both"/>
      </w:pPr>
      <w:r>
        <w:rPr>
          <w:color w:val="404040"/>
          <w:sz w:val="22"/>
          <w:szCs w:val="22"/>
        </w:rPr>
        <w:t xml:space="preserve">La struttura EvaluationTemplateDefinition supporta già il campo Version. Si raccomanda di implementare una strategia di versioning dei template in Blob Storage (es. blob immutabili con versioning abilitato) per garantire la riproducibilità degli assessment storici con le stesse regole con cui erano stati eseguiti.</w:t>
      </w:r>
    </w:p>
    <w:p>
      <w:pPr>
        <w:spacing w:after="40" w:before="40"/>
      </w:pPr>
    </w:p>
    <w:tbl>
      <w:tblPr>
        <w:tblW w:type="pct" w:w="100%"/>
        <w:tblBorders>
          <w:top w:val="single" w:color="1B5F8C" w:sz="8"/>
          <w:left w:val="single" w:color="1B5F8C" w:sz="20"/>
          <w:bottom w:val="single" w:color="1B5F8C" w:sz="2"/>
          <w:right w:val="single" w:color="1B5F8C" w:sz="2"/>
          <w:insideH w:val="single" w:color="auto" w:sz="4"/>
          <w:insideV w:val="single" w:color="auto" w:sz="4"/>
        </w:tblBorders>
      </w:tblPr>
      <w:tblGrid>
        <w:gridCol w:w="100"/>
      </w:tblGrid>
      <w:tr>
        <w:tc>
          <w:tcPr>
            <w:shd w:fill="EBF4FB" w:val="clear"/>
          </w:tcPr>
          <w:p>
            <w:pPr>
              <w:spacing w:after="80" w:before="80"/>
            </w:pPr>
            <w:r>
              <w:rPr>
                <w:b/>
                <w:bCs/>
                <w:color w:val="1B5F8C"/>
                <w:sz w:val="19"/>
                <w:szCs w:val="19"/>
              </w:rPr>
              <w:t xml:space="preserve">Principio guida per le evoluzioni:</w:t>
            </w:r>
            <w:r>
              <w:rPr>
                <w:color w:val="404040"/>
                <w:sz w:val="21"/>
                <w:szCs w:val="21"/>
              </w:rPr>
              <w:t xml:space="preserve">  Qualsiasi estensione deve rispettare il principio di segregazione delle interfacce del Domain: aggiungere nuove funzionalità tramite nuove interfacce e implementazioni Infrastructure, senza modificare il Domain o il Business layer esistenti.</w:t>
            </w:r>
          </w:p>
        </w:tc>
      </w:tr>
    </w:tbl>
    <w:sectPr>
      <w:pgSz w:w="11906" w:h="16838" w:orient="portrait"/>
      <w:pgMar w:top="1440" w:right="1656"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D8CCC" w:sz="8" w:space="6"/>
      </w:pBdr>
      <w:spacing w:after="120" w:before="480"/>
    </w:pPr>
    <w:rPr>
      <w:b/>
      <w:bCs/>
      <w:color w:val="0F2D4A"/>
      <w:sz w:val="34"/>
      <w:szCs w:val="34"/>
    </w:rPr>
  </w:style>
  <w:style w:type="paragraph" w:styleId="Heading2">
    <w:name w:val="Heading 2"/>
    <w:basedOn w:val="Normal"/>
    <w:next w:val="Normal"/>
    <w:qFormat/>
    <w:pPr>
      <w:spacing w:after="100" w:before="320"/>
    </w:pPr>
    <w:rPr>
      <w:b/>
      <w:bCs/>
      <w:color w:val="1B5F8C"/>
      <w:sz w:val="27"/>
      <w:szCs w:val="27"/>
    </w:rPr>
  </w:style>
  <w:style w:type="paragraph" w:styleId="Heading3">
    <w:name w:val="Heading 3"/>
    <w:basedOn w:val="Normal"/>
    <w:next w:val="Normal"/>
    <w:qFormat/>
    <w:pPr>
      <w:spacing w:after="60" w:before="200"/>
    </w:pPr>
    <w:rPr>
      <w:b/>
      <w:bCs/>
      <w:color w:val="2D8CC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28e51bd700f96d23ed42c97b0a8f0d638b3748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2026-06-20T11:22:20.967Z</dcterms:created>
  <dcterms:modified xsi:type="dcterms:W3CDTF">2026-06-20T11:22:20.968Z</dcterms:modified>
</cp:coreProperties>
</file>

<file path=docProps/custom.xml><?xml version="1.0" encoding="utf-8"?>
<Properties xmlns="http://schemas.openxmlformats.org/officeDocument/2006/custom-properties" xmlns:vt="http://schemas.openxmlformats.org/officeDocument/2006/docPropsVTypes"/>
</file>