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b/>
          <w:bCs/>
          <w:caps/>
          <w:color w:val="0F2D4A"/>
          <w:sz w:val="56"/>
          <w:szCs w:val="56"/>
        </w:rPr>
        <w:t xml:space="preserve">QUANTUM SHIELD</w:t>
      </w:r>
    </w:p>
    <w:p>
      <w:pPr>
        <w:spacing w:after="80" w:before="0"/>
        <w:jc w:val="center"/>
      </w:pPr>
      <w:r>
        <w:rPr>
          <w:color w:val="2D8CCC"/>
          <w:sz w:val="36"/>
          <w:szCs w:val="36"/>
        </w:rPr>
        <w:t xml:space="preserve">Infrastructure Design Document</w:t>
      </w:r>
    </w:p>
    <w:p>
      <w:pPr>
        <w:spacing w:after="600" w:before="0"/>
        <w:jc w:val="center"/>
      </w:pPr>
      <w:r>
        <w:rPr>
          <w:i/>
          <w:iCs/>
          <w:color w:val="707070"/>
          <w:sz w:val="24"/>
          <w:szCs w:val="24"/>
        </w:rPr>
        <w:t xml:space="preserve">Modulo Terraform — Azure Application Gateway &amp; App Service</w:t>
      </w: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Versione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1.0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Data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Giugno 2026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Stato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In revisione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Classificazione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Riservato — uso interno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Tipo documento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Infrastructure Design Document (IDD)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Modulo Terraform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src/GW/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Provider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 ~&gt; 4.34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Terraform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&gt;= 1.5.0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t xml:space="preserve">1. Executive Summary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Il modulo Terraform contenuto in src/GW/ gestisce il provisioning dell'intera infrastruttura Azure per il layer applicativo di Quantum Shield. In pochi comandi, l'operatore ottiene un ambiente completo e ripetibile composto da: Application Gateway v2 (ingress pubblico con health probe attivo), Linux Web App su App Service Plan (backend API .NET 10), rete virtuale dedicata e Public IP statico.</w:t>
      </w:r>
    </w:p>
    <w:p>
      <w:pPr>
        <w:spacing w:after="40" w:before="40"/>
      </w:pP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L'approccio Infrastructure-as-Code garantisce la riproducibilità degli ambienti (dev/staging/prod), la tracciabilità delle modifiche infrastrutturali via git e la capacità di distruggere e ricreare l'intero ambiente in pochi minuti.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2. Obiettivi e principi di design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Immutabilità e riproducibilità: </w:t>
      </w:r>
      <w:r>
        <w:rPr>
          <w:color w:val="404040"/>
          <w:sz w:val="22"/>
          <w:szCs w:val="22"/>
        </w:rPr>
        <w:t xml:space="preserve">ogni ambiente è creato identico a partire dal codice Terraform. Nessuna modifica manuale tramite portale Azure.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Minimo privilegio: </w:t>
      </w:r>
      <w:r>
        <w:rPr>
          <w:color w:val="404040"/>
          <w:sz w:val="22"/>
          <w:szCs w:val="22"/>
        </w:rPr>
        <w:t xml:space="preserve">l'App Service backend comunica con l'Application Gateway tramite HTTPS (porta 443) con SNI. Nessun componente espone porte dirette a Internet.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Separazione per prefisso: </w:t>
      </w:r>
      <w:r>
        <w:rPr>
          <w:color w:val="404040"/>
          <w:sz w:val="22"/>
          <w:szCs w:val="22"/>
        </w:rPr>
        <w:t xml:space="preserve">tutte le risorse usano il parametro prefix, che permette di istanziare ambienti multipli nella stessa subscription senza conflitti di nome.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Tag uniformi: </w:t>
      </w:r>
      <w:r>
        <w:rPr>
          <w:color w:val="404040"/>
          <w:sz w:val="22"/>
          <w:szCs w:val="22"/>
        </w:rPr>
        <w:t xml:space="preserve">ogni risorsa riceve i tag definiti nella variabile tags per cost management e inventory.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3. Risorse provisioniate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Il modulo crea le seguenti risorse Azure, tutte nella stessa region e resource group:</w:t>
      </w:r>
    </w:p>
    <w:p>
      <w:pPr>
        <w:spacing w:after="40" w:before="40"/>
      </w:pP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Risorsa Terraform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Nome Azure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azurerm_resource_group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rg-{prefix}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Resource Group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Contenitore di tutte le risorse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azurerm_virtual_network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vnet-{prefix}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VNet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Address space: 10.20.0.0/16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azurerm_subnet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snet-appgw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Subnet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Dedicata ad Application Gateway: 10.20.0.0/24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azurerm_public_ip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pip-{prefix}-appgw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Public IP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SKU: Standard, allocazione: Static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azurerm_service_plan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asp-{prefix}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 Service Plan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OS: Linux, SKU configurabile (default B1)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azurerm_linux_web_app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app-{prefix}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Linux Web App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Runtime .NET Core 10.0, https_only, always_on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azurerm_application_gateway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agw-{prefix}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Application Gateway v2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SKU: Standard_v2, capacity: 2, HTTP/2 attivo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480"/>
      </w:pPr>
      <w:r>
        <w:t xml:space="preserve">4. Struttura del modulo Terraform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Il modulo è self-contained in src/GW/ e non ha dipendenze da altri moduli Terraform del repository:</w:t>
      </w:r>
    </w:p>
    <w:p>
      <w:pPr>
        <w:spacing w:after="40" w:before="40"/>
      </w:pP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src/GW/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├── versions.tf              # Terraform &gt;= 1.5.0, provider azurerm ~&gt; 4.34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├── variables.tf             # Variabili di input con defaults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├── main.tf                  # Definizione di tutte le risorse Azure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├── outputs.tf               # Output del deployment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└── terraform.tfvars.example # Configurazione di esempio (dev)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5. Variabili di input</w:t>
      </w: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prefix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quantumshield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Prefisso per i nomi di tutte le risorse Azure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location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westeurope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Azure region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app_service_sku_name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B1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SKU del Linux App Service Plan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app_service_runtime_stack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DOTNETCORE|10.0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Runtime .NET per la Web App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tags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map(string)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{environment=dev, workload=quantum-shield}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Tag applicati a tutte le risorse</w:t>
            </w:r>
          </w:p>
        </w:tc>
      </w:tr>
    </w:tbl>
    <w:p>
      <w:pPr>
        <w:spacing w:after="40" w:before="40"/>
      </w:pPr>
    </w:p>
    <w:p>
      <w:pPr>
        <w:pBdr>
          <w:left w:val="thick" w:color="2D8CCC" w:sz="8"/>
        </w:pBdr>
        <w:shd w:fill="EBF4FB" w:val="clear"/>
        <w:spacing w:after="80" w:before="80"/>
        <w:ind w:left="360"/>
      </w:pPr>
      <w:r>
        <w:rPr>
          <w:b/>
          <w:bCs/>
          <w:color w:val="1B5F8C"/>
          <w:sz w:val="21"/>
          <w:szCs w:val="21"/>
        </w:rPr>
        <w:t xml:space="preserve">ℹ  Per ambienti di produzione si raccomanda SKU P2v3 o superiore per App Service e Standard_v2 con autoscaling per Application Gateway.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6. Output del deployment</w:t>
      </w: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resource_group_name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Nome del resource group creato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application_gateway_public_ip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IP pubblico assegnato all'Application Gateway (da usare nel DNS)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application_gateway_name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Nome della risorsa Application Gateway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backend_web_app_name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Nome dell'App Service backend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backend_web_app_hostname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Hostname default dell'App Service (*.azurewebsites.net)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480"/>
      </w:pPr>
      <w:r>
        <w:t xml:space="preserve">7. Architettura Application Gateway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Il traffico segue il percorso seguente dall'utente finale al backend API:</w:t>
      </w:r>
    </w:p>
    <w:p>
      <w:pPr>
        <w:spacing w:after="40" w:before="40"/>
      </w:pP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Internet (HTTP :80)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│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▼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IP (Static, Standard SKU) — pip-{prefix}-appgw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│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▼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Application Gateway v2 (Standard_v2, capacity=2, HTTP/2 enabled)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├── Frontend IP: publicFrontend → Public IP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├── Frontend Port: port-80 (HTTP :80)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├── HTTP Listener: public-http-listener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├── Routing Rule: default-route (Basic, priority=100)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├── Backend Pool: appservice-backend-pool (FQDN: *.azurewebsites.net)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├── Backend Settings: HTTPS :443, pick_host_name=true, timeout=30s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└── Health Probe: HTTPS GET /, interval=30s, threshold=3, codes 200-399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│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▼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Linux Web App — app-{prefix}.azurewebsites.net (HTTPS :443)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│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▼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API Backend .NET Core 10.0</w:t>
      </w:r>
    </w:p>
    <w:p>
      <w:pPr>
        <w:spacing w:after="40" w:before="40"/>
      </w:pPr>
    </w:p>
    <w:p>
      <w:pPr>
        <w:pBdr>
          <w:left w:val="thick" w:color="C55A11" w:sz="8"/>
        </w:pBdr>
        <w:shd w:fill="FFF5EC" w:val="clear"/>
        <w:spacing w:after="80" w:before="80"/>
        <w:ind w:left="360"/>
      </w:pPr>
      <w:r>
        <w:rPr>
          <w:b/>
          <w:bCs/>
          <w:color w:val="C55A11"/>
          <w:sz w:val="21"/>
          <w:szCs w:val="21"/>
        </w:rPr>
        <w:t xml:space="preserve">⚠  Il listener pubblico è attualmente HTTP sulla porta 80. Per abilitare TLS end-to-end sul frontend, aggiungere: certificato SSL, frontend port 443, HTTP listener HTTPS e una redirect rule da HTTP a HTTPS.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8. Configurazione App Service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L'App Service backend è configurato con le seguenti impostazioni di sicurezza e performance:</w:t>
      </w:r>
    </w:p>
    <w:p>
      <w:pPr>
        <w:spacing w:after="40" w:before="40"/>
      </w:pP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Impostazione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https_only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Reindirizza automaticamente HTTP → HTTPS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always_on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Evita il cold start — istanza sempre attiva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dotnet_version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10.0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Runtime .NET estratto da app_service_runtime_stack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WEBSITES_PORT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Porta su cui l'app ascolta internamente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HTTP/2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abilitato (Gateway)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HTTP/2 attivo sull'Application Gateway</w:t>
            </w:r>
          </w:p>
        </w:tc>
      </w:tr>
    </w:tbl>
    <w:p>
      <w:pPr>
        <w:spacing w:after="40" w:before="40"/>
      </w:pP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Il nome dell'App Service viene normalizzato automaticamente: i caratteri _ vengono sostituiti con - e il nome viene troncato a 60 caratteri per rispettare i vincoli Azure.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9. Networking</w:t>
      </w: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CIDR / Config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VNet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10.20.0.0/16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Virtual network dedicata al workload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Subnet AppGW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10.20.0.0/24 (snet-appgw)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Richiesta da Application Gateway — non condivisibile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Public IP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Static Standard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Assegnato all'Application Gateway frontend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App Service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Multi-tenant (azurewebsites.net)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Accesso dall'AppGW via FQDN su HTTPS :443</w:t>
            </w:r>
          </w:p>
        </w:tc>
      </w:tr>
    </w:tbl>
    <w:p>
      <w:pPr>
        <w:spacing w:after="40" w:before="40"/>
      </w:pPr>
    </w:p>
    <w:p>
      <w:pPr>
        <w:pBdr>
          <w:left w:val="thick" w:color="2D8CCC" w:sz="8"/>
        </w:pBdr>
        <w:shd w:fill="EBF4FB" w:val="clear"/>
        <w:spacing w:after="80" w:before="80"/>
        <w:ind w:left="360"/>
      </w:pPr>
      <w:r>
        <w:rPr>
          <w:b/>
          <w:bCs/>
          <w:color w:val="1B5F8C"/>
          <w:sz w:val="21"/>
          <w:szCs w:val="21"/>
        </w:rPr>
        <w:t xml:space="preserve">ℹ  La subnet snet-appgw (10.20.0.0/24) è riservata esclusivamente all'Application Gateway. Azure non consente di aggiungere altre risorse in questa subnet.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10. Convenzioni di naming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Tutte le risorse seguono la naming convention {tipo}-{prefix} dove prefix è il parametro configurabile (default: quantumshield). Con prefix = quantumshield-dev:</w:t>
      </w:r>
    </w:p>
    <w:p>
      <w:pPr>
        <w:spacing w:after="40" w:before="40"/>
      </w:pP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rg-quantumshield-dev            # Resource Group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vnet-quantumshield-dev          # Virtual Network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snet-appgw                      # Subnet (nome fisso)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pip-quantumshield-dev-appgw     # Public IP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asp-quantumshield-dev           # App Service Plan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app-quantumshield-dev           # Linux Web App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agw-quantumshield-dev           # Application Gateway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11. Comandi operativi</w:t>
      </w:r>
    </w:p>
    <w:p>
      <w:pPr>
        <w:pStyle w:val="Heading2"/>
        <w:spacing w:after="100" w:before="320"/>
      </w:pPr>
      <w:r>
        <w:t xml:space="preserve">11.1 Setup iniziale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cd src/GW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copy terraform.tfvars.example terraform.tfvars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Modificare terraform.tfvars con i valori specifici dell'ambiente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terraform init</w:t>
      </w:r>
    </w:p>
    <w:p>
      <w:pPr>
        <w:spacing w:after="40" w:before="40"/>
      </w:pPr>
    </w:p>
    <w:p>
      <w:pPr>
        <w:pStyle w:val="Heading2"/>
        <w:spacing w:after="100" w:before="320"/>
      </w:pPr>
      <w:r>
        <w:t xml:space="preserve">11.2 Ciclo di vita standard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Preview delle modifiche (sempre prima di apply)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terraform plan -var-file=terraform.tfvars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Deploy / aggiornamento infrastruttura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terraform apply -var-file=terraform.tfvars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Verifica stato corrente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terraform show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Distruggi tutto (ambienti temporanei)</w:t>
      </w:r>
    </w:p>
    <w:p>
      <w:pPr>
        <w:shd w:fill="F0F6FC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terraform destroy -var-file=terraform.tfvars</w:t>
      </w:r>
    </w:p>
    <w:p>
      <w:pPr>
        <w:spacing w:after="40" w:before="40"/>
      </w:pPr>
    </w:p>
    <w:p>
      <w:pPr>
        <w:pStyle w:val="Heading2"/>
        <w:spacing w:after="100" w:before="320"/>
      </w:pPr>
      <w:r>
        <w:t xml:space="preserve">11.3 Prerequisiti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1. </w:t>
      </w:r>
      <w:r>
        <w:rPr>
          <w:color w:val="404040"/>
          <w:sz w:val="22"/>
          <w:szCs w:val="22"/>
        </w:rPr>
        <w:t xml:space="preserve">Terraform &gt;= 1.5.0 installato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2. </w:t>
      </w:r>
      <w:r>
        <w:rPr>
          <w:color w:val="404040"/>
          <w:sz w:val="22"/>
          <w:szCs w:val="22"/>
        </w:rPr>
        <w:t xml:space="preserve">Azure CLI autenticato: az login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3. </w:t>
      </w:r>
      <w:r>
        <w:rPr>
          <w:color w:val="404040"/>
          <w:sz w:val="22"/>
          <w:szCs w:val="22"/>
        </w:rPr>
        <w:t xml:space="preserve">Subscription selezionata: az account set --subscription &lt;id&gt;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4. </w:t>
      </w:r>
      <w:r>
        <w:rPr>
          <w:color w:val="404040"/>
          <w:sz w:val="22"/>
          <w:szCs w:val="22"/>
        </w:rPr>
        <w:t xml:space="preserve">Permessi: Contributor sulla subscription o sul resource group target</w:t>
      </w:r>
    </w:p>
    <w:p>
      <w:pPr>
        <w:spacing w:after="40" w:before="40"/>
      </w:pPr>
    </w:p>
    <w:p>
      <w:pPr>
        <w:pStyle w:val="Heading1"/>
        <w:spacing w:after="120" w:before="480"/>
      </w:pPr>
      <w:r>
        <w:t xml:space="preserve">12. Ambienti multipli</w:t>
      </w:r>
    </w:p>
    <w:p>
      <w:pPr>
        <w:spacing w:after="100" w:before="40"/>
        <w:jc w:val="both"/>
      </w:pPr>
      <w:r>
        <w:rPr>
          <w:color w:val="404040"/>
          <w:sz w:val="22"/>
          <w:szCs w:val="22"/>
        </w:rPr>
        <w:t xml:space="preserve">Il design a prefisso permette di gestire ambienti multipli con lo stesso codice Terraform, usando tfvars differenti:</w:t>
      </w:r>
    </w:p>
    <w:p>
      <w:pPr>
        <w:spacing w:after="40" w:before="40"/>
      </w:pPr>
    </w:p>
    <w:tbl>
      <w:tblPr>
        <w:tblW w:type="pct" w:w="100%"/>
        <w:tblBorders>
          <w:top w:val="single" w:color="A0C4E0" w:sz="4"/>
          <w:left w:val="single" w:color="A0C4E0" w:sz="4"/>
          <w:bottom w:val="single" w:color="A0C4E0" w:sz="4"/>
          <w:right w:val="single" w:color="A0C4E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app_service_sku_name</w:t>
            </w:r>
          </w:p>
        </w:tc>
        <w:tc>
          <w:tcPr>
            <w:shd w:fill="0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Sviluppo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quantumshield-dev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B1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Test locali e sviluppo feature</w:t>
            </w:r>
          </w:p>
        </w:tc>
      </w:tr>
      <w:tr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Staging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quantumshield-stg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P1v2</w:t>
            </w:r>
          </w:p>
        </w:tc>
        <w:tc>
          <w:tcPr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Collaudo pre-produzione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Produzione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quantumshield-prod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P2v3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color w:val="404040"/>
                <w:sz w:val="20"/>
                <w:szCs w:val="20"/>
              </w:rPr>
              <w:t xml:space="preserve">Workload clienti live</w:t>
            </w:r>
          </w:p>
        </w:tc>
      </w:tr>
    </w:tbl>
    <w:p>
      <w:pPr>
        <w:spacing w:after="40" w:before="40"/>
      </w:pPr>
    </w:p>
    <w:p>
      <w:pPr>
        <w:pStyle w:val="Heading1"/>
        <w:spacing w:after="120" w:before="480"/>
      </w:pPr>
      <w:r>
        <w:t xml:space="preserve">13. Evoluzioni previste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WAF v2: </w:t>
      </w:r>
      <w:r>
        <w:rPr>
          <w:color w:val="404040"/>
          <w:sz w:val="22"/>
          <w:szCs w:val="22"/>
        </w:rPr>
        <w:t xml:space="preserve">Upgrade dello SKU da Standard_v2 a WAF_v2 per abilitare il Web Application Firewall (protezione OWASP Top 10).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HTTPS frontend: </w:t>
      </w:r>
      <w:r>
        <w:rPr>
          <w:color w:val="404040"/>
          <w:sz w:val="22"/>
          <w:szCs w:val="22"/>
        </w:rPr>
        <w:t xml:space="preserve">Aggiungere certificato SSL gestito (App Service Managed Certificate o Azure-provided), frontend port 443, HTTP listener HTTPS e redirect HTTP → HTTPS.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Autoscaling: </w:t>
      </w:r>
      <w:r>
        <w:rPr>
          <w:color w:val="404040"/>
          <w:sz w:val="22"/>
          <w:szCs w:val="22"/>
        </w:rPr>
        <w:t xml:space="preserve">Configurare autoscaling sull'App Service Plan tramite Azure Monitor per gestire i picchi di carico degli assessment.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Private networking: </w:t>
      </w:r>
      <w:r>
        <w:rPr>
          <w:color w:val="404040"/>
          <w:sz w:val="22"/>
          <w:szCs w:val="22"/>
        </w:rPr>
        <w:t xml:space="preserve">Spostare l'App Service in una subnet privata con VNet Integration per eliminare l'esposizione diretta su azurewebsites.net.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Remote state: </w:t>
      </w:r>
      <w:r>
        <w:rPr>
          <w:color w:val="404040"/>
          <w:sz w:val="22"/>
          <w:szCs w:val="22"/>
        </w:rPr>
        <w:t xml:space="preserve">Configurare un Terraform backend su Azure Blob Storage (azurerm) per lo stato condiviso in team e il lock sul state file.</w:t>
      </w:r>
    </w:p>
    <w:p>
      <w:pPr>
        <w:spacing w:after="100" w:before="40"/>
        <w:jc w:val="both"/>
      </w:pPr>
      <w:r>
        <w:rPr>
          <w:b/>
          <w:bCs/>
          <w:color w:val="0F2D4A"/>
          <w:sz w:val="22"/>
          <w:szCs w:val="22"/>
        </w:rPr>
        <w:t xml:space="preserve">CI/CD: </w:t>
      </w:r>
      <w:r>
        <w:rPr>
          <w:color w:val="404040"/>
          <w:sz w:val="22"/>
          <w:szCs w:val="22"/>
        </w:rPr>
        <w:t xml:space="preserve">Integrare terraform plan/apply nella pipeline GitHub Actions con approval manuale prima dell'apply in produzione.</w:t>
      </w:r>
    </w:p>
    <w:p>
      <w:pPr>
        <w:spacing w:after="40" w:before="4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80"/>
    </w:pPr>
    <w:rPr>
      <w:b/>
      <w:bCs/>
      <w:color w:val="0F2D4A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b/>
      <w:bCs/>
      <w:color w:val="1B5F8C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20"/>
    </w:pPr>
    <w:rPr>
      <w:b/>
      <w:bCs/>
      <w:color w:val="2D8C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Shield — Infrastructure Design Document</dc:title>
  <dc:creator>Quantum Shield — Team Architettura</dc:creator>
  <dc:description>Modulo Terraform src/GW/ — Azure Application Gateway &amp; App Service</dc:description>
  <cp:lastModifiedBy>Un-named</cp:lastModifiedBy>
  <cp:revision>1</cp:revision>
  <dcterms:created xsi:type="dcterms:W3CDTF">2026-06-20T12:03:36.225Z</dcterms:created>
  <dcterms:modified xsi:type="dcterms:W3CDTF">2026-06-20T12:03:36.226Z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