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Cloud &amp; AI Engineer | GenAI &amp; RAG Platform Specialist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20+ years of infrastructure experience, including 6 years at Amazon Web Services (Dublin). From January 2022 to August 2026, I have focused on building production-oriented GenAI systems on Amazon Bedrock, including RAG pipelines, vector retrieval, LLM routing, grounded responses, evaluation patterns, security guardrails, and cost-aware operations. Strong in Python, FastAPI, AWS-native architecture, and end-to-end delivery from design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Evolved an AWS-hosted RAG platform with a React frontend on CloudFront and a containerized FastAPI backend on ECS Fargate, connected to Aurora for end-to-end ingestion workflows, automated gap analysis,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pg_prewarm, stronger keyword handling, and more efficient query flows across frequently accessed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