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C87BCCA"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5F423C4C"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r w:rsidR="00953F12">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proofErr w:type="spellStart"/>
      <w:r w:rsidR="00B91D5D">
        <w:rPr>
          <w:b w:val="0"/>
          <w:sz w:val="24"/>
          <w:szCs w:val="24"/>
        </w:rPr>
        <w:t>xx</w:t>
      </w:r>
      <w:proofErr w:type="spellEnd"/>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proofErr w:type="spellStart"/>
      <w:r w:rsidR="00B91D5D">
        <w:rPr>
          <w:b w:val="0"/>
          <w:sz w:val="24"/>
          <w:szCs w:val="24"/>
        </w:rPr>
        <w:t>xx</w:t>
      </w:r>
      <w:proofErr w:type="spellEnd"/>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proofErr w:type="spellStart"/>
      <w:r w:rsidR="00B91D5D">
        <w:rPr>
          <w:b w:val="0"/>
          <w:sz w:val="24"/>
          <w:szCs w:val="24"/>
        </w:rPr>
        <w:t>xx</w:t>
      </w:r>
      <w:proofErr w:type="spellEnd"/>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proofErr w:type="spellStart"/>
      <w:r w:rsidR="00B91D5D">
        <w:rPr>
          <w:b w:val="0"/>
          <w:sz w:val="24"/>
          <w:szCs w:val="24"/>
        </w:rPr>
        <w:t>xx</w:t>
      </w:r>
      <w:proofErr w:type="spellEnd"/>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 xml:space="preserve">Título da tabela .....................................................................................  </w:t>
      </w:r>
      <w:proofErr w:type="spellStart"/>
      <w:r w:rsidR="00B91D5D">
        <w:rPr>
          <w:b w:val="0"/>
          <w:sz w:val="24"/>
          <w:szCs w:val="24"/>
        </w:rPr>
        <w:t>xx</w:t>
      </w:r>
      <w:proofErr w:type="spellEnd"/>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 xml:space="preserve">Título da tabela .....................................................................................  </w:t>
      </w:r>
      <w:proofErr w:type="spellStart"/>
      <w:r w:rsidR="00B91D5D">
        <w:rPr>
          <w:b w:val="0"/>
          <w:sz w:val="24"/>
          <w:szCs w:val="24"/>
        </w:rPr>
        <w:t>xx</w:t>
      </w:r>
      <w:proofErr w:type="spellEnd"/>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proofErr w:type="spellStart"/>
      <w:r w:rsidR="007E1E22">
        <w:rPr>
          <w:b w:val="0"/>
          <w:sz w:val="24"/>
          <w:szCs w:val="24"/>
        </w:rPr>
        <w:t>xx</w:t>
      </w:r>
      <w:proofErr w:type="spellEnd"/>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proofErr w:type="spellStart"/>
      <w:r w:rsidR="000A3CC0" w:rsidRPr="000A3CC0">
        <w:rPr>
          <w:sz w:val="24"/>
          <w:szCs w:val="24"/>
        </w:rPr>
        <w:t>xx</w:t>
      </w:r>
      <w:proofErr w:type="spellEnd"/>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proofErr w:type="spellStart"/>
      <w:r w:rsidR="000A3CC0" w:rsidRPr="000A3CC0">
        <w:rPr>
          <w:b w:val="0"/>
          <w:sz w:val="24"/>
          <w:szCs w:val="24"/>
        </w:rPr>
        <w:t>x</w:t>
      </w:r>
      <w:r w:rsidR="000A3CC0">
        <w:rPr>
          <w:b w:val="0"/>
          <w:sz w:val="24"/>
          <w:szCs w:val="24"/>
        </w:rPr>
        <w:t>x</w:t>
      </w:r>
      <w:proofErr w:type="spellEnd"/>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proofErr w:type="spellStart"/>
      <w:r w:rsidR="000A3CC0">
        <w:rPr>
          <w:b w:val="0"/>
          <w:sz w:val="24"/>
          <w:szCs w:val="24"/>
        </w:rPr>
        <w:t>xx</w:t>
      </w:r>
      <w:proofErr w:type="spellEnd"/>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 xml:space="preserve">eção………………. .........................................................................  </w:t>
      </w:r>
      <w:proofErr w:type="spellStart"/>
      <w:r w:rsidRPr="000A3CC0">
        <w:rPr>
          <w:b w:val="0"/>
          <w:sz w:val="24"/>
          <w:szCs w:val="24"/>
        </w:rPr>
        <w:t>x</w:t>
      </w:r>
      <w:r>
        <w:rPr>
          <w:b w:val="0"/>
          <w:sz w:val="24"/>
          <w:szCs w:val="24"/>
        </w:rPr>
        <w:t>x</w:t>
      </w:r>
      <w:proofErr w:type="spellEnd"/>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 xml:space="preserve">tulo ..............................................................................  </w:t>
      </w:r>
      <w:proofErr w:type="spellStart"/>
      <w:r>
        <w:rPr>
          <w:b w:val="0"/>
          <w:sz w:val="24"/>
          <w:szCs w:val="24"/>
        </w:rPr>
        <w:t>xx</w:t>
      </w:r>
      <w:proofErr w:type="spellEnd"/>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proofErr w:type="spellStart"/>
      <w:r w:rsidR="000A3CC0">
        <w:rPr>
          <w:sz w:val="24"/>
          <w:szCs w:val="24"/>
        </w:rPr>
        <w:t>xx</w:t>
      </w:r>
      <w:proofErr w:type="spellEnd"/>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w:t>
      </w:r>
      <w:proofErr w:type="spellStart"/>
      <w:r>
        <w:rPr>
          <w:b w:val="0"/>
          <w:sz w:val="24"/>
          <w:szCs w:val="24"/>
        </w:rPr>
        <w:t>xx</w:t>
      </w:r>
      <w:proofErr w:type="spellEnd"/>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proofErr w:type="spellStart"/>
      <w:r w:rsidR="000A3CC0">
        <w:rPr>
          <w:b w:val="0"/>
          <w:sz w:val="24"/>
          <w:szCs w:val="24"/>
        </w:rPr>
        <w:t>xx</w:t>
      </w:r>
      <w:proofErr w:type="spellEnd"/>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ml:space="preserve">.   </w:t>
      </w:r>
      <w:proofErr w:type="spellStart"/>
      <w:r w:rsidR="000A3CC0">
        <w:rPr>
          <w:b w:val="0"/>
          <w:sz w:val="24"/>
          <w:szCs w:val="24"/>
        </w:rPr>
        <w:t>xx</w:t>
      </w:r>
      <w:proofErr w:type="spellEnd"/>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3A6B0619"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F12281">
        <w:rPr>
          <w:b w:val="0"/>
          <w:sz w:val="24"/>
          <w:szCs w:val="24"/>
        </w:rPr>
        <w:t>,</w:t>
      </w:r>
      <w:r>
        <w:rPr>
          <w:b w:val="0"/>
          <w:sz w:val="24"/>
          <w:szCs w:val="24"/>
        </w:rPr>
        <w:t xml:space="preserve"> em um projeto real de</w:t>
      </w:r>
      <w:r w:rsidR="00DC7A3F">
        <w:rPr>
          <w:b w:val="0"/>
          <w:sz w:val="24"/>
          <w:szCs w:val="24"/>
        </w:rPr>
        <w:t xml:space="preserve"> desenvolvimento de</w:t>
      </w:r>
      <w:r>
        <w:rPr>
          <w:b w:val="0"/>
          <w:sz w:val="24"/>
          <w:szCs w:val="24"/>
        </w:rPr>
        <w:t xml:space="preserv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05F0DCD6"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15192DA1" w:rsidR="009613A9" w:rsidRDefault="009613A9" w:rsidP="009613A9">
      <w:pPr>
        <w:spacing w:line="360" w:lineRule="auto"/>
        <w:jc w:val="both"/>
        <w:rPr>
          <w:b w:val="0"/>
          <w:sz w:val="24"/>
          <w:szCs w:val="24"/>
          <w:lang w:val="it-IT"/>
        </w:rPr>
      </w:pPr>
      <w:r w:rsidRPr="009613A9">
        <w:rPr>
          <w:b w:val="0"/>
          <w:sz w:val="24"/>
          <w:szCs w:val="24"/>
          <w:lang w:val="it-IT"/>
        </w:rPr>
        <w:t>O projeto consiste na realização de transferências bancárias</w:t>
      </w:r>
      <w:r w:rsidR="002C5F20">
        <w:rPr>
          <w:b w:val="0"/>
          <w:sz w:val="24"/>
          <w:szCs w:val="24"/>
          <w:lang w:val="it-IT"/>
        </w:rPr>
        <w:t>,</w:t>
      </w:r>
      <w:r w:rsidRPr="009613A9">
        <w:rPr>
          <w:b w:val="0"/>
          <w:sz w:val="24"/>
          <w:szCs w:val="24"/>
          <w:lang w:val="it-IT"/>
        </w:rPr>
        <w:t xml:space="preserve">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escrita de BDD. Após alguns ajustes, os envolvidos entraram em um consenso e os </w:t>
      </w:r>
      <w:r>
        <w:rPr>
          <w:b w:val="0"/>
          <w:sz w:val="24"/>
          <w:szCs w:val="24"/>
          <w:lang w:val="it-IT"/>
        </w:rPr>
        <w:lastRenderedPageBreak/>
        <w:t xml:space="preserve">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620EB452" w:rsidR="00A556C7" w:rsidRDefault="00A556C7" w:rsidP="002E25A9">
      <w:pPr>
        <w:spacing w:line="360" w:lineRule="auto"/>
        <w:jc w:val="both"/>
        <w:rPr>
          <w:b w:val="0"/>
          <w:sz w:val="24"/>
          <w:szCs w:val="24"/>
          <w:lang w:val="it-IT"/>
        </w:rPr>
      </w:pPr>
    </w:p>
    <w:p w14:paraId="69288DC5" w14:textId="77777777" w:rsidR="009731C7" w:rsidRDefault="009731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9395D44" w14:textId="3B1D5A29" w:rsidR="009109A1"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w:t>
      </w:r>
      <w:r w:rsidR="009109A1">
        <w:rPr>
          <w:b w:val="0"/>
          <w:sz w:val="24"/>
          <w:szCs w:val="24"/>
          <w:lang w:val="it-IT"/>
        </w:rPr>
        <w:t xml:space="preserve">, utilizando a própria lista de práticas como base para identificação </w:t>
      </w:r>
      <w:r w:rsidR="009109A1">
        <w:rPr>
          <w:b w:val="0"/>
          <w:sz w:val="24"/>
          <w:szCs w:val="24"/>
          <w:lang w:val="it-IT"/>
        </w:rPr>
        <w:lastRenderedPageBreak/>
        <w:t>dos contatos, aliado à um repositório centralizado das documentações e um alinhamento realizado dois dias por semana para atualizar o andamento do projeto e eliminar eventuais impedimentos</w:t>
      </w:r>
      <w:r w:rsidR="0092766D">
        <w:rPr>
          <w:b w:val="0"/>
          <w:sz w:val="24"/>
          <w:szCs w:val="24"/>
          <w:lang w:val="it-IT"/>
        </w:rPr>
        <w:t>.</w:t>
      </w:r>
    </w:p>
    <w:p w14:paraId="41E32929" w14:textId="23568502" w:rsidR="0092766D" w:rsidRDefault="0092766D" w:rsidP="00DB5F4E">
      <w:pPr>
        <w:spacing w:line="360" w:lineRule="auto"/>
        <w:jc w:val="both"/>
        <w:rPr>
          <w:b w:val="0"/>
          <w:sz w:val="24"/>
          <w:szCs w:val="24"/>
          <w:lang w:val="it-IT"/>
        </w:rPr>
      </w:pPr>
      <w:r>
        <w:rPr>
          <w:b w:val="0"/>
          <w:sz w:val="24"/>
          <w:szCs w:val="24"/>
          <w:lang w:val="it-IT"/>
        </w:rPr>
        <w:t xml:space="preserve"> </w:t>
      </w:r>
    </w:p>
    <w:p w14:paraId="5CC11E42" w14:textId="384B0B22" w:rsidR="003B6861" w:rsidRDefault="0092766D" w:rsidP="00A556C7">
      <w:pPr>
        <w:spacing w:line="360" w:lineRule="auto"/>
        <w:jc w:val="both"/>
        <w:rPr>
          <w:b w:val="0"/>
          <w:sz w:val="24"/>
          <w:szCs w:val="24"/>
          <w:lang w:val="it-IT"/>
        </w:rPr>
      </w:pPr>
      <w:r>
        <w:rPr>
          <w:b w:val="0"/>
          <w:sz w:val="24"/>
          <w:szCs w:val="24"/>
          <w:lang w:val="it-IT"/>
        </w:rPr>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5F717D17" w14:textId="35B05A46" w:rsidR="009109A1" w:rsidRDefault="009109A1" w:rsidP="009109A1">
      <w:pPr>
        <w:spacing w:line="360" w:lineRule="auto"/>
        <w:jc w:val="both"/>
        <w:rPr>
          <w:b w:val="0"/>
          <w:sz w:val="24"/>
          <w:szCs w:val="24"/>
          <w:lang w:val="it-IT"/>
        </w:rPr>
      </w:pPr>
      <w:r>
        <w:rPr>
          <w:b w:val="0"/>
          <w:sz w:val="24"/>
          <w:szCs w:val="24"/>
          <w:lang w:val="it-IT"/>
        </w:rPr>
        <w:t>Após a conclusão das modelagens e verificações das práticas, os desenvolvimentos foram efetivamente iniciados, e o projeto foi progredindo até ser concluído.</w:t>
      </w:r>
      <w:r w:rsidR="00EE0291">
        <w:rPr>
          <w:b w:val="0"/>
          <w:sz w:val="24"/>
          <w:szCs w:val="24"/>
          <w:lang w:val="it-IT"/>
        </w:rPr>
        <w:t xml:space="preserve"> Durante os alinhamentos acordados no plano de comunicações, não foram relatadas ocorrências de conflitos ou impedimentos que poderiam comprometer a entrega, no entanto, é a resposta do questionário por parte dos participantes, a ser apresentada na próxima seção, que irá estabelecer a avaliação e percepç</w:t>
      </w:r>
      <w:r w:rsidR="007C69AF">
        <w:rPr>
          <w:b w:val="0"/>
          <w:sz w:val="24"/>
          <w:szCs w:val="24"/>
          <w:lang w:val="it-IT"/>
        </w:rPr>
        <w:t>ões oficiais</w:t>
      </w:r>
      <w:r w:rsidR="00EE0291">
        <w:rPr>
          <w:b w:val="0"/>
          <w:sz w:val="24"/>
          <w:szCs w:val="24"/>
          <w:lang w:val="it-IT"/>
        </w:rPr>
        <w:t xml:space="preserve"> da influência das práticas e resultados deste estudo de caso.</w:t>
      </w:r>
    </w:p>
    <w:p w14:paraId="59443E78" w14:textId="77777777" w:rsidR="009109A1" w:rsidRDefault="009109A1" w:rsidP="009109A1">
      <w:pPr>
        <w:spacing w:line="360" w:lineRule="auto"/>
        <w:jc w:val="both"/>
        <w:rPr>
          <w:b w:val="0"/>
          <w:sz w:val="24"/>
          <w:szCs w:val="24"/>
          <w:lang w:val="it-IT"/>
        </w:rPr>
      </w:pPr>
    </w:p>
    <w:p w14:paraId="4782525F" w14:textId="24A26426" w:rsidR="009109A1" w:rsidRPr="00164325" w:rsidRDefault="009109A1" w:rsidP="009109A1">
      <w:pPr>
        <w:spacing w:line="360" w:lineRule="auto"/>
        <w:jc w:val="both"/>
        <w:rPr>
          <w:b w:val="0"/>
          <w:sz w:val="20"/>
          <w:szCs w:val="20"/>
          <w:lang w:val="it-IT"/>
        </w:rPr>
      </w:pPr>
      <w:r>
        <w:rPr>
          <w:sz w:val="24"/>
          <w:szCs w:val="24"/>
          <w:lang w:val="it-IT"/>
        </w:rPr>
        <w:t>3</w:t>
      </w:r>
      <w:r w:rsidRPr="00665DA7">
        <w:rPr>
          <w:sz w:val="24"/>
          <w:szCs w:val="24"/>
          <w:lang w:val="it-IT"/>
        </w:rPr>
        <w:t>.</w:t>
      </w:r>
      <w:r>
        <w:rPr>
          <w:sz w:val="24"/>
          <w:szCs w:val="24"/>
          <w:lang w:val="it-IT"/>
        </w:rPr>
        <w:t>4</w:t>
      </w:r>
      <w:r>
        <w:rPr>
          <w:sz w:val="24"/>
          <w:szCs w:val="24"/>
          <w:lang w:val="it-IT"/>
        </w:rPr>
        <w:t xml:space="preserve"> </w:t>
      </w:r>
      <w:r>
        <w:rPr>
          <w:sz w:val="24"/>
          <w:szCs w:val="24"/>
          <w:lang w:val="it-IT"/>
        </w:rPr>
        <w:t>Avaliação da influência das práticas</w:t>
      </w:r>
      <w:r w:rsidR="00EE0291">
        <w:rPr>
          <w:sz w:val="24"/>
          <w:szCs w:val="24"/>
          <w:lang w:val="it-IT"/>
        </w:rPr>
        <w:t xml:space="preserve"> na finalização do projeto</w:t>
      </w:r>
    </w:p>
    <w:p w14:paraId="47425D1A" w14:textId="22538FBE" w:rsidR="009109A1" w:rsidRDefault="009109A1" w:rsidP="009109A1">
      <w:pPr>
        <w:spacing w:line="360" w:lineRule="auto"/>
        <w:jc w:val="both"/>
        <w:rPr>
          <w:b w:val="0"/>
          <w:sz w:val="24"/>
          <w:szCs w:val="24"/>
          <w:lang w:val="it-IT"/>
        </w:rPr>
      </w:pPr>
    </w:p>
    <w:p w14:paraId="67CFCAC8" w14:textId="25F9C1E8" w:rsidR="009109A1" w:rsidRDefault="00D43CE0" w:rsidP="009109A1">
      <w:pPr>
        <w:spacing w:line="360" w:lineRule="auto"/>
        <w:jc w:val="both"/>
        <w:rPr>
          <w:b w:val="0"/>
          <w:sz w:val="24"/>
          <w:szCs w:val="24"/>
          <w:lang w:val="it-IT"/>
        </w:rPr>
      </w:pPr>
      <w:r>
        <w:rPr>
          <w:b w:val="0"/>
          <w:sz w:val="24"/>
          <w:szCs w:val="24"/>
          <w:lang w:val="it-IT"/>
        </w:rPr>
        <w:t>Concluídos os desenvolvimentos, o questionário apresentado na seção 3.2 foi aplicado aos participantes do projeto, a fim de obter suas percepções e avaliações à respeito das contribuições nas técnicas propostas para a finalização do projeto.</w:t>
      </w:r>
    </w:p>
    <w:p w14:paraId="79909E32" w14:textId="3C11D7DB" w:rsidR="00D43CE0" w:rsidRDefault="00D43CE0" w:rsidP="009109A1">
      <w:pPr>
        <w:spacing w:line="360" w:lineRule="auto"/>
        <w:jc w:val="both"/>
        <w:rPr>
          <w:b w:val="0"/>
          <w:sz w:val="24"/>
          <w:szCs w:val="24"/>
          <w:lang w:val="it-IT"/>
        </w:rPr>
      </w:pPr>
    </w:p>
    <w:p w14:paraId="6A52B524" w14:textId="6C212BF6" w:rsidR="00D43CE0" w:rsidRDefault="00D43CE0" w:rsidP="009109A1">
      <w:pPr>
        <w:spacing w:line="360" w:lineRule="auto"/>
        <w:jc w:val="both"/>
        <w:rPr>
          <w:b w:val="0"/>
          <w:sz w:val="24"/>
          <w:szCs w:val="24"/>
          <w:lang w:val="it-IT"/>
        </w:rPr>
      </w:pPr>
      <w:r>
        <w:rPr>
          <w:b w:val="0"/>
          <w:sz w:val="24"/>
          <w:szCs w:val="24"/>
          <w:lang w:val="it-IT"/>
        </w:rPr>
        <w:t>No total, tivemos 8 (oito) respondentes, que foi o número de participantes dessa entrega: do time responsável, participaram o PO, o QA e 1 (um) desenvolvedor; do time envolvido, o PO, o QA e 3 (três) desenvolvedores.</w:t>
      </w:r>
    </w:p>
    <w:p w14:paraId="40BA30D0" w14:textId="77777777" w:rsidR="00D43CE0" w:rsidRDefault="00D43CE0" w:rsidP="009109A1">
      <w:pPr>
        <w:spacing w:line="360" w:lineRule="auto"/>
        <w:jc w:val="both"/>
        <w:rPr>
          <w:b w:val="0"/>
          <w:sz w:val="24"/>
          <w:szCs w:val="24"/>
          <w:lang w:val="it-IT"/>
        </w:rPr>
      </w:pPr>
    </w:p>
    <w:p w14:paraId="1392B16C" w14:textId="37C36D07" w:rsidR="00D43CE0" w:rsidRDefault="00D43CE0" w:rsidP="009109A1">
      <w:pPr>
        <w:spacing w:line="360" w:lineRule="auto"/>
        <w:jc w:val="both"/>
        <w:rPr>
          <w:b w:val="0"/>
          <w:sz w:val="24"/>
          <w:szCs w:val="24"/>
          <w:lang w:val="it-IT"/>
        </w:rPr>
      </w:pPr>
      <w:r>
        <w:rPr>
          <w:b w:val="0"/>
          <w:sz w:val="24"/>
          <w:szCs w:val="24"/>
          <w:lang w:val="it-IT"/>
        </w:rPr>
        <w:t xml:space="preserve">Os resultados da pesquisa podem ser observados na tabela 3.  </w:t>
      </w:r>
    </w:p>
    <w:p w14:paraId="7FF31171" w14:textId="77777777" w:rsidR="009109A1" w:rsidRDefault="009109A1" w:rsidP="006C7E30">
      <w:pPr>
        <w:spacing w:line="360" w:lineRule="auto"/>
        <w:rPr>
          <w:sz w:val="28"/>
          <w:szCs w:val="24"/>
        </w:r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B93279">
      <w:pPr>
        <w:spacing w:line="360" w:lineRule="auto"/>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33DA32BC" w14:textId="615BA599"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7C072B">
      <w:pPr>
        <w:spacing w:line="360" w:lineRule="auto"/>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2CDDF09E" w14:textId="77777777" w:rsidR="00665DA7" w:rsidRDefault="00665DA7" w:rsidP="00665DA7">
      <w:pPr>
        <w:rPr>
          <w:sz w:val="24"/>
          <w:szCs w:val="24"/>
          <w:lang w:val="it-IT"/>
        </w:rPr>
      </w:pPr>
    </w:p>
    <w:p w14:paraId="5964AF4C" w14:textId="2B5C5BC9" w:rsidR="00665DA7" w:rsidRDefault="00665DA7" w:rsidP="00665DA7">
      <w:pPr>
        <w:rPr>
          <w:sz w:val="24"/>
          <w:szCs w:val="24"/>
          <w:lang w:val="it-IT"/>
        </w:rPr>
      </w:pPr>
    </w:p>
    <w:p w14:paraId="1139FA4D" w14:textId="77777777" w:rsidR="007C072B" w:rsidRDefault="007C072B"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3ED2791" w14:textId="78440C00" w:rsidR="009F2A66" w:rsidRDefault="009F2A66" w:rsidP="00665DA7">
      <w:pPr>
        <w:rPr>
          <w:sz w:val="24"/>
          <w:szCs w:val="24"/>
          <w:lang w:val="it-IT"/>
        </w:rPr>
      </w:pPr>
    </w:p>
    <w:p w14:paraId="658D4665" w14:textId="77777777" w:rsidR="007C072B" w:rsidRDefault="007C072B"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BECK, Kent et al.</w:t>
      </w:r>
      <w:r w:rsidR="00FB363C" w:rsidRPr="00FB363C">
        <w:rPr>
          <w:spacing w:val="-3"/>
          <w:sz w:val="24"/>
          <w:szCs w:val="24"/>
        </w:rPr>
        <w:t>.</w:t>
      </w:r>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BECK, Kent et al..</w:t>
      </w:r>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r w:rsidRPr="00F12375">
        <w:rPr>
          <w:b w:val="0"/>
          <w:bCs w:val="0"/>
          <w:spacing w:val="-3"/>
          <w:sz w:val="24"/>
          <w:szCs w:val="24"/>
        </w:rPr>
        <w:t>failure</w:t>
      </w:r>
      <w:proofErr w:type="spell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DD165" w14:textId="77777777" w:rsidR="00F9519C" w:rsidRDefault="00F9519C">
      <w:r>
        <w:separator/>
      </w:r>
    </w:p>
  </w:endnote>
  <w:endnote w:type="continuationSeparator" w:id="0">
    <w:p w14:paraId="1ACADB3E" w14:textId="77777777" w:rsidR="00F9519C" w:rsidRDefault="00F95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20A53" w:rsidRDefault="00920A5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20A53" w:rsidRDefault="00920A5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20A53" w:rsidRDefault="00920A5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20A53" w:rsidRDefault="00920A5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20A53" w:rsidRDefault="00920A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0FAC5" w14:textId="77777777" w:rsidR="00F9519C" w:rsidRDefault="00F9519C">
      <w:r>
        <w:separator/>
      </w:r>
    </w:p>
  </w:footnote>
  <w:footnote w:type="continuationSeparator" w:id="0">
    <w:p w14:paraId="402CDF72" w14:textId="77777777" w:rsidR="00F9519C" w:rsidRDefault="00F95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20A53" w:rsidRPr="005B29D1" w:rsidRDefault="00920A5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20A53" w:rsidRPr="00D02492" w:rsidRDefault="00920A5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20A53" w:rsidRPr="00D254EA" w:rsidRDefault="00920A5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20A53" w:rsidRPr="00D254EA" w:rsidRDefault="00920A5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20A53" w:rsidRPr="00A86814" w:rsidRDefault="00920A5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20A53" w:rsidRPr="00D254EA" w:rsidRDefault="00920A5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A6EC9"/>
    <w:rsid w:val="001B0628"/>
    <w:rsid w:val="001B072B"/>
    <w:rsid w:val="001B0AD7"/>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2C33"/>
    <w:rsid w:val="002C4A0A"/>
    <w:rsid w:val="002C4FD1"/>
    <w:rsid w:val="002C5F20"/>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72B"/>
    <w:rsid w:val="007C0BC7"/>
    <w:rsid w:val="007C20E8"/>
    <w:rsid w:val="007C4785"/>
    <w:rsid w:val="007C4AD1"/>
    <w:rsid w:val="007C4C7B"/>
    <w:rsid w:val="007C5540"/>
    <w:rsid w:val="007C69AF"/>
    <w:rsid w:val="007C715E"/>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9A1"/>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1C7"/>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56FB"/>
    <w:rsid w:val="00A363A9"/>
    <w:rsid w:val="00A40EBB"/>
    <w:rsid w:val="00A426B7"/>
    <w:rsid w:val="00A42F63"/>
    <w:rsid w:val="00A435F1"/>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93279"/>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BB4"/>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4CD2"/>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581"/>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3CE0"/>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C7A3F"/>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4BE1"/>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9A8"/>
    <w:rsid w:val="00ED4BFF"/>
    <w:rsid w:val="00ED5133"/>
    <w:rsid w:val="00ED56C5"/>
    <w:rsid w:val="00ED5944"/>
    <w:rsid w:val="00ED639D"/>
    <w:rsid w:val="00ED7960"/>
    <w:rsid w:val="00EE0291"/>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45A2C"/>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519C"/>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8629</TotalTime>
  <Pages>53</Pages>
  <Words>9952</Words>
  <Characters>53746</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63571</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1573</cp:revision>
  <cp:lastPrinted>2008-07-07T10:24:00Z</cp:lastPrinted>
  <dcterms:created xsi:type="dcterms:W3CDTF">2020-06-20T22:48:00Z</dcterms:created>
  <dcterms:modified xsi:type="dcterms:W3CDTF">2020-11-08T20:12:00Z</dcterms:modified>
</cp:coreProperties>
</file>