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E8786D">
      <w:pPr>
        <w:pStyle w:val="PargrafodaLista"/>
        <w:numPr>
          <w:ilvl w:val="0"/>
          <w:numId w:val="80"/>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AA6310"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44485ED8" w14:textId="6109194A" w:rsidR="007524CA" w:rsidRPr="007524CA" w:rsidRDefault="007524CA" w:rsidP="00330E14">
      <w:pPr>
        <w:spacing w:line="360" w:lineRule="auto"/>
        <w:jc w:val="both"/>
        <w:rPr>
          <w:b w:val="0"/>
          <w:sz w:val="24"/>
          <w:szCs w:val="24"/>
          <w:vertAlign w:val="subscript"/>
        </w:rPr>
      </w:pPr>
      <w:r>
        <w:rPr>
          <w:b w:val="0"/>
          <w:sz w:val="24"/>
          <w:szCs w:val="24"/>
        </w:rPr>
        <w:lastRenderedPageBreak/>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(DAN NORTH &amp; ASSOCIATES, 2006)</w:t>
      </w:r>
      <w:r>
        <w:rPr>
          <w:b w:val="0"/>
          <w:sz w:val="24"/>
          <w:szCs w:val="24"/>
          <w:lang w:val="it-IT"/>
        </w:rPr>
        <w:t>.</w:t>
      </w:r>
    </w:p>
    <w:p w14:paraId="590A64AD" w14:textId="7FC968FC" w:rsidR="000E018A" w:rsidRDefault="000E018A" w:rsidP="00330E14">
      <w:pPr>
        <w:spacing w:line="360" w:lineRule="auto"/>
        <w:jc w:val="both"/>
        <w:rPr>
          <w:bCs w:val="0"/>
          <w:sz w:val="24"/>
          <w:szCs w:val="24"/>
        </w:rPr>
      </w:pPr>
    </w:p>
    <w:p w14:paraId="60AC5109" w14:textId="7B6D242A" w:rsidR="0098641F"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2F3931DD" w14:textId="65E12802" w:rsidR="0098641F" w:rsidRDefault="0098641F" w:rsidP="00330E14">
      <w:pPr>
        <w:spacing w:line="360" w:lineRule="auto"/>
        <w:jc w:val="both"/>
        <w:rPr>
          <w:b w:val="0"/>
          <w:sz w:val="24"/>
          <w:szCs w:val="24"/>
        </w:rPr>
      </w:pPr>
    </w:p>
    <w:p w14:paraId="152598C9" w14:textId="04C0CAD2"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(DAN NORTH &amp; ASSOCIATES,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D76F7DE"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(DAN NORTH &amp; ASSOCIATES,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lastRenderedPageBreak/>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2C75927D" w14:textId="6A795656" w:rsidR="006633AB" w:rsidRPr="0057778C" w:rsidRDefault="0057778C" w:rsidP="007752FC">
      <w:pPr>
        <w:spacing w:line="360" w:lineRule="auto"/>
        <w:jc w:val="both"/>
        <w:rPr>
          <w:b w:val="0"/>
          <w:sz w:val="24"/>
          <w:szCs w:val="24"/>
          <w:vertAlign w:val="subscript"/>
        </w:rPr>
      </w:pPr>
      <w:r>
        <w:rPr>
          <w:b w:val="0"/>
          <w:sz w:val="24"/>
          <w:szCs w:val="24"/>
        </w:rPr>
        <w:t xml:space="preserve">Diante deste entendimento e destas recomendações, o enfoque será na utilização do BDD como mecanismo de modelagem dos requisitos para equalizar o entendimento mútuo entre os </w:t>
      </w:r>
      <w:r w:rsidR="00544B91">
        <w:rPr>
          <w:b w:val="0"/>
          <w:sz w:val="24"/>
          <w:szCs w:val="24"/>
        </w:rPr>
        <w:t xml:space="preserve">times de </w:t>
      </w:r>
      <w:proofErr w:type="spellStart"/>
      <w:r w:rsidR="00544B91">
        <w:rPr>
          <w:b w:val="0"/>
          <w:sz w:val="24"/>
          <w:szCs w:val="24"/>
        </w:rPr>
        <w:t>desenvolviemento</w:t>
      </w:r>
      <w:proofErr w:type="spellEnd"/>
      <w:r w:rsidR="00544B91">
        <w:rPr>
          <w:b w:val="0"/>
          <w:sz w:val="24"/>
          <w:szCs w:val="24"/>
        </w:rPr>
        <w:t xml:space="preserve">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 xml:space="preserve">. </w:t>
      </w:r>
      <w:r>
        <w:rPr>
          <w:b w:val="0"/>
          <w:sz w:val="24"/>
          <w:szCs w:val="24"/>
        </w:rPr>
        <w:t xml:space="preserve"> </w:t>
      </w:r>
    </w:p>
    <w:p w14:paraId="50F89753" w14:textId="77777777" w:rsidR="00115F9E" w:rsidRDefault="00115F9E"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[Colocar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técnicas, etc.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8"/>
          <w:footerReference w:type="default" r:id="rId19"/>
          <w:headerReference w:type="first" r:id="rId20"/>
          <w:footerReference w:type="first" r:id="rId21"/>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8269E3" w:rsidP="00F36CF5">
      <w:pPr>
        <w:jc w:val="both"/>
        <w:rPr>
          <w:rStyle w:val="Hyperlink"/>
          <w:color w:val="1155CC"/>
          <w:sz w:val="24"/>
          <w:szCs w:val="20"/>
          <w:shd w:val="clear" w:color="auto" w:fill="FFFFFF"/>
        </w:rPr>
      </w:pPr>
      <w:hyperlink r:id="rId22"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C1493" w14:textId="77777777" w:rsidR="008269E3" w:rsidRDefault="008269E3">
      <w:r>
        <w:separator/>
      </w:r>
    </w:p>
  </w:endnote>
  <w:endnote w:type="continuationSeparator" w:id="0">
    <w:p w14:paraId="6280CE8B" w14:textId="77777777" w:rsidR="008269E3" w:rsidRDefault="0082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E7BCB" w14:textId="77777777" w:rsidR="008269E3" w:rsidRDefault="008269E3">
      <w:r>
        <w:separator/>
      </w:r>
    </w:p>
  </w:footnote>
  <w:footnote w:type="continuationSeparator" w:id="0">
    <w:p w14:paraId="5B66C4A7" w14:textId="77777777" w:rsidR="008269E3" w:rsidRDefault="00826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5pt;height:7.5pt" o:bullet="t">
        <v:imagedata r:id="rId1" o:title="clip_image001"/>
      </v:shape>
    </w:pict>
  </w:numPicBullet>
  <w:numPicBullet w:numPicBulletId="1">
    <w:pict>
      <v:shape id="_x0000_i1060" type="#_x0000_t75" style="width:14.25pt;height:14.25pt" o:bullet="t">
        <v:imagedata r:id="rId2" o:title="clip_image002"/>
      </v:shape>
    </w:pict>
  </w:numPicBullet>
  <w:numPicBullet w:numPicBulletId="2">
    <w:pict>
      <v:shape id="_x0000_i1061"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FA002D"/>
    <w:multiLevelType w:val="hybridMultilevel"/>
    <w:tmpl w:val="BACA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0"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1"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3"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4"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0"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4F110CF7"/>
    <w:multiLevelType w:val="hybridMultilevel"/>
    <w:tmpl w:val="FFD42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7"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9"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0"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8"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0"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61"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5"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8"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9"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71"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5"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7"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8"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80"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5"/>
  </w:num>
  <w:num w:numId="2">
    <w:abstractNumId w:val="80"/>
  </w:num>
  <w:num w:numId="3">
    <w:abstractNumId w:val="75"/>
  </w:num>
  <w:num w:numId="4">
    <w:abstractNumId w:val="8"/>
  </w:num>
  <w:num w:numId="5">
    <w:abstractNumId w:val="15"/>
  </w:num>
  <w:num w:numId="6">
    <w:abstractNumId w:val="71"/>
  </w:num>
  <w:num w:numId="7">
    <w:abstractNumId w:val="72"/>
  </w:num>
  <w:num w:numId="8">
    <w:abstractNumId w:val="78"/>
  </w:num>
  <w:num w:numId="9">
    <w:abstractNumId w:val="69"/>
  </w:num>
  <w:num w:numId="10">
    <w:abstractNumId w:val="50"/>
  </w:num>
  <w:num w:numId="11">
    <w:abstractNumId w:val="40"/>
  </w:num>
  <w:num w:numId="12">
    <w:abstractNumId w:val="63"/>
  </w:num>
  <w:num w:numId="13">
    <w:abstractNumId w:val="54"/>
  </w:num>
  <w:num w:numId="14">
    <w:abstractNumId w:val="47"/>
  </w:num>
  <w:num w:numId="15">
    <w:abstractNumId w:val="37"/>
  </w:num>
  <w:num w:numId="16">
    <w:abstractNumId w:val="38"/>
  </w:num>
  <w:num w:numId="17">
    <w:abstractNumId w:val="56"/>
  </w:num>
  <w:num w:numId="18">
    <w:abstractNumId w:val="66"/>
  </w:num>
  <w:num w:numId="19">
    <w:abstractNumId w:val="18"/>
  </w:num>
  <w:num w:numId="20">
    <w:abstractNumId w:val="31"/>
  </w:num>
  <w:num w:numId="21">
    <w:abstractNumId w:val="26"/>
  </w:num>
  <w:num w:numId="22">
    <w:abstractNumId w:val="41"/>
  </w:num>
  <w:num w:numId="23">
    <w:abstractNumId w:val="12"/>
  </w:num>
  <w:num w:numId="24">
    <w:abstractNumId w:val="2"/>
  </w:num>
  <w:num w:numId="25">
    <w:abstractNumId w:val="59"/>
  </w:num>
  <w:num w:numId="26">
    <w:abstractNumId w:val="48"/>
  </w:num>
  <w:num w:numId="27">
    <w:abstractNumId w:val="53"/>
  </w:num>
  <w:num w:numId="28">
    <w:abstractNumId w:val="55"/>
  </w:num>
  <w:num w:numId="29">
    <w:abstractNumId w:val="30"/>
  </w:num>
  <w:num w:numId="30">
    <w:abstractNumId w:val="33"/>
  </w:num>
  <w:num w:numId="31">
    <w:abstractNumId w:val="19"/>
  </w:num>
  <w:num w:numId="32">
    <w:abstractNumId w:val="6"/>
  </w:num>
  <w:num w:numId="33">
    <w:abstractNumId w:val="11"/>
  </w:num>
  <w:num w:numId="34">
    <w:abstractNumId w:val="68"/>
  </w:num>
  <w:num w:numId="35">
    <w:abstractNumId w:val="76"/>
  </w:num>
  <w:num w:numId="36">
    <w:abstractNumId w:val="57"/>
  </w:num>
  <w:num w:numId="37">
    <w:abstractNumId w:val="27"/>
  </w:num>
  <w:num w:numId="38">
    <w:abstractNumId w:val="22"/>
  </w:num>
  <w:num w:numId="39">
    <w:abstractNumId w:val="4"/>
  </w:num>
  <w:num w:numId="40">
    <w:abstractNumId w:val="51"/>
  </w:num>
  <w:num w:numId="41">
    <w:abstractNumId w:val="39"/>
  </w:num>
  <w:num w:numId="42">
    <w:abstractNumId w:val="16"/>
  </w:num>
  <w:num w:numId="43">
    <w:abstractNumId w:val="7"/>
  </w:num>
  <w:num w:numId="44">
    <w:abstractNumId w:val="10"/>
  </w:num>
  <w:num w:numId="45">
    <w:abstractNumId w:val="9"/>
  </w:num>
  <w:num w:numId="46">
    <w:abstractNumId w:val="35"/>
  </w:num>
  <w:num w:numId="47">
    <w:abstractNumId w:val="3"/>
  </w:num>
  <w:num w:numId="48">
    <w:abstractNumId w:val="73"/>
  </w:num>
  <w:num w:numId="49">
    <w:abstractNumId w:val="28"/>
  </w:num>
  <w:num w:numId="50">
    <w:abstractNumId w:val="62"/>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9"/>
  </w:num>
  <w:num w:numId="54">
    <w:abstractNumId w:val="64"/>
  </w:num>
  <w:num w:numId="55">
    <w:abstractNumId w:val="42"/>
  </w:num>
  <w:num w:numId="56">
    <w:abstractNumId w:val="43"/>
  </w:num>
  <w:num w:numId="57">
    <w:abstractNumId w:val="60"/>
  </w:num>
  <w:num w:numId="58">
    <w:abstractNumId w:val="74"/>
  </w:num>
  <w:num w:numId="59">
    <w:abstractNumId w:val="49"/>
  </w:num>
  <w:num w:numId="60">
    <w:abstractNumId w:val="14"/>
  </w:num>
  <w:num w:numId="61">
    <w:abstractNumId w:val="61"/>
  </w:num>
  <w:num w:numId="62">
    <w:abstractNumId w:val="46"/>
  </w:num>
  <w:num w:numId="63">
    <w:abstractNumId w:val="34"/>
  </w:num>
  <w:num w:numId="64">
    <w:abstractNumId w:val="24"/>
  </w:num>
  <w:num w:numId="65">
    <w:abstractNumId w:val="25"/>
  </w:num>
  <w:num w:numId="66">
    <w:abstractNumId w:val="32"/>
  </w:num>
  <w:num w:numId="67">
    <w:abstractNumId w:val="79"/>
  </w:num>
  <w:num w:numId="68">
    <w:abstractNumId w:val="77"/>
  </w:num>
  <w:num w:numId="69">
    <w:abstractNumId w:val="65"/>
  </w:num>
  <w:num w:numId="70">
    <w:abstractNumId w:val="21"/>
  </w:num>
  <w:num w:numId="71">
    <w:abstractNumId w:val="17"/>
  </w:num>
  <w:num w:numId="72">
    <w:abstractNumId w:val="1"/>
  </w:num>
  <w:num w:numId="73">
    <w:abstractNumId w:val="36"/>
  </w:num>
  <w:num w:numId="74">
    <w:abstractNumId w:val="70"/>
  </w:num>
  <w:num w:numId="75">
    <w:abstractNumId w:val="52"/>
  </w:num>
  <w:num w:numId="76">
    <w:abstractNumId w:val="23"/>
  </w:num>
  <w:num w:numId="77">
    <w:abstractNumId w:val="81"/>
  </w:num>
  <w:num w:numId="78">
    <w:abstractNumId w:val="20"/>
  </w:num>
  <w:num w:numId="79">
    <w:abstractNumId w:val="13"/>
  </w:num>
  <w:num w:numId="80">
    <w:abstractNumId w:val="58"/>
  </w:num>
  <w:num w:numId="81">
    <w:abstractNumId w:val="67"/>
  </w:num>
  <w:num w:numId="82">
    <w:abstractNumId w:val="4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70FC"/>
    <w:rsid w:val="003D7C46"/>
    <w:rsid w:val="003E2E81"/>
    <w:rsid w:val="003E396C"/>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B95"/>
    <w:rsid w:val="004132A2"/>
    <w:rsid w:val="004143D2"/>
    <w:rsid w:val="00414764"/>
    <w:rsid w:val="00416713"/>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7AC0"/>
    <w:rsid w:val="005B7DCC"/>
    <w:rsid w:val="005C730A"/>
    <w:rsid w:val="005D44B1"/>
    <w:rsid w:val="005D60DC"/>
    <w:rsid w:val="005E23D1"/>
    <w:rsid w:val="005F0209"/>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379"/>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2F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03BF"/>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606/978857314065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32</Pages>
  <Words>5087</Words>
  <Characters>27475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32498</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245</cp:revision>
  <cp:lastPrinted>2008-07-07T10:24:00Z</cp:lastPrinted>
  <dcterms:created xsi:type="dcterms:W3CDTF">2020-06-20T22:48:00Z</dcterms:created>
  <dcterms:modified xsi:type="dcterms:W3CDTF">2020-09-04T17:55:00Z</dcterms:modified>
</cp:coreProperties>
</file>