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78C5C679" w14:textId="67B5AC06"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lastRenderedPageBreak/>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7BAE7A51"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lastRenderedPageBreak/>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41DD738E"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software que enfatizam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w:t>
      </w:r>
      <w:r>
        <w:rPr>
          <w:b w:val="0"/>
          <w:bCs w:val="0"/>
          <w:sz w:val="24"/>
          <w:szCs w:val="24"/>
        </w:rPr>
        <w:lastRenderedPageBreak/>
        <w:t>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293A7B17" w14:textId="77777777" w:rsidR="00896F7F" w:rsidRDefault="00896F7F" w:rsidP="00752A2A">
      <w:pPr>
        <w:spacing w:line="360" w:lineRule="auto"/>
        <w:jc w:val="both"/>
        <w:rPr>
          <w:b w:val="0"/>
          <w:bCs w:val="0"/>
          <w:sz w:val="24"/>
          <w:szCs w:val="24"/>
        </w:rPr>
      </w:pPr>
    </w:p>
    <w:p w14:paraId="35AAFE1A" w14:textId="7928B1D0"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gestão colaborativa</w:t>
      </w:r>
      <w:r>
        <w:rPr>
          <w:b w:val="0"/>
          <w:bCs w:val="0"/>
          <w:sz w:val="24"/>
          <w:szCs w:val="24"/>
        </w:rPr>
        <w:t xml:space="preserve"> 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gestão colaborativa de código.</w:t>
      </w:r>
    </w:p>
    <w:p w14:paraId="0060C9B9" w14:textId="7105C3F8" w:rsidR="00E96DA4" w:rsidRDefault="00E96DA4" w:rsidP="00752A2A">
      <w:pPr>
        <w:spacing w:line="360" w:lineRule="auto"/>
        <w:jc w:val="both"/>
        <w:rPr>
          <w:b w:val="0"/>
          <w:bCs w:val="0"/>
          <w:sz w:val="24"/>
          <w:szCs w:val="24"/>
        </w:rPr>
      </w:pPr>
    </w:p>
    <w:p w14:paraId="053BE1E8" w14:textId="483A258F"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Gestão</w:t>
      </w:r>
      <w:r w:rsidR="00C95778">
        <w:rPr>
          <w:b w:val="0"/>
          <w:bCs w:val="0"/>
          <w:sz w:val="24"/>
          <w:szCs w:val="24"/>
        </w:rPr>
        <w:t xml:space="preserve"> Colaborativa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79F5B414" w:rsidR="00E52DF4" w:rsidRPr="00E52DF4" w:rsidRDefault="00E52DF4" w:rsidP="00E52DF4">
      <w:pPr>
        <w:spacing w:line="360" w:lineRule="auto"/>
        <w:jc w:val="both"/>
        <w:rPr>
          <w:b w:val="0"/>
          <w:bCs w:val="0"/>
          <w:sz w:val="24"/>
          <w:szCs w:val="24"/>
        </w:rPr>
      </w:pPr>
      <w:r>
        <w:rPr>
          <w:b w:val="0"/>
          <w:bCs w:val="0"/>
          <w:sz w:val="24"/>
          <w:szCs w:val="24"/>
        </w:rPr>
        <w:t xml:space="preserve">Dentre as práticas de Gestão Colaborativa de Código promovidas pelo XP, </w:t>
      </w:r>
      <w:r w:rsidR="00384804">
        <w:rPr>
          <w:b w:val="0"/>
          <w:bCs w:val="0"/>
          <w:sz w:val="24"/>
          <w:szCs w:val="24"/>
        </w:rPr>
        <w:t>o trabalho irá</w:t>
      </w:r>
      <w:r>
        <w:rPr>
          <w:b w:val="0"/>
          <w:bCs w:val="0"/>
          <w:sz w:val="24"/>
          <w:szCs w:val="24"/>
        </w:rPr>
        <w:t xml:space="preserve"> explorar o TDD, que é o desenvolvimento dirigido por testes unitários.</w:t>
      </w:r>
    </w:p>
    <w:p w14:paraId="26976544" w14:textId="77777777" w:rsidR="00570413" w:rsidRDefault="00570413"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[Colocar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técnicas, etc.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7"/>
          <w:footerReference w:type="default" r:id="rId18"/>
          <w:headerReference w:type="first" r:id="rId19"/>
          <w:footerReference w:type="first" r:id="rId20"/>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9039A2" w:rsidP="00F36CF5">
      <w:pPr>
        <w:jc w:val="both"/>
        <w:rPr>
          <w:rStyle w:val="Hyperlink"/>
          <w:color w:val="1155CC"/>
          <w:sz w:val="24"/>
          <w:szCs w:val="20"/>
          <w:shd w:val="clear" w:color="auto" w:fill="FFFFFF"/>
        </w:rPr>
      </w:pPr>
      <w:hyperlink r:id="rId21"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E4BD2" w14:textId="77777777" w:rsidR="009039A2" w:rsidRDefault="009039A2">
      <w:r>
        <w:separator/>
      </w:r>
    </w:p>
  </w:endnote>
  <w:endnote w:type="continuationSeparator" w:id="0">
    <w:p w14:paraId="1720C4C4" w14:textId="77777777" w:rsidR="009039A2" w:rsidRDefault="0090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9B39" w14:textId="77777777" w:rsidR="009039A2" w:rsidRDefault="009039A2">
      <w:r>
        <w:separator/>
      </w:r>
    </w:p>
  </w:footnote>
  <w:footnote w:type="continuationSeparator" w:id="0">
    <w:p w14:paraId="15C4E002" w14:textId="77777777" w:rsidR="009039A2" w:rsidRDefault="00903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7.5pt;height:7.5pt" o:bullet="t">
        <v:imagedata r:id="rId1" o:title="clip_image001"/>
      </v:shape>
    </w:pict>
  </w:numPicBullet>
  <w:numPicBullet w:numPicBulletId="1">
    <w:pict>
      <v:shape id="_x0000_i1105" type="#_x0000_t75" style="width:14.25pt;height:14.25pt" o:bullet="t">
        <v:imagedata r:id="rId2" o:title="clip_image002"/>
      </v:shape>
    </w:pict>
  </w:numPicBullet>
  <w:numPicBullet w:numPicBulletId="2">
    <w:pict>
      <v:shape id="_x0000_i1106"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0"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2"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7"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0"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3"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9"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7"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8"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8"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2"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5"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7"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3"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4"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6"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3"/>
  </w:num>
  <w:num w:numId="2">
    <w:abstractNumId w:val="76"/>
  </w:num>
  <w:num w:numId="3">
    <w:abstractNumId w:val="71"/>
  </w:num>
  <w:num w:numId="4">
    <w:abstractNumId w:val="8"/>
  </w:num>
  <w:num w:numId="5">
    <w:abstractNumId w:val="14"/>
  </w:num>
  <w:num w:numId="6">
    <w:abstractNumId w:val="67"/>
  </w:num>
  <w:num w:numId="7">
    <w:abstractNumId w:val="68"/>
  </w:num>
  <w:num w:numId="8">
    <w:abstractNumId w:val="74"/>
  </w:num>
  <w:num w:numId="9">
    <w:abstractNumId w:val="65"/>
  </w:num>
  <w:num w:numId="10">
    <w:abstractNumId w:val="48"/>
  </w:num>
  <w:num w:numId="11">
    <w:abstractNumId w:val="39"/>
  </w:num>
  <w:num w:numId="12">
    <w:abstractNumId w:val="60"/>
  </w:num>
  <w:num w:numId="13">
    <w:abstractNumId w:val="52"/>
  </w:num>
  <w:num w:numId="14">
    <w:abstractNumId w:val="45"/>
  </w:num>
  <w:num w:numId="15">
    <w:abstractNumId w:val="36"/>
  </w:num>
  <w:num w:numId="16">
    <w:abstractNumId w:val="37"/>
  </w:num>
  <w:num w:numId="17">
    <w:abstractNumId w:val="54"/>
  </w:num>
  <w:num w:numId="18">
    <w:abstractNumId w:val="63"/>
  </w:num>
  <w:num w:numId="19">
    <w:abstractNumId w:val="17"/>
  </w:num>
  <w:num w:numId="20">
    <w:abstractNumId w:val="30"/>
  </w:num>
  <w:num w:numId="21">
    <w:abstractNumId w:val="25"/>
  </w:num>
  <w:num w:numId="22">
    <w:abstractNumId w:val="40"/>
  </w:num>
  <w:num w:numId="23">
    <w:abstractNumId w:val="12"/>
  </w:num>
  <w:num w:numId="24">
    <w:abstractNumId w:val="2"/>
  </w:num>
  <w:num w:numId="25">
    <w:abstractNumId w:val="56"/>
  </w:num>
  <w:num w:numId="26">
    <w:abstractNumId w:val="46"/>
  </w:num>
  <w:num w:numId="27">
    <w:abstractNumId w:val="51"/>
  </w:num>
  <w:num w:numId="28">
    <w:abstractNumId w:val="53"/>
  </w:num>
  <w:num w:numId="29">
    <w:abstractNumId w:val="29"/>
  </w:num>
  <w:num w:numId="30">
    <w:abstractNumId w:val="32"/>
  </w:num>
  <w:num w:numId="31">
    <w:abstractNumId w:val="18"/>
  </w:num>
  <w:num w:numId="32">
    <w:abstractNumId w:val="6"/>
  </w:num>
  <w:num w:numId="33">
    <w:abstractNumId w:val="11"/>
  </w:num>
  <w:num w:numId="34">
    <w:abstractNumId w:val="64"/>
  </w:num>
  <w:num w:numId="35">
    <w:abstractNumId w:val="72"/>
  </w:num>
  <w:num w:numId="36">
    <w:abstractNumId w:val="55"/>
  </w:num>
  <w:num w:numId="37">
    <w:abstractNumId w:val="26"/>
  </w:num>
  <w:num w:numId="38">
    <w:abstractNumId w:val="21"/>
  </w:num>
  <w:num w:numId="39">
    <w:abstractNumId w:val="4"/>
  </w:num>
  <w:num w:numId="40">
    <w:abstractNumId w:val="49"/>
  </w:num>
  <w:num w:numId="41">
    <w:abstractNumId w:val="38"/>
  </w:num>
  <w:num w:numId="42">
    <w:abstractNumId w:val="15"/>
  </w:num>
  <w:num w:numId="43">
    <w:abstractNumId w:val="7"/>
  </w:num>
  <w:num w:numId="44">
    <w:abstractNumId w:val="10"/>
  </w:num>
  <w:num w:numId="45">
    <w:abstractNumId w:val="9"/>
  </w:num>
  <w:num w:numId="46">
    <w:abstractNumId w:val="34"/>
  </w:num>
  <w:num w:numId="47">
    <w:abstractNumId w:val="3"/>
  </w:num>
  <w:num w:numId="48">
    <w:abstractNumId w:val="69"/>
  </w:num>
  <w:num w:numId="49">
    <w:abstractNumId w:val="27"/>
  </w:num>
  <w:num w:numId="50">
    <w:abstractNumId w:val="59"/>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8"/>
  </w:num>
  <w:num w:numId="54">
    <w:abstractNumId w:val="61"/>
  </w:num>
  <w:num w:numId="55">
    <w:abstractNumId w:val="41"/>
  </w:num>
  <w:num w:numId="56">
    <w:abstractNumId w:val="42"/>
  </w:num>
  <w:num w:numId="57">
    <w:abstractNumId w:val="57"/>
  </w:num>
  <w:num w:numId="58">
    <w:abstractNumId w:val="70"/>
  </w:num>
  <w:num w:numId="59">
    <w:abstractNumId w:val="47"/>
  </w:num>
  <w:num w:numId="60">
    <w:abstractNumId w:val="13"/>
  </w:num>
  <w:num w:numId="61">
    <w:abstractNumId w:val="58"/>
  </w:num>
  <w:num w:numId="62">
    <w:abstractNumId w:val="44"/>
  </w:num>
  <w:num w:numId="63">
    <w:abstractNumId w:val="33"/>
  </w:num>
  <w:num w:numId="64">
    <w:abstractNumId w:val="23"/>
  </w:num>
  <w:num w:numId="65">
    <w:abstractNumId w:val="24"/>
  </w:num>
  <w:num w:numId="66">
    <w:abstractNumId w:val="31"/>
  </w:num>
  <w:num w:numId="67">
    <w:abstractNumId w:val="75"/>
  </w:num>
  <w:num w:numId="68">
    <w:abstractNumId w:val="73"/>
  </w:num>
  <w:num w:numId="69">
    <w:abstractNumId w:val="62"/>
  </w:num>
  <w:num w:numId="70">
    <w:abstractNumId w:val="20"/>
  </w:num>
  <w:num w:numId="71">
    <w:abstractNumId w:val="16"/>
  </w:num>
  <w:num w:numId="72">
    <w:abstractNumId w:val="1"/>
  </w:num>
  <w:num w:numId="73">
    <w:abstractNumId w:val="35"/>
  </w:num>
  <w:num w:numId="74">
    <w:abstractNumId w:val="66"/>
  </w:num>
  <w:num w:numId="75">
    <w:abstractNumId w:val="50"/>
  </w:num>
  <w:num w:numId="76">
    <w:abstractNumId w:val="22"/>
  </w:num>
  <w:num w:numId="77">
    <w:abstractNumId w:val="77"/>
  </w:num>
  <w:num w:numId="78">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03FF"/>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4B01"/>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0985"/>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7041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C730A"/>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39A2"/>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B81"/>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1041"/>
    <w:rsid w:val="00C9244D"/>
    <w:rsid w:val="00C945AF"/>
    <w:rsid w:val="00C94644"/>
    <w:rsid w:val="00C94DC6"/>
    <w:rsid w:val="00C95778"/>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oi.org/10.11606/9788573140651" TargetMode="Externa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28</Pages>
  <Words>4095</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26156</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133</cp:revision>
  <cp:lastPrinted>2008-07-07T10:24:00Z</cp:lastPrinted>
  <dcterms:created xsi:type="dcterms:W3CDTF">2020-06-20T22:48:00Z</dcterms:created>
  <dcterms:modified xsi:type="dcterms:W3CDTF">2020-09-02T16:52:00Z</dcterms:modified>
</cp:coreProperties>
</file>