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3F04F73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2834C59B"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que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E793212"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entendimento de quais critérios precisam ser satisfeitos para atingimento dos objetivos </w:t>
      </w:r>
      <w:r w:rsidRPr="00FF4FC9">
        <w:rPr>
          <w:b w:val="0"/>
          <w:sz w:val="24"/>
          <w:szCs w:val="24"/>
          <w:lang w:val="it-IT"/>
        </w:rPr>
        <w:lastRenderedPageBreak/>
        <w:t xml:space="preserve">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51A003A6"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333C07">
        <w:rPr>
          <w:b w:val="0"/>
          <w:i/>
          <w:iCs/>
          <w:sz w:val="24"/>
          <w:szCs w:val="24"/>
          <w:lang w:val="it-IT"/>
        </w:rPr>
        <w:t>s</w:t>
      </w:r>
      <w:r w:rsidR="00994593" w:rsidRPr="00994593">
        <w:rPr>
          <w:b w:val="0"/>
          <w:i/>
          <w:iCs/>
          <w:sz w:val="24"/>
          <w:szCs w:val="24"/>
          <w:lang w:val="it-IT"/>
        </w:rPr>
        <w:t>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17F7D7E0" w14:textId="77777777" w:rsidR="00422A44" w:rsidRDefault="00422A44"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54A05DA7"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0A7084D2"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os </w:t>
      </w:r>
      <w:r w:rsidR="00D55342">
        <w:rPr>
          <w:b w:val="0"/>
          <w:i/>
          <w:iCs/>
          <w:sz w:val="24"/>
          <w:szCs w:val="24"/>
        </w:rPr>
        <w:t>s</w:t>
      </w:r>
      <w:r w:rsidRPr="00847CCC">
        <w:rPr>
          <w:b w:val="0"/>
          <w:i/>
          <w:iCs/>
          <w:sz w:val="24"/>
          <w:szCs w:val="24"/>
        </w:rPr>
        <w:t xml:space="preserve">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lastRenderedPageBreak/>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lastRenderedPageBreak/>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lastRenderedPageBreak/>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lastRenderedPageBreak/>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lastRenderedPageBreak/>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lastRenderedPageBreak/>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673839A2" w:rsidR="00DE1A50" w:rsidRPr="007F6464" w:rsidRDefault="0057778C" w:rsidP="00330E14">
      <w:pPr>
        <w:spacing w:line="360" w:lineRule="auto"/>
        <w:jc w:val="both"/>
        <w:rPr>
          <w:b w:val="0"/>
          <w:sz w:val="24"/>
          <w:szCs w:val="24"/>
          <w:vertAlign w:val="subscript"/>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w:t>
      </w:r>
      <w:r>
        <w:rPr>
          <w:b w:val="0"/>
          <w:sz w:val="24"/>
          <w:szCs w:val="24"/>
        </w:rPr>
        <w:lastRenderedPageBreak/>
        <w:t>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63B7F543"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22C747F9"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3EA1067A" w14:textId="77777777" w:rsidR="00C44F5A" w:rsidRDefault="00C44F5A" w:rsidP="0079443F">
      <w:pPr>
        <w:spacing w:line="360" w:lineRule="auto"/>
        <w:jc w:val="center"/>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lastRenderedPageBreak/>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lastRenderedPageBreak/>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lastRenderedPageBreak/>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lastRenderedPageBreak/>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através da Gestão das Comunicações, na qual é possível inclusive se valer de recomendações 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797A981A"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 entendimento está equalizado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do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E32D34"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1D229" w14:textId="77777777" w:rsidR="00124156" w:rsidRDefault="00124156">
      <w:r>
        <w:separator/>
      </w:r>
    </w:p>
  </w:endnote>
  <w:endnote w:type="continuationSeparator" w:id="0">
    <w:p w14:paraId="7EBD4D65" w14:textId="77777777" w:rsidR="00124156" w:rsidRDefault="0012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E32D34" w:rsidRDefault="00E32D34"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E32D34" w:rsidRDefault="00E32D34"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E32D34" w:rsidRDefault="00E32D34"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E32D34" w:rsidRDefault="00E32D3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E32D34" w:rsidRDefault="00E32D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E6D8D" w14:textId="77777777" w:rsidR="00124156" w:rsidRDefault="00124156">
      <w:r>
        <w:separator/>
      </w:r>
    </w:p>
  </w:footnote>
  <w:footnote w:type="continuationSeparator" w:id="0">
    <w:p w14:paraId="5638AFD8" w14:textId="77777777" w:rsidR="00124156" w:rsidRDefault="0012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E32D34" w:rsidRPr="005B29D1" w:rsidRDefault="00E32D34"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E32D34" w:rsidRPr="00D02492" w:rsidRDefault="00E32D34"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E32D34" w:rsidRPr="00D254EA" w:rsidRDefault="00E32D34"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E32D34" w:rsidRPr="00D254EA" w:rsidRDefault="00E32D34"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E32D34" w:rsidRPr="00A86814" w:rsidRDefault="00E32D3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E32D34" w:rsidRPr="00D254EA" w:rsidRDefault="00E32D34"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713"/>
    <w:rsid w:val="001737B2"/>
    <w:rsid w:val="001755F7"/>
    <w:rsid w:val="001760FF"/>
    <w:rsid w:val="0017645C"/>
    <w:rsid w:val="00181D8E"/>
    <w:rsid w:val="00191E43"/>
    <w:rsid w:val="00196FF7"/>
    <w:rsid w:val="00197134"/>
    <w:rsid w:val="001A03B6"/>
    <w:rsid w:val="001A2C73"/>
    <w:rsid w:val="001A33B6"/>
    <w:rsid w:val="001A53F6"/>
    <w:rsid w:val="001A60F9"/>
    <w:rsid w:val="001B072B"/>
    <w:rsid w:val="001B1010"/>
    <w:rsid w:val="001B25ED"/>
    <w:rsid w:val="001B3381"/>
    <w:rsid w:val="001B3F0E"/>
    <w:rsid w:val="001B5DCD"/>
    <w:rsid w:val="001B7C9A"/>
    <w:rsid w:val="001C4343"/>
    <w:rsid w:val="001C5138"/>
    <w:rsid w:val="001C5F86"/>
    <w:rsid w:val="001C61F7"/>
    <w:rsid w:val="001C7027"/>
    <w:rsid w:val="001D0164"/>
    <w:rsid w:val="001D0B13"/>
    <w:rsid w:val="001D10EF"/>
    <w:rsid w:val="001D2E80"/>
    <w:rsid w:val="001D367D"/>
    <w:rsid w:val="001D3B0A"/>
    <w:rsid w:val="001D511B"/>
    <w:rsid w:val="001D6091"/>
    <w:rsid w:val="001D7F49"/>
    <w:rsid w:val="001E001A"/>
    <w:rsid w:val="001E1B36"/>
    <w:rsid w:val="001E1B41"/>
    <w:rsid w:val="001F0906"/>
    <w:rsid w:val="001F13AC"/>
    <w:rsid w:val="001F6408"/>
    <w:rsid w:val="001F74BF"/>
    <w:rsid w:val="001F7BAE"/>
    <w:rsid w:val="00200B10"/>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27A0"/>
    <w:rsid w:val="002E360C"/>
    <w:rsid w:val="002E3BAB"/>
    <w:rsid w:val="002E43FE"/>
    <w:rsid w:val="002E4B79"/>
    <w:rsid w:val="002E6036"/>
    <w:rsid w:val="002E7DF3"/>
    <w:rsid w:val="002F0BC8"/>
    <w:rsid w:val="002F5804"/>
    <w:rsid w:val="002F7AFE"/>
    <w:rsid w:val="00302F06"/>
    <w:rsid w:val="00306703"/>
    <w:rsid w:val="00306748"/>
    <w:rsid w:val="00306FB8"/>
    <w:rsid w:val="0031522B"/>
    <w:rsid w:val="00324467"/>
    <w:rsid w:val="00324C39"/>
    <w:rsid w:val="00325000"/>
    <w:rsid w:val="003300CF"/>
    <w:rsid w:val="00330E14"/>
    <w:rsid w:val="00333C07"/>
    <w:rsid w:val="00333DAF"/>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70C0E"/>
    <w:rsid w:val="00371DA3"/>
    <w:rsid w:val="00375FF9"/>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15A"/>
    <w:rsid w:val="003C12A8"/>
    <w:rsid w:val="003C15BE"/>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E793B"/>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0CB6"/>
    <w:rsid w:val="004E1687"/>
    <w:rsid w:val="004E2D89"/>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912"/>
    <w:rsid w:val="00513781"/>
    <w:rsid w:val="00514AE8"/>
    <w:rsid w:val="00515310"/>
    <w:rsid w:val="00516682"/>
    <w:rsid w:val="0052000A"/>
    <w:rsid w:val="0052018C"/>
    <w:rsid w:val="00521DF2"/>
    <w:rsid w:val="00523BD9"/>
    <w:rsid w:val="005305CB"/>
    <w:rsid w:val="00531CCE"/>
    <w:rsid w:val="005338C0"/>
    <w:rsid w:val="00537BFC"/>
    <w:rsid w:val="00540BFD"/>
    <w:rsid w:val="00541870"/>
    <w:rsid w:val="00541A51"/>
    <w:rsid w:val="00542544"/>
    <w:rsid w:val="00543028"/>
    <w:rsid w:val="005430A3"/>
    <w:rsid w:val="00544B91"/>
    <w:rsid w:val="00546AC9"/>
    <w:rsid w:val="00550DCE"/>
    <w:rsid w:val="00551418"/>
    <w:rsid w:val="00551590"/>
    <w:rsid w:val="005535DD"/>
    <w:rsid w:val="00553AF7"/>
    <w:rsid w:val="005540F7"/>
    <w:rsid w:val="00554D5D"/>
    <w:rsid w:val="00561D91"/>
    <w:rsid w:val="005624CF"/>
    <w:rsid w:val="0056456F"/>
    <w:rsid w:val="00565E73"/>
    <w:rsid w:val="00570413"/>
    <w:rsid w:val="0057778C"/>
    <w:rsid w:val="00584343"/>
    <w:rsid w:val="00585F09"/>
    <w:rsid w:val="00585FB7"/>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A57"/>
    <w:rsid w:val="005B4D10"/>
    <w:rsid w:val="005B7AC0"/>
    <w:rsid w:val="005B7DCC"/>
    <w:rsid w:val="005C730A"/>
    <w:rsid w:val="005D44B1"/>
    <w:rsid w:val="005D60DC"/>
    <w:rsid w:val="005D7C6D"/>
    <w:rsid w:val="005E23D1"/>
    <w:rsid w:val="005F0209"/>
    <w:rsid w:val="005F0416"/>
    <w:rsid w:val="005F5635"/>
    <w:rsid w:val="005F7518"/>
    <w:rsid w:val="005F7906"/>
    <w:rsid w:val="00601984"/>
    <w:rsid w:val="00602360"/>
    <w:rsid w:val="006023FB"/>
    <w:rsid w:val="00603551"/>
    <w:rsid w:val="00603EC0"/>
    <w:rsid w:val="006058A2"/>
    <w:rsid w:val="006066E0"/>
    <w:rsid w:val="00607995"/>
    <w:rsid w:val="00612990"/>
    <w:rsid w:val="0061587D"/>
    <w:rsid w:val="00616D2F"/>
    <w:rsid w:val="00621AA1"/>
    <w:rsid w:val="00622DA9"/>
    <w:rsid w:val="006237DE"/>
    <w:rsid w:val="00624584"/>
    <w:rsid w:val="00630185"/>
    <w:rsid w:val="00631121"/>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A11"/>
    <w:rsid w:val="00666D8F"/>
    <w:rsid w:val="00666F0A"/>
    <w:rsid w:val="0066744B"/>
    <w:rsid w:val="0067239D"/>
    <w:rsid w:val="00672B59"/>
    <w:rsid w:val="006762C2"/>
    <w:rsid w:val="00676889"/>
    <w:rsid w:val="0068146B"/>
    <w:rsid w:val="00681AA9"/>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2DEC"/>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1F47"/>
    <w:rsid w:val="00724169"/>
    <w:rsid w:val="007279A1"/>
    <w:rsid w:val="007307FD"/>
    <w:rsid w:val="00732E2F"/>
    <w:rsid w:val="007331F3"/>
    <w:rsid w:val="00733A46"/>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1648"/>
    <w:rsid w:val="007A62C3"/>
    <w:rsid w:val="007A6382"/>
    <w:rsid w:val="007A7B61"/>
    <w:rsid w:val="007A7C4F"/>
    <w:rsid w:val="007B024C"/>
    <w:rsid w:val="007B1BB1"/>
    <w:rsid w:val="007B3611"/>
    <w:rsid w:val="007B39BE"/>
    <w:rsid w:val="007B71F9"/>
    <w:rsid w:val="007C0BC7"/>
    <w:rsid w:val="007C20E8"/>
    <w:rsid w:val="007C4AD1"/>
    <w:rsid w:val="007C4C7B"/>
    <w:rsid w:val="007C5540"/>
    <w:rsid w:val="007C715E"/>
    <w:rsid w:val="007D5828"/>
    <w:rsid w:val="007D5DB2"/>
    <w:rsid w:val="007E1E22"/>
    <w:rsid w:val="007E33DF"/>
    <w:rsid w:val="007E37C6"/>
    <w:rsid w:val="007E4F9B"/>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7D9"/>
    <w:rsid w:val="00842E73"/>
    <w:rsid w:val="00843101"/>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B1E22"/>
    <w:rsid w:val="008B2561"/>
    <w:rsid w:val="008B3790"/>
    <w:rsid w:val="008B3B27"/>
    <w:rsid w:val="008B3F61"/>
    <w:rsid w:val="008B5224"/>
    <w:rsid w:val="008B7985"/>
    <w:rsid w:val="008C1763"/>
    <w:rsid w:val="008C221C"/>
    <w:rsid w:val="008C242E"/>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8F7634"/>
    <w:rsid w:val="0090010B"/>
    <w:rsid w:val="0090508A"/>
    <w:rsid w:val="00906491"/>
    <w:rsid w:val="00910D21"/>
    <w:rsid w:val="00912580"/>
    <w:rsid w:val="0091301B"/>
    <w:rsid w:val="00914251"/>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209"/>
    <w:rsid w:val="00950D32"/>
    <w:rsid w:val="0095100C"/>
    <w:rsid w:val="009524C7"/>
    <w:rsid w:val="00953722"/>
    <w:rsid w:val="0095550C"/>
    <w:rsid w:val="009561A5"/>
    <w:rsid w:val="00960E64"/>
    <w:rsid w:val="00962D21"/>
    <w:rsid w:val="00963659"/>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86CE7"/>
    <w:rsid w:val="00991284"/>
    <w:rsid w:val="00991D41"/>
    <w:rsid w:val="00994593"/>
    <w:rsid w:val="0099486A"/>
    <w:rsid w:val="00997B7A"/>
    <w:rsid w:val="009A0838"/>
    <w:rsid w:val="009A1172"/>
    <w:rsid w:val="009A1448"/>
    <w:rsid w:val="009A4ED7"/>
    <w:rsid w:val="009A65DD"/>
    <w:rsid w:val="009B14E6"/>
    <w:rsid w:val="009B17F8"/>
    <w:rsid w:val="009B1A03"/>
    <w:rsid w:val="009B2EB1"/>
    <w:rsid w:val="009B4EA0"/>
    <w:rsid w:val="009B5E86"/>
    <w:rsid w:val="009C00C2"/>
    <w:rsid w:val="009C11DB"/>
    <w:rsid w:val="009C545C"/>
    <w:rsid w:val="009C54C9"/>
    <w:rsid w:val="009D0165"/>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E85"/>
    <w:rsid w:val="00BA74FF"/>
    <w:rsid w:val="00BB23F2"/>
    <w:rsid w:val="00BB4591"/>
    <w:rsid w:val="00BB51DE"/>
    <w:rsid w:val="00BB718A"/>
    <w:rsid w:val="00BB74C0"/>
    <w:rsid w:val="00BB7815"/>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7647"/>
    <w:rsid w:val="00C27FC5"/>
    <w:rsid w:val="00C3286A"/>
    <w:rsid w:val="00C34EA9"/>
    <w:rsid w:val="00C35B3F"/>
    <w:rsid w:val="00C360FD"/>
    <w:rsid w:val="00C36BD2"/>
    <w:rsid w:val="00C36E99"/>
    <w:rsid w:val="00C37C4F"/>
    <w:rsid w:val="00C4083F"/>
    <w:rsid w:val="00C410FB"/>
    <w:rsid w:val="00C42029"/>
    <w:rsid w:val="00C44F5A"/>
    <w:rsid w:val="00C45732"/>
    <w:rsid w:val="00C50A4B"/>
    <w:rsid w:val="00C51758"/>
    <w:rsid w:val="00C5336B"/>
    <w:rsid w:val="00C551CD"/>
    <w:rsid w:val="00C57F17"/>
    <w:rsid w:val="00C63CC1"/>
    <w:rsid w:val="00C65E0E"/>
    <w:rsid w:val="00C70175"/>
    <w:rsid w:val="00C72645"/>
    <w:rsid w:val="00C74240"/>
    <w:rsid w:val="00C75DC5"/>
    <w:rsid w:val="00C76659"/>
    <w:rsid w:val="00C8122B"/>
    <w:rsid w:val="00C816A3"/>
    <w:rsid w:val="00C87993"/>
    <w:rsid w:val="00C9007F"/>
    <w:rsid w:val="00C91041"/>
    <w:rsid w:val="00C9244D"/>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5FA"/>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5D82"/>
    <w:rsid w:val="00DE5F9C"/>
    <w:rsid w:val="00DE7EEB"/>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CF3"/>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47A1"/>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5030</TotalTime>
  <Pages>45</Pages>
  <Words>7302</Words>
  <Characters>39437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46646</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689</cp:revision>
  <cp:lastPrinted>2008-07-07T10:24:00Z</cp:lastPrinted>
  <dcterms:created xsi:type="dcterms:W3CDTF">2020-06-20T22:48:00Z</dcterms:created>
  <dcterms:modified xsi:type="dcterms:W3CDTF">2020-09-12T22:38:00Z</dcterms:modified>
</cp:coreProperties>
</file>