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1B79E0A7"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057FC64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xml:space="preserve">) é uma abordagem cíclica de desenvolvimento apresentada por (BECK, 2002)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77777777"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2014).</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w:t>
      </w:r>
      <w:r w:rsidR="009F6ACD">
        <w:rPr>
          <w:b w:val="0"/>
          <w:sz w:val="24"/>
          <w:szCs w:val="24"/>
        </w:rPr>
        <w:t xml:space="preserve">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30931045" w:rsidR="001C6949" w:rsidRDefault="001C6949" w:rsidP="00665DA7">
      <w:pPr>
        <w:spacing w:line="360" w:lineRule="auto"/>
        <w:jc w:val="both"/>
        <w:rPr>
          <w:b w:val="0"/>
          <w:sz w:val="24"/>
          <w:szCs w:val="24"/>
          <w:lang w:val="it-IT"/>
        </w:rPr>
      </w:pPr>
    </w:p>
    <w:p w14:paraId="14E3E9D5" w14:textId="068E3DCA" w:rsidR="001C6949" w:rsidRDefault="001C6949" w:rsidP="00665DA7">
      <w:pPr>
        <w:spacing w:line="360" w:lineRule="auto"/>
        <w:jc w:val="both"/>
        <w:rPr>
          <w:b w:val="0"/>
          <w:sz w:val="24"/>
          <w:szCs w:val="24"/>
          <w:lang w:val="it-IT"/>
        </w:rPr>
      </w:pPr>
    </w:p>
    <w:p w14:paraId="19E524B5" w14:textId="06BE01AF" w:rsidR="001C6949" w:rsidRDefault="001C6949" w:rsidP="00665DA7">
      <w:pPr>
        <w:spacing w:line="360" w:lineRule="auto"/>
        <w:jc w:val="both"/>
        <w:rPr>
          <w:b w:val="0"/>
          <w:sz w:val="24"/>
          <w:szCs w:val="24"/>
          <w:lang w:val="it-IT"/>
        </w:rPr>
      </w:pPr>
    </w:p>
    <w:p w14:paraId="42534674" w14:textId="77777777" w:rsidR="001C6949" w:rsidRDefault="001C6949"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F0B9638" w:rsidR="00DD3A40" w:rsidRDefault="00DD3A40" w:rsidP="00665DA7">
      <w:pPr>
        <w:spacing w:line="360" w:lineRule="auto"/>
        <w:jc w:val="both"/>
        <w:rPr>
          <w:b w:val="0"/>
          <w:sz w:val="24"/>
          <w:szCs w:val="24"/>
          <w:lang w:val="it-IT"/>
        </w:rPr>
      </w:pPr>
    </w:p>
    <w:p w14:paraId="2C73A74A" w14:textId="2CA432A5"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40437AAC"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validaç</w:t>
      </w:r>
      <w:r>
        <w:rPr>
          <w:b w:val="0"/>
          <w:bCs w:val="0"/>
          <w:noProof/>
          <w:sz w:val="24"/>
          <w:szCs w:val="24"/>
        </w:rPr>
        <w:t>ões</w:t>
      </w:r>
      <w:r w:rsidR="00333DAF">
        <w:rPr>
          <w:b w:val="0"/>
          <w:bCs w:val="0"/>
          <w:noProof/>
          <w:sz w:val="24"/>
          <w:szCs w:val="24"/>
        </w:rPr>
        <w:t xml:space="preserve"> sobre 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2C278BB4"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especificação permite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77777777" w:rsidR="003A4C9E"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w:t>
      </w:r>
      <w:r w:rsidR="003A4C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7F97D99E" w14:textId="7F8486B8" w:rsidR="007659E5" w:rsidRDefault="007659E5" w:rsidP="00665DA7">
      <w:pPr>
        <w:spacing w:line="360" w:lineRule="auto"/>
        <w:jc w:val="both"/>
        <w:rPr>
          <w:b w:val="0"/>
          <w:bCs w:val="0"/>
          <w:noProof/>
          <w:sz w:val="24"/>
          <w:szCs w:val="24"/>
        </w:rPr>
      </w:pPr>
    </w:p>
    <w:p w14:paraId="1A3138A8" w14:textId="1F07F0CD"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w:t>
      </w:r>
      <w:r w:rsidR="006B04B3">
        <w:rPr>
          <w:b w:val="0"/>
          <w:bCs w:val="0"/>
          <w:noProof/>
          <w:sz w:val="24"/>
          <w:szCs w:val="24"/>
        </w:rPr>
        <w:t>er</w:t>
      </w:r>
      <w:r>
        <w:rPr>
          <w:b w:val="0"/>
          <w:bCs w:val="0"/>
          <w:noProof/>
          <w:sz w:val="24"/>
          <w:szCs w:val="24"/>
        </w:rPr>
        <w:t>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77777777" w:rsidR="003E21B1" w:rsidRDefault="003E21B1" w:rsidP="00B23F9F">
      <w:pPr>
        <w:spacing w:line="360" w:lineRule="auto"/>
        <w:jc w:val="center"/>
        <w:rPr>
          <w:b w:val="0"/>
          <w:sz w:val="20"/>
          <w:szCs w:val="20"/>
          <w:lang w:val="it-IT"/>
        </w:rPr>
      </w:pPr>
    </w:p>
    <w:p w14:paraId="2CF281D2" w14:textId="2133535D" w:rsidR="00665DA7" w:rsidRPr="00B23F9F" w:rsidRDefault="00665DA7" w:rsidP="00B23F9F">
      <w:pPr>
        <w:spacing w:line="360" w:lineRule="auto"/>
        <w:rPr>
          <w:b w:val="0"/>
          <w:sz w:val="20"/>
          <w:szCs w:val="20"/>
          <w:lang w:val="it-IT"/>
        </w:rPr>
      </w:pPr>
      <w:r>
        <w:rPr>
          <w:sz w:val="24"/>
          <w:szCs w:val="24"/>
          <w:lang w:val="it-IT"/>
        </w:rPr>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1C6949"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8AD52" w14:textId="77777777" w:rsidR="00800610" w:rsidRDefault="00800610">
      <w:r>
        <w:separator/>
      </w:r>
    </w:p>
  </w:endnote>
  <w:endnote w:type="continuationSeparator" w:id="0">
    <w:p w14:paraId="3B63B624" w14:textId="77777777" w:rsidR="00800610" w:rsidRDefault="0080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1C6949" w:rsidRDefault="001C6949"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1C6949" w:rsidRDefault="001C6949"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1C6949" w:rsidRDefault="001C6949"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1C6949" w:rsidRDefault="001C6949"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1C6949" w:rsidRDefault="001C694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0851A" w14:textId="77777777" w:rsidR="00800610" w:rsidRDefault="00800610">
      <w:r>
        <w:separator/>
      </w:r>
    </w:p>
  </w:footnote>
  <w:footnote w:type="continuationSeparator" w:id="0">
    <w:p w14:paraId="5233571B" w14:textId="77777777" w:rsidR="00800610" w:rsidRDefault="00800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1C6949" w:rsidRPr="005B29D1" w:rsidRDefault="001C6949"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1C6949" w:rsidRPr="00D02492" w:rsidRDefault="001C6949"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1C6949" w:rsidRPr="00D254EA" w:rsidRDefault="001C6949"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1C6949" w:rsidRPr="00D254EA" w:rsidRDefault="001C6949"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1C6949" w:rsidRPr="00A86814" w:rsidRDefault="001C6949"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1C6949" w:rsidRPr="00D254EA" w:rsidRDefault="001C6949"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D52"/>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4A6"/>
    <w:rsid w:val="00146F86"/>
    <w:rsid w:val="001471F8"/>
    <w:rsid w:val="00150112"/>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564D"/>
    <w:rsid w:val="002F5804"/>
    <w:rsid w:val="002F76D5"/>
    <w:rsid w:val="002F7AFE"/>
    <w:rsid w:val="00302F06"/>
    <w:rsid w:val="00305C6A"/>
    <w:rsid w:val="00306703"/>
    <w:rsid w:val="00306748"/>
    <w:rsid w:val="00306FB8"/>
    <w:rsid w:val="00310D94"/>
    <w:rsid w:val="0031522B"/>
    <w:rsid w:val="00324467"/>
    <w:rsid w:val="00324C39"/>
    <w:rsid w:val="00325000"/>
    <w:rsid w:val="00325812"/>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DB7"/>
    <w:rsid w:val="003F2F14"/>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1B00"/>
    <w:rsid w:val="0043210F"/>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61B"/>
    <w:rsid w:val="00666A11"/>
    <w:rsid w:val="00666D8F"/>
    <w:rsid w:val="00666F0A"/>
    <w:rsid w:val="0066744B"/>
    <w:rsid w:val="006722E3"/>
    <w:rsid w:val="0067239D"/>
    <w:rsid w:val="00672B59"/>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397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57C"/>
    <w:rsid w:val="008407D9"/>
    <w:rsid w:val="00841D65"/>
    <w:rsid w:val="00842E73"/>
    <w:rsid w:val="00843101"/>
    <w:rsid w:val="0084399B"/>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FFB"/>
    <w:rsid w:val="00B63C45"/>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13F8"/>
    <w:rsid w:val="00BD1896"/>
    <w:rsid w:val="00BD242B"/>
    <w:rsid w:val="00BD2875"/>
    <w:rsid w:val="00BD3687"/>
    <w:rsid w:val="00BD3B9B"/>
    <w:rsid w:val="00BD3F2D"/>
    <w:rsid w:val="00BD4AB3"/>
    <w:rsid w:val="00BD5674"/>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6602"/>
    <w:rsid w:val="00C22A7D"/>
    <w:rsid w:val="00C24869"/>
    <w:rsid w:val="00C24F19"/>
    <w:rsid w:val="00C25AC3"/>
    <w:rsid w:val="00C26F52"/>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528D"/>
    <w:rsid w:val="00DE1A50"/>
    <w:rsid w:val="00DE4CE0"/>
    <w:rsid w:val="00DE4E02"/>
    <w:rsid w:val="00DE5D82"/>
    <w:rsid w:val="00DE5F9C"/>
    <w:rsid w:val="00DE7EEB"/>
    <w:rsid w:val="00DF05D1"/>
    <w:rsid w:val="00DF0C06"/>
    <w:rsid w:val="00DF1DF5"/>
    <w:rsid w:val="00DF55CB"/>
    <w:rsid w:val="00DF5FEE"/>
    <w:rsid w:val="00DF75BC"/>
    <w:rsid w:val="00E001BB"/>
    <w:rsid w:val="00E033F2"/>
    <w:rsid w:val="00E042D6"/>
    <w:rsid w:val="00E05B5B"/>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6E2"/>
    <w:rsid w:val="00F02642"/>
    <w:rsid w:val="00F0277B"/>
    <w:rsid w:val="00F03BEA"/>
    <w:rsid w:val="00F046E0"/>
    <w:rsid w:val="00F0540E"/>
    <w:rsid w:val="00F10EC8"/>
    <w:rsid w:val="00F12281"/>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63CA9"/>
    <w:rsid w:val="00F64B18"/>
    <w:rsid w:val="00F70E38"/>
    <w:rsid w:val="00F7154F"/>
    <w:rsid w:val="00F71898"/>
    <w:rsid w:val="00F72AEA"/>
    <w:rsid w:val="00F73120"/>
    <w:rsid w:val="00F73245"/>
    <w:rsid w:val="00F747A1"/>
    <w:rsid w:val="00F75701"/>
    <w:rsid w:val="00F840A0"/>
    <w:rsid w:val="00F8488B"/>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6223</TotalTime>
  <Pages>44</Pages>
  <Words>7865</Words>
  <Characters>42472</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50237</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1141</cp:revision>
  <cp:lastPrinted>2008-07-07T10:24:00Z</cp:lastPrinted>
  <dcterms:created xsi:type="dcterms:W3CDTF">2020-06-20T22:48:00Z</dcterms:created>
  <dcterms:modified xsi:type="dcterms:W3CDTF">2020-10-24T21:59:00Z</dcterms:modified>
</cp:coreProperties>
</file>