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77777777" w:rsidR="0015257F" w:rsidRDefault="0015257F"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77777777" w:rsidR="00F309E5" w:rsidRDefault="00F309E5"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3096814F"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18EB8825" w14:textId="1ED2C21E" w:rsidR="0086378F" w:rsidRDefault="0086378F" w:rsidP="00164325">
      <w:pPr>
        <w:spacing w:line="360" w:lineRule="auto"/>
        <w:jc w:val="both"/>
        <w:rPr>
          <w:b w:val="0"/>
          <w:sz w:val="24"/>
          <w:szCs w:val="24"/>
          <w:lang w:val="it-IT"/>
        </w:rPr>
      </w:pPr>
    </w:p>
    <w:p w14:paraId="298F82C3" w14:textId="24FA14D9" w:rsidR="00164325" w:rsidRDefault="0086378F" w:rsidP="002E25A9">
      <w:pPr>
        <w:spacing w:line="360" w:lineRule="auto"/>
        <w:jc w:val="both"/>
        <w:rPr>
          <w:b w:val="0"/>
          <w:sz w:val="24"/>
          <w:szCs w:val="24"/>
          <w:lang w:val="it-IT"/>
        </w:rPr>
      </w:pPr>
      <w:r>
        <w:rPr>
          <w:b w:val="0"/>
          <w:sz w:val="24"/>
          <w:szCs w:val="24"/>
          <w:lang w:val="it-IT"/>
        </w:rPr>
        <w:t xml:space="preserve">Conforme proposto, o Gerente do Projeto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85505B" w:rsidR="001D6F17" w:rsidRDefault="001D6F1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612E63A3" w14:textId="77777777" w:rsidR="00A93B14" w:rsidRDefault="00A93B14" w:rsidP="001D6F17">
      <w:pPr>
        <w:spacing w:line="360" w:lineRule="auto"/>
        <w:jc w:val="center"/>
        <w:rPr>
          <w:b w:val="0"/>
          <w:bCs w:val="0"/>
          <w:noProof/>
          <w:sz w:val="24"/>
          <w:szCs w:val="24"/>
        </w:rPr>
      </w:pPr>
    </w:p>
    <w:p w14:paraId="6B1C1FF1" w14:textId="77777777" w:rsidR="00A93B14" w:rsidRDefault="00A93B14" w:rsidP="001D6F17">
      <w:pPr>
        <w:spacing w:line="360" w:lineRule="auto"/>
        <w:jc w:val="center"/>
        <w:rPr>
          <w:b w:val="0"/>
          <w:bCs w:val="0"/>
          <w:noProof/>
          <w:sz w:val="24"/>
          <w:szCs w:val="24"/>
        </w:rPr>
      </w:pPr>
    </w:p>
    <w:p w14:paraId="43691C4F" w14:textId="77777777" w:rsidR="00A93B14" w:rsidRDefault="00A93B14" w:rsidP="001D6F17">
      <w:pPr>
        <w:spacing w:line="360" w:lineRule="auto"/>
        <w:jc w:val="center"/>
        <w:rPr>
          <w:b w:val="0"/>
          <w:bCs w:val="0"/>
          <w:noProof/>
          <w:sz w:val="24"/>
          <w:szCs w:val="24"/>
        </w:rPr>
      </w:pPr>
    </w:p>
    <w:p w14:paraId="07BD13B3" w14:textId="77777777" w:rsidR="00A93B14" w:rsidRDefault="00A93B14" w:rsidP="001D6F17">
      <w:pPr>
        <w:spacing w:line="360" w:lineRule="auto"/>
        <w:jc w:val="center"/>
        <w:rPr>
          <w:b w:val="0"/>
          <w:bCs w:val="0"/>
          <w:noProof/>
          <w:sz w:val="24"/>
          <w:szCs w:val="24"/>
        </w:rPr>
      </w:pPr>
    </w:p>
    <w:p w14:paraId="2B373DEE" w14:textId="77777777" w:rsidR="00A93B14" w:rsidRDefault="00A93B14" w:rsidP="001D6F17">
      <w:pPr>
        <w:spacing w:line="360" w:lineRule="auto"/>
        <w:jc w:val="center"/>
        <w:rPr>
          <w:b w:val="0"/>
          <w:bCs w:val="0"/>
          <w:noProof/>
          <w:sz w:val="24"/>
          <w:szCs w:val="24"/>
        </w:rPr>
      </w:pPr>
    </w:p>
    <w:p w14:paraId="64516757" w14:textId="77777777" w:rsidR="00A93B14" w:rsidRDefault="00A93B14" w:rsidP="001D6F17">
      <w:pPr>
        <w:spacing w:line="360" w:lineRule="auto"/>
        <w:jc w:val="center"/>
        <w:rPr>
          <w:b w:val="0"/>
          <w:bCs w:val="0"/>
          <w:noProof/>
          <w:sz w:val="24"/>
          <w:szCs w:val="24"/>
        </w:rPr>
      </w:pPr>
    </w:p>
    <w:p w14:paraId="01BC0216" w14:textId="77777777" w:rsidR="00A93B14" w:rsidRDefault="00A93B14" w:rsidP="001D6F17">
      <w:pPr>
        <w:spacing w:line="360" w:lineRule="auto"/>
        <w:jc w:val="center"/>
        <w:rPr>
          <w:b w:val="0"/>
          <w:bCs w:val="0"/>
          <w:noProof/>
          <w:sz w:val="24"/>
          <w:szCs w:val="24"/>
        </w:rPr>
      </w:pPr>
    </w:p>
    <w:p w14:paraId="7A38C73C" w14:textId="77777777" w:rsidR="00A93B14" w:rsidRDefault="00A93B14" w:rsidP="001D6F17">
      <w:pPr>
        <w:spacing w:line="360" w:lineRule="auto"/>
        <w:jc w:val="center"/>
        <w:rPr>
          <w:b w:val="0"/>
          <w:bCs w:val="0"/>
          <w:noProof/>
          <w:sz w:val="24"/>
          <w:szCs w:val="24"/>
        </w:rPr>
      </w:pP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77777777" w:rsidR="00D23C1A" w:rsidRDefault="00D23C1A" w:rsidP="006C7E30">
      <w:pPr>
        <w:spacing w:line="360" w:lineRule="auto"/>
        <w:rPr>
          <w:sz w:val="28"/>
          <w:szCs w:val="24"/>
        </w:rPr>
      </w:pPr>
    </w:p>
    <w:p w14:paraId="41B09BDD" w14:textId="1E561254"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5"/>
          <w:footerReference w:type="default" r:id="rId26"/>
          <w:headerReference w:type="first" r:id="rId27"/>
          <w:footerReference w:type="first" r:id="rId28"/>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29"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of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04BF9" w14:textId="77777777" w:rsidR="00034DFC" w:rsidRDefault="00034DFC">
      <w:r>
        <w:separator/>
      </w:r>
    </w:p>
  </w:endnote>
  <w:endnote w:type="continuationSeparator" w:id="0">
    <w:p w14:paraId="34D97D75" w14:textId="77777777" w:rsidR="00034DFC" w:rsidRDefault="0003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EE6698" w:rsidRDefault="00EE6698"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EE6698" w:rsidRDefault="00EE6698"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EE6698" w:rsidRDefault="00EE6698"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EE6698" w:rsidRDefault="00EE6698"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EE6698" w:rsidRDefault="00EE66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D5A89" w14:textId="77777777" w:rsidR="00034DFC" w:rsidRDefault="00034DFC">
      <w:r>
        <w:separator/>
      </w:r>
    </w:p>
  </w:footnote>
  <w:footnote w:type="continuationSeparator" w:id="0">
    <w:p w14:paraId="04DB9CDC" w14:textId="77777777" w:rsidR="00034DFC" w:rsidRDefault="0003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EE6698" w:rsidRPr="005B29D1" w:rsidRDefault="00EE6698"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EE6698" w:rsidRPr="00D02492" w:rsidRDefault="00EE6698"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EE6698" w:rsidRPr="00D254EA" w:rsidRDefault="00EE6698"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EE6698" w:rsidRPr="00D254EA" w:rsidRDefault="00EE6698"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EE6698" w:rsidRPr="00A86814" w:rsidRDefault="00EE6698"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EE6698" w:rsidRPr="00D254EA" w:rsidRDefault="00EE6698"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3F2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545C"/>
    <w:rsid w:val="009C54C9"/>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469AC"/>
    <w:rsid w:val="00A50AA9"/>
    <w:rsid w:val="00A54312"/>
    <w:rsid w:val="00A567D5"/>
    <w:rsid w:val="00A63075"/>
    <w:rsid w:val="00A66674"/>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6C5B"/>
    <w:rsid w:val="00DC0C17"/>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etymonline.com/word/commun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8384</TotalTime>
  <Pages>50</Pages>
  <Words>9649</Words>
  <Characters>52110</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61636</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1468</cp:revision>
  <cp:lastPrinted>2008-07-07T10:24:00Z</cp:lastPrinted>
  <dcterms:created xsi:type="dcterms:W3CDTF">2020-06-20T22:48:00Z</dcterms:created>
  <dcterms:modified xsi:type="dcterms:W3CDTF">2020-11-03T00:55:00Z</dcterms:modified>
</cp:coreProperties>
</file>