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lastRenderedPageBreak/>
        <w:t>2.6</w:t>
      </w:r>
      <w:r w:rsidR="0067239D">
        <w:rPr>
          <w:bCs w:val="0"/>
          <w:sz w:val="24"/>
          <w:szCs w:val="24"/>
        </w:rPr>
        <w:t xml:space="preserve"> </w:t>
      </w:r>
      <w:r w:rsidR="00291E89" w:rsidRPr="00291E89">
        <w:rPr>
          <w:bCs w:val="0"/>
          <w:sz w:val="24"/>
          <w:szCs w:val="24"/>
        </w:rPr>
        <w:t>Gestão das Comunicações</w:t>
      </w:r>
    </w:p>
    <w:p w14:paraId="6365D57C" w14:textId="77777777" w:rsidR="0053723B" w:rsidRDefault="0053723B"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0497660F"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refinamento de requisitos</w:t>
      </w:r>
      <w:r w:rsidR="006471B2">
        <w:rPr>
          <w:b w:val="0"/>
          <w:sz w:val="24"/>
          <w:szCs w:val="24"/>
        </w:rPr>
        <w:t xml:space="preserve"> utilizando BDD e </w:t>
      </w:r>
      <w:r>
        <w:rPr>
          <w:b w:val="0"/>
          <w:sz w:val="24"/>
          <w:szCs w:val="24"/>
        </w:rPr>
        <w:t>Gestão das Comunicações</w:t>
      </w:r>
      <w:r w:rsidR="00291014">
        <w:rPr>
          <w:b w:val="0"/>
          <w:sz w:val="24"/>
          <w:szCs w:val="24"/>
        </w:rPr>
        <w:t xml:space="preserve"> </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0F32A880"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w:t>
      </w:r>
      <w:r w:rsidR="006C341C">
        <w:rPr>
          <w:b w:val="0"/>
          <w:sz w:val="24"/>
          <w:szCs w:val="24"/>
          <w:lang w:val="it-IT"/>
        </w:rPr>
        <w:t>Gestão das Comunicações</w:t>
      </w:r>
      <w:r w:rsidR="006C341C">
        <w:rPr>
          <w:b w:val="0"/>
          <w:sz w:val="24"/>
          <w:szCs w:val="24"/>
          <w:lang w:val="it-IT"/>
        </w:rPr>
        <w:t xml:space="preserve">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2C392B9A"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62927732" w:rsidR="009613A9" w:rsidRDefault="009613A9" w:rsidP="009613A9">
      <w:pPr>
        <w:spacing w:line="360" w:lineRule="auto"/>
        <w:jc w:val="both"/>
        <w:rPr>
          <w:b w:val="0"/>
          <w:sz w:val="24"/>
          <w:szCs w:val="24"/>
          <w:lang w:val="it-IT"/>
        </w:rPr>
      </w:pPr>
      <w:r w:rsidRPr="009613A9">
        <w:rPr>
          <w:b w:val="0"/>
          <w:sz w:val="24"/>
          <w:szCs w:val="24"/>
          <w:lang w:val="it-IT"/>
        </w:rPr>
        <w:t xml:space="preserve">O projeto consiste na realização de transferências bancárias de forma instantânea (a compensação bancária, ou seja, o tempo que o dinheiro levará para cair na conta destino, é imediata),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w:t>
      </w:r>
      <w:r>
        <w:rPr>
          <w:b w:val="0"/>
          <w:sz w:val="24"/>
          <w:szCs w:val="24"/>
          <w:lang w:val="it-IT"/>
        </w:rPr>
        <w:lastRenderedPageBreak/>
        <w:t xml:space="preserve">escrita de BDD. Após alguns ajustes, os envolvidos entraram em um consenso e os 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274D1136" w:rsidR="00A556C7" w:rsidRDefault="00A556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1E32929" w14:textId="42DDD5D6" w:rsidR="0092766D"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 </w:t>
      </w:r>
    </w:p>
    <w:p w14:paraId="5CC11E42" w14:textId="384B0B22" w:rsidR="003B6861" w:rsidRDefault="0092766D" w:rsidP="00A556C7">
      <w:pPr>
        <w:spacing w:line="360" w:lineRule="auto"/>
        <w:jc w:val="both"/>
        <w:rPr>
          <w:b w:val="0"/>
          <w:sz w:val="24"/>
          <w:szCs w:val="24"/>
          <w:lang w:val="it-IT"/>
        </w:rPr>
      </w:pPr>
      <w:r>
        <w:rPr>
          <w:b w:val="0"/>
          <w:sz w:val="24"/>
          <w:szCs w:val="24"/>
          <w:lang w:val="it-IT"/>
        </w:rPr>
        <w:lastRenderedPageBreak/>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7C12413" w14:textId="7791CEFB" w:rsidR="003B6861" w:rsidRDefault="003B6861" w:rsidP="006C7E30">
      <w:pPr>
        <w:spacing w:line="360" w:lineRule="auto"/>
        <w:rPr>
          <w:noProof/>
          <w:sz w:val="28"/>
          <w:szCs w:val="24"/>
        </w:rPr>
      </w:pPr>
    </w:p>
    <w:p w14:paraId="2FBE6A79" w14:textId="37075E07" w:rsidR="003B6861" w:rsidRDefault="003B6861" w:rsidP="006C7E30">
      <w:pPr>
        <w:spacing w:line="360" w:lineRule="auto"/>
        <w:rPr>
          <w:noProof/>
          <w:sz w:val="28"/>
          <w:szCs w:val="24"/>
        </w:rPr>
      </w:pPr>
    </w:p>
    <w:p w14:paraId="30AF039E" w14:textId="452A8C68"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08458A36" w14:textId="77777777" w:rsidR="00A556C7" w:rsidRDefault="00A556C7" w:rsidP="006C7E30">
      <w:pPr>
        <w:spacing w:line="360" w:lineRule="auto"/>
        <w:rPr>
          <w:sz w:val="28"/>
          <w:szCs w:val="24"/>
        </w:rPr>
      </w:pPr>
    </w:p>
    <w:p w14:paraId="41B09BDD" w14:textId="77777777" w:rsidR="008F3B49" w:rsidRDefault="00B66B57" w:rsidP="006C7E30">
      <w:pPr>
        <w:spacing w:line="360" w:lineRule="auto"/>
        <w:rPr>
          <w:sz w:val="28"/>
          <w:szCs w:val="24"/>
        </w:rPr>
      </w:pPr>
      <w:r>
        <w:rPr>
          <w:sz w:val="28"/>
          <w:szCs w:val="24"/>
        </w:rPr>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BECK, Kent et al.</w:t>
      </w:r>
      <w:r w:rsidR="00FB363C" w:rsidRPr="00FB363C">
        <w:rPr>
          <w:spacing w:val="-3"/>
          <w:sz w:val="24"/>
          <w:szCs w:val="24"/>
        </w:rPr>
        <w:t>.</w:t>
      </w:r>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BECK, Kent et al..</w:t>
      </w:r>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r w:rsidRPr="00F12375">
        <w:rPr>
          <w:b w:val="0"/>
          <w:bCs w:val="0"/>
          <w:spacing w:val="-3"/>
          <w:sz w:val="24"/>
          <w:szCs w:val="24"/>
        </w:rPr>
        <w:t>failure</w:t>
      </w:r>
      <w:proofErr w:type="spell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C1713" w14:textId="77777777" w:rsidR="00ED49A8" w:rsidRDefault="00ED49A8">
      <w:r>
        <w:separator/>
      </w:r>
    </w:p>
  </w:endnote>
  <w:endnote w:type="continuationSeparator" w:id="0">
    <w:p w14:paraId="1D353656" w14:textId="77777777" w:rsidR="00ED49A8" w:rsidRDefault="00ED4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20A53" w:rsidRDefault="00920A53"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20A53" w:rsidRDefault="00920A53"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20A53" w:rsidRDefault="00920A53"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20A53" w:rsidRDefault="00920A53"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20A53" w:rsidRDefault="00920A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3D872" w14:textId="77777777" w:rsidR="00ED49A8" w:rsidRDefault="00ED49A8">
      <w:r>
        <w:separator/>
      </w:r>
    </w:p>
  </w:footnote>
  <w:footnote w:type="continuationSeparator" w:id="0">
    <w:p w14:paraId="383DE291" w14:textId="77777777" w:rsidR="00ED49A8" w:rsidRDefault="00ED4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20A53" w:rsidRPr="005B29D1" w:rsidRDefault="00920A53"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20A53" w:rsidRPr="00D02492" w:rsidRDefault="00920A53"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20A53" w:rsidRPr="00D254EA" w:rsidRDefault="00920A53"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20A53" w:rsidRPr="00D254EA" w:rsidRDefault="00920A53"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20A53" w:rsidRPr="00A86814" w:rsidRDefault="00920A53"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20A53" w:rsidRPr="00D254EA" w:rsidRDefault="00920A53"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628"/>
    <w:rsid w:val="001B072B"/>
    <w:rsid w:val="001B0AD7"/>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1CF0"/>
    <w:rsid w:val="002521DD"/>
    <w:rsid w:val="00252300"/>
    <w:rsid w:val="00253C9B"/>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B6861"/>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785"/>
    <w:rsid w:val="007C4AD1"/>
    <w:rsid w:val="007C4C7B"/>
    <w:rsid w:val="007C5540"/>
    <w:rsid w:val="007C715E"/>
    <w:rsid w:val="007D5828"/>
    <w:rsid w:val="007D5DB2"/>
    <w:rsid w:val="007D6BDE"/>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812"/>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E30"/>
    <w:rsid w:val="00925EC7"/>
    <w:rsid w:val="00926333"/>
    <w:rsid w:val="0092634B"/>
    <w:rsid w:val="009264FB"/>
    <w:rsid w:val="0092766D"/>
    <w:rsid w:val="009276A7"/>
    <w:rsid w:val="00927819"/>
    <w:rsid w:val="00927F49"/>
    <w:rsid w:val="009307A5"/>
    <w:rsid w:val="00931161"/>
    <w:rsid w:val="0093211C"/>
    <w:rsid w:val="00932933"/>
    <w:rsid w:val="00933F23"/>
    <w:rsid w:val="00935D22"/>
    <w:rsid w:val="009368EB"/>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13A9"/>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63A9"/>
    <w:rsid w:val="00A40EBB"/>
    <w:rsid w:val="00A426B7"/>
    <w:rsid w:val="00A42F63"/>
    <w:rsid w:val="00A435F1"/>
    <w:rsid w:val="00A43997"/>
    <w:rsid w:val="00A45A50"/>
    <w:rsid w:val="00A469AC"/>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D32"/>
    <w:rsid w:val="00BF6932"/>
    <w:rsid w:val="00BF7720"/>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9A8"/>
    <w:rsid w:val="00ED4BFF"/>
    <w:rsid w:val="00ED5133"/>
    <w:rsid w:val="00ED56C5"/>
    <w:rsid w:val="00ED5944"/>
    <w:rsid w:val="00ED639D"/>
    <w:rsid w:val="00ED7960"/>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8539</TotalTime>
  <Pages>52</Pages>
  <Words>9945</Words>
  <Characters>53705</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63523</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1535</cp:revision>
  <cp:lastPrinted>2008-07-07T10:24:00Z</cp:lastPrinted>
  <dcterms:created xsi:type="dcterms:W3CDTF">2020-06-20T22:48:00Z</dcterms:created>
  <dcterms:modified xsi:type="dcterms:W3CDTF">2020-11-07T21:26:00Z</dcterms:modified>
</cp:coreProperties>
</file>