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D9" w:rsidRDefault="009328D2"/>
    <w:p w:rsidR="00044B34" w:rsidRDefault="00044B34" w:rsidP="00044B34">
      <w:pPr>
        <w:jc w:val="center"/>
      </w:pPr>
      <w:r w:rsidRPr="00044B34">
        <w:rPr>
          <w:noProof/>
          <w:lang w:eastAsia="ru-RU"/>
        </w:rPr>
        <w:drawing>
          <wp:inline distT="0" distB="0" distL="0" distR="0">
            <wp:extent cx="1352550" cy="645994"/>
            <wp:effectExtent l="0" t="0" r="0" b="1905"/>
            <wp:docPr id="1" name="Рисунок 1" descr="F:\ГИПЕРМЕД\ЛОГОТИПЫ\logo_giperm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ГИПЕРМЕД\ЛОГОТИПЫ\logo_giperm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8575" cy="658424"/>
                    </a:xfrm>
                    <a:prstGeom prst="rect">
                      <a:avLst/>
                    </a:prstGeom>
                    <a:noFill/>
                    <a:ln>
                      <a:noFill/>
                    </a:ln>
                  </pic:spPr>
                </pic:pic>
              </a:graphicData>
            </a:graphic>
          </wp:inline>
        </w:drawing>
      </w:r>
    </w:p>
    <w:p w:rsidR="00044B34" w:rsidRDefault="00044B34" w:rsidP="00044B34">
      <w:pPr>
        <w:jc w:val="center"/>
        <w:rPr>
          <w:b/>
          <w:color w:val="FF0000"/>
        </w:rPr>
      </w:pPr>
      <w:r w:rsidRPr="00044B34">
        <w:rPr>
          <w:b/>
          <w:color w:val="FF0000"/>
        </w:rPr>
        <w:t>ЦЕНТР ТОРГОВЛИ МЕДИЦИНСКИМИ ТОВАРАМИ</w:t>
      </w:r>
    </w:p>
    <w:p w:rsidR="00C91C89" w:rsidRPr="00010482" w:rsidRDefault="00C91C89" w:rsidP="00C91C89">
      <w:pPr>
        <w:tabs>
          <w:tab w:val="left" w:pos="4380"/>
        </w:tabs>
        <w:jc w:val="center"/>
        <w:rPr>
          <w:sz w:val="18"/>
          <w:szCs w:val="18"/>
        </w:rPr>
      </w:pPr>
      <w:r w:rsidRPr="00C91C89">
        <w:rPr>
          <w:sz w:val="18"/>
          <w:szCs w:val="18"/>
          <w:lang w:val="en-US"/>
        </w:rPr>
        <w:t>www</w:t>
      </w:r>
      <w:r w:rsidRPr="00010482">
        <w:rPr>
          <w:sz w:val="18"/>
          <w:szCs w:val="18"/>
        </w:rPr>
        <w:t xml:space="preserve">: </w:t>
      </w:r>
      <w:r w:rsidRPr="00C91C89">
        <w:rPr>
          <w:sz w:val="18"/>
          <w:szCs w:val="18"/>
          <w:lang w:val="en-US"/>
        </w:rPr>
        <w:t>gipermed</w:t>
      </w:r>
      <w:r w:rsidRPr="00010482">
        <w:rPr>
          <w:sz w:val="18"/>
          <w:szCs w:val="18"/>
        </w:rPr>
        <w:t>.</w:t>
      </w:r>
      <w:r w:rsidRPr="00C91C89">
        <w:rPr>
          <w:sz w:val="18"/>
          <w:szCs w:val="18"/>
          <w:lang w:val="en-US"/>
        </w:rPr>
        <w:t>ru</w:t>
      </w:r>
      <w:r w:rsidRPr="00010482">
        <w:rPr>
          <w:sz w:val="18"/>
          <w:szCs w:val="18"/>
        </w:rPr>
        <w:t xml:space="preserve"> ; </w:t>
      </w:r>
      <w:r w:rsidRPr="00C91C89">
        <w:rPr>
          <w:sz w:val="18"/>
          <w:szCs w:val="18"/>
          <w:lang w:val="en-US"/>
        </w:rPr>
        <w:t>e</w:t>
      </w:r>
      <w:r w:rsidRPr="00010482">
        <w:rPr>
          <w:sz w:val="18"/>
          <w:szCs w:val="18"/>
        </w:rPr>
        <w:t>-</w:t>
      </w:r>
      <w:r w:rsidRPr="00C91C89">
        <w:rPr>
          <w:sz w:val="18"/>
          <w:szCs w:val="18"/>
          <w:lang w:val="en-US"/>
        </w:rPr>
        <w:t>mail</w:t>
      </w:r>
      <w:r w:rsidRPr="00010482">
        <w:rPr>
          <w:sz w:val="18"/>
          <w:szCs w:val="18"/>
        </w:rPr>
        <w:t xml:space="preserve">: </w:t>
      </w:r>
      <w:hyperlink r:id="rId9" w:history="1">
        <w:r w:rsidRPr="00C91C89">
          <w:rPr>
            <w:rStyle w:val="a7"/>
            <w:sz w:val="18"/>
            <w:szCs w:val="18"/>
            <w:lang w:val="en-US"/>
          </w:rPr>
          <w:t>gipermerd</w:t>
        </w:r>
        <w:r w:rsidRPr="00010482">
          <w:rPr>
            <w:rStyle w:val="a7"/>
            <w:sz w:val="18"/>
            <w:szCs w:val="18"/>
          </w:rPr>
          <w:t>@</w:t>
        </w:r>
        <w:r w:rsidRPr="00C91C89">
          <w:rPr>
            <w:rStyle w:val="a7"/>
            <w:sz w:val="18"/>
            <w:szCs w:val="18"/>
            <w:lang w:val="en-US"/>
          </w:rPr>
          <w:t>gipermed</w:t>
        </w:r>
        <w:r w:rsidRPr="00010482">
          <w:rPr>
            <w:rStyle w:val="a7"/>
            <w:sz w:val="18"/>
            <w:szCs w:val="18"/>
          </w:rPr>
          <w:t>.</w:t>
        </w:r>
        <w:r w:rsidRPr="00C91C89">
          <w:rPr>
            <w:rStyle w:val="a7"/>
            <w:sz w:val="18"/>
            <w:szCs w:val="18"/>
            <w:lang w:val="en-US"/>
          </w:rPr>
          <w:t>ru</w:t>
        </w:r>
      </w:hyperlink>
      <w:r w:rsidR="00931780" w:rsidRPr="00010482">
        <w:rPr>
          <w:sz w:val="18"/>
          <w:szCs w:val="18"/>
        </w:rPr>
        <w:t xml:space="preserve"> ; </w:t>
      </w:r>
      <w:r w:rsidR="00931780">
        <w:rPr>
          <w:sz w:val="18"/>
          <w:szCs w:val="18"/>
        </w:rPr>
        <w:t>тел</w:t>
      </w:r>
      <w:r w:rsidR="00931780" w:rsidRPr="00010482">
        <w:rPr>
          <w:sz w:val="18"/>
          <w:szCs w:val="18"/>
        </w:rPr>
        <w:t>: +7 (495) 134-01-22 ; 135-01-34</w:t>
      </w:r>
    </w:p>
    <w:p w:rsidR="00C91C89" w:rsidRPr="00010482" w:rsidRDefault="00C91C89" w:rsidP="00C91C89">
      <w:pPr>
        <w:pBdr>
          <w:bottom w:val="single" w:sz="4" w:space="1" w:color="auto"/>
        </w:pBdr>
        <w:rPr>
          <w:b/>
          <w:color w:val="FF0000"/>
        </w:rPr>
      </w:pPr>
    </w:p>
    <w:p w:rsidR="00C91C89" w:rsidRPr="00010482" w:rsidRDefault="00C91C89" w:rsidP="00C91C89">
      <w:pPr>
        <w:rPr>
          <w:b/>
          <w:color w:val="FF0000"/>
        </w:rPr>
      </w:pPr>
    </w:p>
    <w:p w:rsidR="00044B34" w:rsidRPr="00010482" w:rsidRDefault="00044B34"/>
    <w:p w:rsidR="003B6B51" w:rsidRDefault="003B6B51" w:rsidP="003B6B51">
      <w:pPr>
        <w:jc w:val="center"/>
        <w:rPr>
          <w:b/>
        </w:rPr>
      </w:pPr>
      <w:r w:rsidRPr="003B6B51">
        <w:rPr>
          <w:b/>
        </w:rPr>
        <w:t>ТЕХНИЧЕСКОЕ  ЗАДАНИЕ</w:t>
      </w:r>
      <w:r>
        <w:rPr>
          <w:b/>
        </w:rPr>
        <w:t xml:space="preserve"> </w:t>
      </w:r>
    </w:p>
    <w:p w:rsidR="00044B34" w:rsidRDefault="003B6B51" w:rsidP="003B6B51">
      <w:pPr>
        <w:jc w:val="center"/>
        <w:rPr>
          <w:b/>
        </w:rPr>
      </w:pPr>
      <w:r>
        <w:rPr>
          <w:b/>
        </w:rPr>
        <w:t>объекта закупки</w:t>
      </w:r>
      <w:r w:rsidRPr="003B6B51">
        <w:rPr>
          <w:b/>
        </w:rPr>
        <w:t xml:space="preserve">: </w:t>
      </w:r>
    </w:p>
    <w:p w:rsidR="009328D2" w:rsidRDefault="003B6B51" w:rsidP="003B6B51">
      <w:pPr>
        <w:tabs>
          <w:tab w:val="left" w:pos="3795"/>
        </w:tabs>
        <w:rPr>
          <w:b/>
        </w:rPr>
      </w:pPr>
      <w:r>
        <w:rPr>
          <w:b/>
        </w:rPr>
        <w:tab/>
      </w:r>
    </w:p>
    <w:tbl>
      <w:tblPr>
        <w:tblW w:w="9937" w:type="dxa"/>
        <w:tblInd w:w="284" w:type="dxa"/>
        <w:tblLayout w:type="fixed"/>
        <w:tblCellMar>
          <w:left w:w="0" w:type="dxa"/>
          <w:right w:w="0" w:type="dxa"/>
        </w:tblCellMar>
        <w:tblLook w:val="0000" w:firstRow="0" w:lastRow="0" w:firstColumn="0" w:lastColumn="0" w:noHBand="0" w:noVBand="0"/>
      </w:tblPr>
      <w:tblGrid>
        <w:gridCol w:w="425"/>
        <w:gridCol w:w="1701"/>
        <w:gridCol w:w="5959"/>
        <w:gridCol w:w="992"/>
        <w:gridCol w:w="860"/>
      </w:tblGrid>
      <w:tr w:rsidR="009328D2" w:rsidRPr="009328D2" w:rsidTr="00E509D9">
        <w:trPr>
          <w:trHeight w:val="437"/>
        </w:trPr>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b/>
                <w:sz w:val="20"/>
                <w:szCs w:val="20"/>
                <w:lang w:eastAsia="ar-SA"/>
              </w:rPr>
            </w:pPr>
            <w:r w:rsidRPr="009328D2">
              <w:rPr>
                <w:rFonts w:ascii="Times New Roman" w:eastAsia="Times New Roman" w:hAnsi="Times New Roman" w:cs="Times New Roman"/>
                <w:b/>
                <w:sz w:val="20"/>
                <w:szCs w:val="20"/>
                <w:lang w:eastAsia="ar-SA"/>
              </w:rPr>
              <w:t>№</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133"/>
              <w:rPr>
                <w:rFonts w:ascii="Times New Roman" w:eastAsia="Times New Roman" w:hAnsi="Times New Roman" w:cs="Times New Roman"/>
                <w:b/>
                <w:sz w:val="20"/>
                <w:szCs w:val="20"/>
                <w:lang w:eastAsia="ar-SA"/>
              </w:rPr>
            </w:pPr>
            <w:r w:rsidRPr="009328D2">
              <w:rPr>
                <w:rFonts w:ascii="Times New Roman" w:eastAsia="Times New Roman" w:hAnsi="Times New Roman" w:cs="Times New Roman"/>
                <w:b/>
                <w:sz w:val="20"/>
                <w:szCs w:val="20"/>
                <w:lang w:eastAsia="ar-SA"/>
              </w:rPr>
              <w:t>Наименование</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jc w:val="center"/>
              <w:rPr>
                <w:rFonts w:ascii="Times New Roman" w:eastAsia="Times New Roman" w:hAnsi="Times New Roman" w:cs="Times New Roman"/>
                <w:b/>
                <w:sz w:val="20"/>
                <w:szCs w:val="20"/>
                <w:lang w:eastAsia="ar-SA"/>
              </w:rPr>
            </w:pPr>
            <w:r w:rsidRPr="009328D2">
              <w:rPr>
                <w:rFonts w:ascii="Times New Roman" w:eastAsia="Times New Roman" w:hAnsi="Times New Roman" w:cs="Times New Roman"/>
                <w:b/>
                <w:sz w:val="20"/>
                <w:szCs w:val="20"/>
                <w:lang w:eastAsia="ar-SA"/>
              </w:rPr>
              <w:t>Характеристики объекта закупки</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b/>
                <w:sz w:val="20"/>
                <w:szCs w:val="20"/>
                <w:lang w:eastAsia="ar-SA"/>
              </w:rPr>
            </w:pPr>
            <w:r w:rsidRPr="009328D2">
              <w:rPr>
                <w:rFonts w:ascii="Times New Roman" w:eastAsia="Times New Roman" w:hAnsi="Times New Roman" w:cs="Times New Roman"/>
                <w:b/>
                <w:sz w:val="20"/>
                <w:szCs w:val="20"/>
                <w:lang w:eastAsia="ar-SA"/>
              </w:rPr>
              <w:t>Единица измерения</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b/>
                <w:sz w:val="20"/>
                <w:szCs w:val="20"/>
                <w:lang w:eastAsia="ar-SA"/>
              </w:rPr>
              <w:t>Кол-во</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Зажим пупочный</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Должен быть стерильный, одноразовый, изготовлен из стирола, общая длина не менее 53 мм, длина рабочей части не менее 35 мм, должен состоять из 2х браншей соединенных между собой кольцом, выполненным из того же материала, внутренняя сторона рабочей части каждой бранши должна иметь фиксирующие зубцы высотой не менее 1 мм, расположенные таким образом, что верхушка каждого зубца соответствует промежутку между зубцами другой бранши, кольцо у начала браншей с ограничивающей ресничкой, предотвращающей попадание пуповины внутрь кольца, продольный желоб, расположенный по центру рабочей части каждой бранши - для равномерного распределения Вартанова студня (желеобразное вещество вокруг сосудов пуповины) для обеспечения пережатия сосудов пуповины. Механизм замка должен обеспечивать прочность зажима и необратимо удерживать бранши в закрытом состоянии.</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250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2</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Браслет для новорожденных</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Браслет для фиксации на ручках малыша, розовый, должен быть в комплекте с идентификационным медальоном и с устройством для крепления к кровати, в стерильной индивидуальной упаковке. Размеры: браслет - ширина не более 170мм, длина не менее 24 мм, медальон -  ширина не менее 120мм, длина не менее 90 мм, атравматичная застежка на браслете, в браслетах и медальоне – наличие встроенной полоски для записи данных (ФИО матери, номер отделения ).</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250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3</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Браслет для новорожденных</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Браслет для фиксации на ручках малыша, голубой, должен быть в комплекте с идентификационным медальоном и с устройством для крепления к кровати, в стерильной индивидуальной упаковке. Размеры: браслет - ширина не более 170мм, длина не менее 24 мм, медальон -  ширина не менее 120мм длина не менее 90 мм, атравматичная застежка на браслете, в браслетах и медальоне – наличие встроенной полоски для записи данных (ФИО матери, номер отделения ).</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250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4</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bCs/>
                <w:sz w:val="20"/>
                <w:szCs w:val="20"/>
                <w:lang w:eastAsia="ar-SA"/>
              </w:rPr>
            </w:pPr>
            <w:r w:rsidRPr="009328D2">
              <w:rPr>
                <w:rFonts w:ascii="Times New Roman" w:eastAsia="Times New Roman" w:hAnsi="Times New Roman" w:cs="Times New Roman"/>
                <w:sz w:val="20"/>
                <w:szCs w:val="20"/>
                <w:lang w:eastAsia="ar-SA"/>
              </w:rPr>
              <w:t xml:space="preserve">Пузырь для льда </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pacing w:after="0" w:line="240" w:lineRule="auto"/>
              <w:ind w:left="57"/>
              <w:jc w:val="both"/>
              <w:rPr>
                <w:rFonts w:ascii="Times New Roman" w:eastAsia="Times New Roman" w:hAnsi="Times New Roman" w:cs="Times New Roman"/>
                <w:sz w:val="20"/>
                <w:szCs w:val="20"/>
                <w:lang w:eastAsia="ar-SA"/>
              </w:rPr>
            </w:pPr>
            <w:r w:rsidRPr="009328D2">
              <w:rPr>
                <w:rFonts w:ascii="Times New Roman" w:eastAsia="Times New Roman" w:hAnsi="Times New Roman" w:cs="Times New Roman"/>
                <w:bCs/>
                <w:sz w:val="20"/>
                <w:szCs w:val="20"/>
                <w:lang w:eastAsia="ar-SA"/>
              </w:rPr>
              <w:t>Пузырь для льда резиновый</w:t>
            </w:r>
            <w:r w:rsidRPr="009328D2">
              <w:rPr>
                <w:rFonts w:ascii="Times New Roman" w:eastAsia="Times New Roman" w:hAnsi="Times New Roman" w:cs="Times New Roman"/>
                <w:sz w:val="20"/>
                <w:szCs w:val="20"/>
                <w:lang w:eastAsia="ar-SA"/>
              </w:rPr>
              <w:t xml:space="preserve"> в виде плоского блина с отверстием и завинчивающейся пробкой. Применение при кровотечениях, ушибах, укусах насекомых, для уменьшения болей в начальных стадиях острых воспалительных процессов. Диаметр не менее</w:t>
            </w:r>
            <w:r w:rsidRPr="009328D2">
              <w:rPr>
                <w:rFonts w:ascii="Times New Roman" w:eastAsia="Times New Roman" w:hAnsi="Times New Roman" w:cs="Times New Roman"/>
                <w:bCs/>
                <w:sz w:val="20"/>
                <w:szCs w:val="20"/>
                <w:lang w:eastAsia="ar-SA"/>
              </w:rPr>
              <w:t xml:space="preserve"> 200мм, объем не менее </w:t>
            </w:r>
            <w:r w:rsidRPr="009328D2">
              <w:rPr>
                <w:rFonts w:ascii="Times New Roman" w:eastAsia="Times New Roman" w:hAnsi="Times New Roman" w:cs="Times New Roman"/>
                <w:sz w:val="20"/>
                <w:szCs w:val="20"/>
                <w:lang w:eastAsia="ar-SA"/>
              </w:rPr>
              <w:t xml:space="preserve">700 </w:t>
            </w:r>
            <w:r w:rsidRPr="009328D2">
              <w:rPr>
                <w:rFonts w:ascii="Times New Roman" w:eastAsia="Times New Roman" w:hAnsi="Times New Roman" w:cs="Times New Roman"/>
                <w:bCs/>
                <w:sz w:val="20"/>
                <w:szCs w:val="20"/>
                <w:lang w:eastAsia="ar-SA"/>
              </w:rPr>
              <w:t>мл.</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5</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 xml:space="preserve">Катетер должен быть предназначен для интраоперационного превентивного применения и пост операционного применения при кесаревом сечении и для проведения тампонадного теста на ранних стадиях послеродовых кровотечений, продолжающихся после: ручного обследования полости матки и исключения остатков </w:t>
            </w:r>
            <w:r w:rsidRPr="009328D2">
              <w:rPr>
                <w:rFonts w:ascii="Times New Roman" w:eastAsia="Times New Roman" w:hAnsi="Times New Roman" w:cs="Times New Roman"/>
                <w:color w:val="000000"/>
                <w:sz w:val="20"/>
                <w:szCs w:val="20"/>
                <w:lang w:eastAsia="ar-SA"/>
              </w:rPr>
              <w:lastRenderedPageBreak/>
              <w:t>последа, проводимой внутривенной инфузии утеротонических препаратов, исключения кровотечения из разрывов родовых путей. Должен состоять из: - маточного катетера в комплекте с проводником; - резервуара объемом не менее 150 мл. с трубкой и клеммой. Каждая часть должна быть в отдельной стерильной упаковке.</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lastRenderedPageBreak/>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1</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6</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Амниотом</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autoSpaceDE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Применение для вскрытия плодного пузыря во время родов. Инструмент</w:t>
            </w:r>
          </w:p>
          <w:p w:rsidR="009328D2" w:rsidRPr="009328D2" w:rsidRDefault="009328D2" w:rsidP="009328D2">
            <w:pPr>
              <w:autoSpaceDE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позволяет вскрыть оболочки плодного пузыря при помощи острого крючка, находящегося на закругленном конце. Инструмент должен быть атравматичен для шейки матки и плода. Длина не менее 25 см. Индивидуальная упаковка.</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100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7</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Назначение: для краткосрочной катетеризации мочевого пузыря, стерильный, одноразовый. должен быть из прозрачного термопластичного имплантационно-нетоксичного поливинилхлорида. Имеет закрытый атравматичный дистальный конец с 2 боковыми отверстиями для адекватного дренирования мочи, коннектор катетера в виде конической воронки, универсальный, совместим с коннекторами переменного диаметра носимых и прикроватных мочеприемников. Диаметр внешний – 4.0мм, длина катетера не менее 18 см, не более 20см.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80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8</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 xml:space="preserve">катетер Нелатона женский стерильный, одноразовый, должен быть изготовлен из прозрачного термопластичного имплантационно-нетоксичного поливинилхлорида, иметь закрытый атравматичный дистальный конец с 2 боковыми отверстиями для дренирования мочи. Коннектор катетера имеет цветовую кодировку размера, представляет собой коническую воронку, совместим с коннекторами переменного диаметра носимых и прикроватных мочеприемников. Предназначен для краткосрочной катетеризации мочевого пузыря. </w:t>
            </w:r>
            <w:r w:rsidRPr="009328D2">
              <w:rPr>
                <w:rFonts w:ascii="Times New Roman" w:eastAsia="Times New Roman" w:hAnsi="Times New Roman" w:cs="Times New Roman"/>
                <w:color w:val="000000"/>
                <w:sz w:val="20"/>
                <w:szCs w:val="20"/>
                <w:lang w:eastAsia="ar-SA"/>
              </w:rPr>
              <w:t>Диаметр внешний – 4.7мм, длина катетера не менее 18 см, не более 20см.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50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9</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bCs/>
                <w:color w:val="000000"/>
                <w:sz w:val="20"/>
                <w:szCs w:val="20"/>
                <w:lang w:eastAsia="ar-SA"/>
              </w:rPr>
            </w:pPr>
            <w:r w:rsidRPr="009328D2">
              <w:rPr>
                <w:rFonts w:ascii="Times New Roman" w:eastAsia="Times New Roman" w:hAnsi="Times New Roman" w:cs="Times New Roman"/>
                <w:sz w:val="20"/>
                <w:szCs w:val="20"/>
                <w:lang w:eastAsia="ar-SA"/>
              </w:rPr>
              <w:t xml:space="preserve">Жгут венозный </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bCs/>
                <w:color w:val="000000"/>
                <w:sz w:val="20"/>
                <w:szCs w:val="20"/>
                <w:lang w:eastAsia="ar-SA"/>
              </w:rPr>
              <w:t>Жгут для внутривенных манипуляций взрослый</w:t>
            </w:r>
            <w:r w:rsidRPr="009328D2">
              <w:rPr>
                <w:rFonts w:ascii="Times New Roman" w:eastAsia="Times New Roman" w:hAnsi="Times New Roman" w:cs="Times New Roman"/>
                <w:color w:val="000000"/>
                <w:sz w:val="20"/>
                <w:szCs w:val="20"/>
                <w:lang w:eastAsia="ar-SA"/>
              </w:rPr>
              <w:t>, нестерильный, для многоразового использования. Лента жгута должна быть изготовлена из прорезиненной ткани, длина ленты, не менее 38 см, ширина, не менее 2см не более 3 см. Свободный конец ленты должен быть снабжен заглушкой, препятствующей выскальзыванию ленты из замка при регулировке длины окружности петли. Возможность обработки жгута дезинфицирующими средствами, содержащими производные алкиламидов, гуандина, спирты, альдегиды, с последующим полосканием в чистой воде и высушиванием.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25</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10</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pacing w:after="0" w:line="240" w:lineRule="auto"/>
              <w:ind w:left="57"/>
              <w:rPr>
                <w:rFonts w:ascii="Calibri" w:eastAsia="Calibri" w:hAnsi="Calibri" w:cs="Calibri"/>
                <w:sz w:val="20"/>
                <w:lang w:eastAsia="ar-SA"/>
              </w:rPr>
            </w:pPr>
            <w:r w:rsidRPr="009328D2">
              <w:rPr>
                <w:rFonts w:ascii="Times New Roman" w:eastAsia="Calibri" w:hAnsi="Times New Roman" w:cs="Times New Roman"/>
                <w:sz w:val="20"/>
                <w:szCs w:val="20"/>
                <w:lang w:eastAsia="ar-SA"/>
              </w:rPr>
              <w:t>Пупочный катетер стерильный, одноразовый, должен быть из термопластичного прозрачного имплантационно-нетоксичный ПВХ, без фталатов, с инкапсулированной  рентгеноконтрастной полосой. Закругленный атравматичный носик должен быть с одним торцевым отверстием, несмываемая маркировка длины через каждые 50 мм. Коннектор с замком Луер, цветовая кодировка. Внутренний диаметр 0.9мм,  длина не менее 50 см.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11</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pacing w:after="0" w:line="240" w:lineRule="auto"/>
              <w:ind w:left="57"/>
              <w:rPr>
                <w:rFonts w:ascii="Calibri" w:eastAsia="Calibri" w:hAnsi="Calibri" w:cs="Calibri"/>
                <w:sz w:val="20"/>
                <w:lang w:eastAsia="ar-SA"/>
              </w:rPr>
            </w:pPr>
            <w:r w:rsidRPr="009328D2">
              <w:rPr>
                <w:rFonts w:ascii="Times New Roman" w:eastAsia="Calibri" w:hAnsi="Times New Roman" w:cs="Times New Roman"/>
                <w:sz w:val="20"/>
                <w:szCs w:val="20"/>
                <w:lang w:eastAsia="ar-SA"/>
              </w:rPr>
              <w:t>Пупочный катетер стерильный, одноразовый, должен быть из термопластичного прозрачного имплантационно-нетоксичный ПВХ, без фталатов, с инкапсулированной  рентгеноконтрастной полосой. Закругленный атравматичный носик должен быть с одним торцевым отверстием, несмываемая маркировка длины через каждые 50 мм. Коннектор с замком Луер, цветовая кодировка. Внутренний диаметр 1.1мм,  длина не менее 50 см.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12</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Катетер</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Пупочный катетер стерильный, одноразовый, должен быть из термопластичного прозрачного имплантационно-нетоксичный ПВХ, без фталатов, с инкапсулированной  рентгеноконтрастной полосой. Закругленный атравматичный носик должен быть с одним торцевым отверстием, несмываемая маркировка длины через каждые 50 мм. Коннектор с замком Луер, цветовая кодировка. Внутренний диаметр 1.7мм,  длина не менее 50 см.</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20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13</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Переходник</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 xml:space="preserve">Переходник - аспиратор для трахеальной аспирации, однкратного применения. Коннектор 15 мм,  возможность прямого подключения к эндотрахеальной трубке. Подключается к стандартному аспирационному катетеру для аспирации мекония из ротовой </w:t>
            </w:r>
            <w:r w:rsidRPr="009328D2">
              <w:rPr>
                <w:rFonts w:ascii="Times New Roman" w:eastAsia="Times New Roman" w:hAnsi="Times New Roman" w:cs="Times New Roman"/>
                <w:color w:val="000000"/>
                <w:sz w:val="20"/>
                <w:szCs w:val="20"/>
                <w:lang w:eastAsia="ar-SA"/>
              </w:rPr>
              <w:lastRenderedPageBreak/>
              <w:t>полости и ротоглотки. Для аспирационных трубок с размерами: минимальное значение не менее 7мм, максимальное значение менее 10 мм. Воронкообразный коннектор для подключения санационного катетера. Пальцевый клапан, материал поликарбонат.  Индивидуальная стерильная упаковка.</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lastRenderedPageBreak/>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10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14</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Канюля</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Кислородная носовая, для недоношенных детей. Трубка - со звездчатым строением, неперекручивающимся и неперегибаемым при сдавливании. Назальная часть - прямая. Материал канюли – силикон. Длина трубки не менее 2,1м. С одной стороны трубки - петля с возможностью корректировки по размеру головы с помощью фиксатора, с другой  - коннектор. Возможность присоединения к флоуметру без использования адаптеров. Процентное насыщение кислородом (FiO2): 1 л/мин - 24%; 2л/мин - 28%; 3 л/мин - 32%; 4 л/мин - 36%; 5 л/мин - 40%; 6 л/мин - 44%. Максимальный поток дыхательной смеси - не более 6 л/мин.</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50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Calibri" w:hAnsi="Times New Roman" w:cs="Times New Roman"/>
                <w:sz w:val="20"/>
                <w:szCs w:val="20"/>
                <w:lang w:eastAsia="ar-SA"/>
              </w:rPr>
            </w:pPr>
            <w:r w:rsidRPr="009328D2">
              <w:rPr>
                <w:rFonts w:ascii="Times New Roman" w:eastAsia="Times New Roman" w:hAnsi="Times New Roman" w:cs="Times New Roman"/>
                <w:sz w:val="20"/>
                <w:szCs w:val="20"/>
                <w:lang w:eastAsia="ar-SA"/>
              </w:rPr>
              <w:t>15</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Calibri" w:hAnsi="Times New Roman" w:cs="Times New Roman"/>
                <w:sz w:val="20"/>
                <w:szCs w:val="20"/>
                <w:lang w:eastAsia="ar-SA"/>
              </w:rPr>
            </w:pPr>
            <w:r w:rsidRPr="009328D2">
              <w:rPr>
                <w:rFonts w:ascii="Times New Roman" w:eastAsia="Calibri" w:hAnsi="Times New Roman" w:cs="Times New Roman"/>
                <w:sz w:val="20"/>
                <w:szCs w:val="20"/>
                <w:lang w:eastAsia="ar-SA"/>
              </w:rPr>
              <w:t>Распылитель</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ind w:left="57"/>
              <w:rPr>
                <w:rFonts w:ascii="Times New Roman" w:eastAsia="Times New Roman" w:hAnsi="Times New Roman" w:cs="Times New Roman"/>
                <w:sz w:val="20"/>
                <w:szCs w:val="20"/>
                <w:lang w:eastAsia="ar-SA"/>
              </w:rPr>
            </w:pPr>
            <w:r w:rsidRPr="009328D2">
              <w:rPr>
                <w:rFonts w:ascii="Times New Roman" w:eastAsia="Calibri" w:hAnsi="Times New Roman" w:cs="Times New Roman"/>
                <w:sz w:val="20"/>
                <w:szCs w:val="20"/>
                <w:lang w:eastAsia="ar-SA"/>
              </w:rPr>
              <w:t xml:space="preserve">Распылитель лекарственных средств в виде растворов, суспензий, протеиновых препаратов, возможность применения у всех возрастных категорий пациентов: взрослые, дети, новорожденные. Небулайзер генерирует аэрозоль с помощью микропомпы . Небулайзер, работающий на ультразвуковой частоте – наличие. Сохранение герметичности дыхательного контура во время заполнения небулайзера лекарственным средством. Небулайзер не должен нагревать лекарственное средство, не должен добавлять поток и давление в интерфейс пациента. </w:t>
            </w:r>
            <w:r w:rsidRPr="009328D2">
              <w:rPr>
                <w:rFonts w:ascii="Times New Roman" w:eastAsia="Times New Roman" w:hAnsi="Times New Roman" w:cs="Times New Roman"/>
                <w:sz w:val="20"/>
                <w:szCs w:val="20"/>
                <w:lang w:eastAsia="ar-SA"/>
              </w:rPr>
              <w:t>Скорость потока:</w:t>
            </w:r>
            <w:r w:rsidRPr="009328D2">
              <w:rPr>
                <w:rFonts w:ascii="Times New Roman" w:eastAsia="Calibri" w:hAnsi="Times New Roman" w:cs="Times New Roman"/>
                <w:sz w:val="20"/>
                <w:szCs w:val="20"/>
                <w:lang w:eastAsia="ar-SA"/>
              </w:rPr>
              <w:t xml:space="preserve"> н</w:t>
            </w:r>
            <w:r w:rsidRPr="009328D2">
              <w:rPr>
                <w:rFonts w:ascii="Times New Roman" w:eastAsia="Times New Roman" w:hAnsi="Times New Roman" w:cs="Times New Roman"/>
                <w:sz w:val="20"/>
                <w:szCs w:val="20"/>
                <w:lang w:eastAsia="ar-SA"/>
              </w:rPr>
              <w:t xml:space="preserve">е более 0,38 мл/мин. </w:t>
            </w:r>
            <w:r w:rsidRPr="009328D2">
              <w:rPr>
                <w:rFonts w:ascii="Times New Roman" w:eastAsia="Calibri" w:hAnsi="Times New Roman" w:cs="Times New Roman"/>
                <w:sz w:val="20"/>
                <w:szCs w:val="20"/>
                <w:lang w:eastAsia="ar-SA"/>
              </w:rPr>
              <w:t xml:space="preserve">Емкость небулайзера для лекарственного средства, не более 6 мл, среднемассовый размер капель аэрозоля  не более 3,1 мкм. </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5</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16</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Лезвие</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Лезвие для скальпеля стерильное, одноразовое, должно быть из нержавеющей стали, лазерный контроль заточки и полировка режущего края лезвия. Индивидуальная упаковка-блистер. Размер: G 22</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600</w:t>
            </w:r>
          </w:p>
        </w:tc>
      </w:tr>
      <w:tr w:rsidR="009328D2" w:rsidRPr="009328D2" w:rsidTr="00E509D9">
        <w:tc>
          <w:tcPr>
            <w:tcW w:w="425"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17</w:t>
            </w:r>
          </w:p>
        </w:tc>
        <w:tc>
          <w:tcPr>
            <w:tcW w:w="1701"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rPr>
                <w:rFonts w:ascii="Times New Roman" w:eastAsia="Times New Roman" w:hAnsi="Times New Roman" w:cs="Times New Roman"/>
                <w:color w:val="000000"/>
                <w:sz w:val="20"/>
                <w:szCs w:val="20"/>
                <w:lang w:eastAsia="ar-SA"/>
              </w:rPr>
            </w:pPr>
            <w:r w:rsidRPr="009328D2">
              <w:rPr>
                <w:rFonts w:ascii="Times New Roman" w:eastAsia="Times New Roman" w:hAnsi="Times New Roman" w:cs="Times New Roman"/>
                <w:sz w:val="20"/>
                <w:szCs w:val="20"/>
                <w:lang w:eastAsia="ar-SA"/>
              </w:rPr>
              <w:t>Скальпель</w:t>
            </w:r>
          </w:p>
        </w:tc>
        <w:tc>
          <w:tcPr>
            <w:tcW w:w="5959"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napToGrid w:val="0"/>
              <w:spacing w:after="0" w:line="240" w:lineRule="auto"/>
              <w:ind w:left="57"/>
              <w:rPr>
                <w:rFonts w:ascii="Times New Roman" w:eastAsia="Times New Roman" w:hAnsi="Times New Roman" w:cs="Times New Roman"/>
                <w:sz w:val="20"/>
                <w:szCs w:val="20"/>
                <w:lang w:eastAsia="ar-SA"/>
              </w:rPr>
            </w:pPr>
            <w:r w:rsidRPr="009328D2">
              <w:rPr>
                <w:rFonts w:ascii="Times New Roman" w:eastAsia="Times New Roman" w:hAnsi="Times New Roman" w:cs="Times New Roman"/>
                <w:color w:val="000000"/>
                <w:sz w:val="20"/>
                <w:szCs w:val="20"/>
                <w:lang w:eastAsia="ar-SA"/>
              </w:rPr>
              <w:t>Стерильный, одноразовый, ручка должна быть изготовлена из полистирола, лезвие из нержавеющей стали. На рукоятке скальпеля должна быть нанесена измерительная линейка: минимальное значение не более 0см максимальное значение не менее 5 см, с ценой деления 1 мм, маркировка направления сдвига защитного чехла в виде стрелок, с другой стороны - номер лезвия. Лезвие должно быть защищено сдвижным пластиковым чехлом с противоскользящим рельефом, клавишей для сдвигания чехла перед началом работы и боковой кнопкой его блокировки для безопасной утилизации скальпеля. Лазерный контроль заточки и полировка режущего края лезвия. На лезвии должно быть. Размер: G 23</w:t>
            </w:r>
          </w:p>
        </w:tc>
        <w:tc>
          <w:tcPr>
            <w:tcW w:w="992" w:type="dxa"/>
            <w:tcBorders>
              <w:top w:val="single" w:sz="4" w:space="0" w:color="000000"/>
              <w:left w:val="single" w:sz="4" w:space="0" w:color="000000"/>
              <w:bottom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0"/>
                <w:szCs w:val="20"/>
                <w:lang w:eastAsia="ar-SA"/>
              </w:rPr>
            </w:pPr>
            <w:r w:rsidRPr="009328D2">
              <w:rPr>
                <w:rFonts w:ascii="Times New Roman" w:eastAsia="Times New Roman" w:hAnsi="Times New Roman" w:cs="Times New Roman"/>
                <w:sz w:val="20"/>
                <w:szCs w:val="20"/>
                <w:lang w:eastAsia="ar-SA"/>
              </w:rPr>
              <w:t>штука</w:t>
            </w:r>
          </w:p>
        </w:tc>
        <w:tc>
          <w:tcPr>
            <w:tcW w:w="860" w:type="dxa"/>
            <w:tcBorders>
              <w:top w:val="single" w:sz="4" w:space="0" w:color="000000"/>
              <w:left w:val="single" w:sz="4" w:space="0" w:color="000000"/>
              <w:bottom w:val="single" w:sz="4" w:space="0" w:color="000000"/>
              <w:right w:val="single" w:sz="4" w:space="0" w:color="000000"/>
            </w:tcBorders>
            <w:shd w:val="clear" w:color="auto" w:fill="auto"/>
          </w:tcPr>
          <w:p w:rsidR="009328D2" w:rsidRPr="009328D2" w:rsidRDefault="009328D2" w:rsidP="009328D2">
            <w:pPr>
              <w:suppressAutoHyphens/>
              <w:spacing w:after="0" w:line="240" w:lineRule="auto"/>
              <w:jc w:val="center"/>
              <w:rPr>
                <w:rFonts w:ascii="Times New Roman" w:eastAsia="Times New Roman" w:hAnsi="Times New Roman" w:cs="Times New Roman"/>
                <w:sz w:val="24"/>
                <w:szCs w:val="20"/>
                <w:lang w:eastAsia="ar-SA"/>
              </w:rPr>
            </w:pPr>
            <w:r w:rsidRPr="009328D2">
              <w:rPr>
                <w:rFonts w:ascii="Times New Roman" w:eastAsia="Times New Roman" w:hAnsi="Times New Roman" w:cs="Times New Roman"/>
                <w:sz w:val="20"/>
                <w:szCs w:val="20"/>
                <w:lang w:eastAsia="ar-SA"/>
              </w:rPr>
              <w:t>600</w:t>
            </w:r>
          </w:p>
        </w:tc>
      </w:tr>
    </w:tbl>
    <w:p w:rsidR="000C0033" w:rsidRDefault="000C0033" w:rsidP="003B6B51">
      <w:pPr>
        <w:tabs>
          <w:tab w:val="left" w:pos="3795"/>
        </w:tabs>
        <w:rPr>
          <w:b/>
        </w:rPr>
      </w:pPr>
    </w:p>
    <w:p w:rsidR="003B6B51" w:rsidRDefault="003B6B51" w:rsidP="003B6B51">
      <w:pPr>
        <w:tabs>
          <w:tab w:val="left" w:pos="3795"/>
        </w:tabs>
        <w:rPr>
          <w:b/>
        </w:rPr>
      </w:pPr>
    </w:p>
    <w:p w:rsidR="003B6B51" w:rsidRDefault="003B6B51" w:rsidP="003B6B51">
      <w:pPr>
        <w:tabs>
          <w:tab w:val="left" w:pos="3795"/>
        </w:tabs>
        <w:rPr>
          <w:b/>
        </w:rPr>
      </w:pPr>
    </w:p>
    <w:p w:rsidR="003B6B51" w:rsidRPr="003B6B51" w:rsidRDefault="003B6B51" w:rsidP="003B6B51">
      <w:pPr>
        <w:jc w:val="center"/>
        <w:rPr>
          <w:b/>
        </w:rPr>
      </w:pPr>
    </w:p>
    <w:p w:rsidR="00044B34" w:rsidRPr="003B6B51" w:rsidRDefault="00044B34"/>
    <w:p w:rsidR="000A42FF" w:rsidRDefault="000A42FF" w:rsidP="000A42FF">
      <w:pPr>
        <w:tabs>
          <w:tab w:val="left" w:pos="3780"/>
        </w:tabs>
        <w:jc w:val="both"/>
        <w:rPr>
          <w:sz w:val="24"/>
          <w:szCs w:val="24"/>
        </w:rPr>
      </w:pPr>
    </w:p>
    <w:p w:rsidR="000A42FF" w:rsidRDefault="000A42FF" w:rsidP="000A42FF">
      <w:pPr>
        <w:tabs>
          <w:tab w:val="left" w:pos="3780"/>
        </w:tabs>
        <w:jc w:val="both"/>
        <w:rPr>
          <w:sz w:val="24"/>
          <w:szCs w:val="24"/>
        </w:rPr>
      </w:pPr>
    </w:p>
    <w:p w:rsidR="000A42FF" w:rsidRDefault="000A42FF" w:rsidP="000A42FF">
      <w:pPr>
        <w:tabs>
          <w:tab w:val="left" w:pos="3780"/>
        </w:tabs>
        <w:jc w:val="both"/>
        <w:rPr>
          <w:sz w:val="24"/>
          <w:szCs w:val="24"/>
        </w:rPr>
      </w:pPr>
    </w:p>
    <w:p w:rsidR="000A42FF" w:rsidRDefault="000A42FF" w:rsidP="000A42FF">
      <w:pPr>
        <w:tabs>
          <w:tab w:val="left" w:pos="3780"/>
        </w:tabs>
        <w:jc w:val="both"/>
        <w:rPr>
          <w:sz w:val="24"/>
          <w:szCs w:val="24"/>
        </w:rPr>
      </w:pPr>
    </w:p>
    <w:p w:rsidR="000A42FF" w:rsidRDefault="000A42FF" w:rsidP="000A42FF">
      <w:pPr>
        <w:tabs>
          <w:tab w:val="left" w:pos="3780"/>
        </w:tabs>
        <w:jc w:val="both"/>
        <w:rPr>
          <w:sz w:val="24"/>
          <w:szCs w:val="24"/>
        </w:rPr>
      </w:pPr>
    </w:p>
    <w:p w:rsidR="00280696" w:rsidRPr="009328D2" w:rsidRDefault="00280696" w:rsidP="009328D2">
      <w:pPr>
        <w:tabs>
          <w:tab w:val="left" w:pos="4710"/>
        </w:tabs>
        <w:rPr>
          <w:sz w:val="24"/>
          <w:szCs w:val="24"/>
        </w:rPr>
      </w:pPr>
      <w:bookmarkStart w:id="0" w:name="_GoBack"/>
      <w:bookmarkEnd w:id="0"/>
    </w:p>
    <w:sectPr w:rsidR="00280696" w:rsidRPr="009328D2" w:rsidSect="00044B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B34" w:rsidRDefault="00044B34" w:rsidP="00044B34">
      <w:pPr>
        <w:spacing w:after="0" w:line="240" w:lineRule="auto"/>
      </w:pPr>
      <w:r>
        <w:separator/>
      </w:r>
    </w:p>
  </w:endnote>
  <w:endnote w:type="continuationSeparator" w:id="0">
    <w:p w:rsidR="00044B34" w:rsidRDefault="00044B34" w:rsidP="0004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B34" w:rsidRDefault="00044B34" w:rsidP="00044B34">
      <w:pPr>
        <w:spacing w:after="0" w:line="240" w:lineRule="auto"/>
      </w:pPr>
      <w:r>
        <w:separator/>
      </w:r>
    </w:p>
  </w:footnote>
  <w:footnote w:type="continuationSeparator" w:id="0">
    <w:p w:rsidR="00044B34" w:rsidRDefault="00044B34" w:rsidP="00044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B43B1"/>
    <w:multiLevelType w:val="hybridMultilevel"/>
    <w:tmpl w:val="87C06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D1FE5"/>
    <w:multiLevelType w:val="hybridMultilevel"/>
    <w:tmpl w:val="727692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4F36291"/>
    <w:multiLevelType w:val="multilevel"/>
    <w:tmpl w:val="34F61C6C"/>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6F835401"/>
    <w:multiLevelType w:val="multilevel"/>
    <w:tmpl w:val="E0EE93FA"/>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34"/>
    <w:rsid w:val="00010482"/>
    <w:rsid w:val="00040548"/>
    <w:rsid w:val="00044B34"/>
    <w:rsid w:val="000A42FF"/>
    <w:rsid w:val="000C0033"/>
    <w:rsid w:val="00113748"/>
    <w:rsid w:val="002162FE"/>
    <w:rsid w:val="00280696"/>
    <w:rsid w:val="003B6B51"/>
    <w:rsid w:val="00495769"/>
    <w:rsid w:val="00516ABB"/>
    <w:rsid w:val="00722E5D"/>
    <w:rsid w:val="00931780"/>
    <w:rsid w:val="009328D2"/>
    <w:rsid w:val="00BE4C10"/>
    <w:rsid w:val="00C91C89"/>
    <w:rsid w:val="00EA585B"/>
    <w:rsid w:val="00F67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71A18-4BE8-417A-8D82-7B6C766D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B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44B34"/>
  </w:style>
  <w:style w:type="paragraph" w:styleId="a5">
    <w:name w:val="footer"/>
    <w:basedOn w:val="a"/>
    <w:link w:val="a6"/>
    <w:uiPriority w:val="99"/>
    <w:unhideWhenUsed/>
    <w:rsid w:val="00044B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4B34"/>
  </w:style>
  <w:style w:type="character" w:styleId="a7">
    <w:name w:val="Hyperlink"/>
    <w:basedOn w:val="a0"/>
    <w:uiPriority w:val="99"/>
    <w:unhideWhenUsed/>
    <w:rsid w:val="00C91C89"/>
    <w:rPr>
      <w:color w:val="0563C1" w:themeColor="hyperlink"/>
      <w:u w:val="single"/>
    </w:rPr>
  </w:style>
  <w:style w:type="paragraph" w:styleId="a8">
    <w:name w:val="List Paragraph"/>
    <w:basedOn w:val="a"/>
    <w:uiPriority w:val="34"/>
    <w:qFormat/>
    <w:rsid w:val="00931780"/>
    <w:pPr>
      <w:ind w:left="720"/>
      <w:contextualSpacing/>
    </w:pPr>
  </w:style>
  <w:style w:type="paragraph" w:customStyle="1" w:styleId="a9">
    <w:name w:val="Содержимое таблицы"/>
    <w:basedOn w:val="a"/>
    <w:uiPriority w:val="99"/>
    <w:rsid w:val="00010482"/>
    <w:pPr>
      <w:widowControl w:val="0"/>
      <w:suppressLineNumbers/>
      <w:suppressAutoHyphens/>
      <w:spacing w:after="0" w:line="240" w:lineRule="auto"/>
    </w:pPr>
    <w:rPr>
      <w:rFonts w:ascii="Times New Roman" w:eastAsia="Arial Unicode MS" w:hAnsi="Times New Roman" w:cs="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permerd@giperme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C236-8007-40E7-AAED-9AED2DD1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1342</Words>
  <Characters>7651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2016-08-04T11:18:00Z</dcterms:created>
  <dcterms:modified xsi:type="dcterms:W3CDTF">2016-08-04T11:18:00Z</dcterms:modified>
</cp:coreProperties>
</file>