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151515"/>
  <w:body>
    <w:p w:rsidR="00000000" w:rsidDel="00000000" w:rsidP="00000000" w:rsidRDefault="00000000" w:rsidRPr="00000000" w14:paraId="00000001">
      <w:pPr>
        <w:spacing w:after="200" w:lineRule="auto"/>
        <w:ind w:left="0" w:firstLine="0"/>
        <w:jc w:val="center"/>
        <w:rPr>
          <w:rFonts w:ascii="Bebas Neue" w:cs="Bebas Neue" w:eastAsia="Bebas Neue" w:hAnsi="Bebas Neue"/>
          <w:color w:val="ffffff"/>
          <w:sz w:val="72"/>
          <w:szCs w:val="72"/>
          <w:shd w:fill="ec1d24" w:val="clear"/>
        </w:rPr>
      </w:pPr>
      <w:r w:rsidDel="00000000" w:rsidR="00000000" w:rsidRPr="00000000">
        <w:rPr>
          <w:rFonts w:ascii="Bebas Neue" w:cs="Bebas Neue" w:eastAsia="Bebas Neue" w:hAnsi="Bebas Neue"/>
          <w:color w:val="ffffff"/>
          <w:sz w:val="72"/>
          <w:szCs w:val="72"/>
          <w:rtl w:val="0"/>
        </w:rPr>
        <w:t xml:space="preserve">Sistema de EQUIPAMIENTO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Montserrat" w:cs="Montserrat" w:eastAsia="Montserrat" w:hAnsi="Montserrat"/>
          <w:b w:val="1"/>
          <w:color w:val="ffffff"/>
        </w:rPr>
      </w:pPr>
      <w:r w:rsidDel="00000000" w:rsidR="00000000" w:rsidRPr="00000000">
        <w:rPr>
          <w:rFonts w:ascii="Bebas Neue" w:cs="Bebas Neue" w:eastAsia="Bebas Neue" w:hAnsi="Bebas Neue"/>
          <w:b w:val="1"/>
          <w:color w:val="ffffff"/>
          <w:shd w:fill="af3535" w:val="clear"/>
          <w:rtl w:val="0"/>
        </w:rPr>
        <w:t xml:space="preserve"> </w:t>
      </w:r>
      <w:r w:rsidDel="00000000" w:rsidR="00000000" w:rsidRPr="00000000">
        <w:rPr>
          <w:rFonts w:ascii="Bebas Neue" w:cs="Bebas Neue" w:eastAsia="Bebas Neue" w:hAnsi="Bebas Neue"/>
          <w:color w:val="ffffff"/>
          <w:shd w:fill="af3535" w:val="clear"/>
          <w:rtl w:val="0"/>
        </w:rPr>
        <w:t xml:space="preserve">Introducción</w:t>
      </w:r>
      <w:r w:rsidDel="00000000" w:rsidR="00000000" w:rsidRPr="00000000">
        <w:rPr>
          <w:rFonts w:ascii="Bebas Neue" w:cs="Bebas Neue" w:eastAsia="Bebas Neue" w:hAnsi="Bebas Neue"/>
          <w:b w:val="1"/>
          <w:color w:val="ffffff"/>
          <w:shd w:fill="af3535" w:val="clear"/>
          <w:rtl w:val="0"/>
        </w:rPr>
        <w:t xml:space="preserve"> </w:t>
      </w:r>
      <w:r w:rsidDel="00000000" w:rsidR="00000000" w:rsidRPr="00000000">
        <w:rPr>
          <w:rFonts w:ascii="Bebas Neue" w:cs="Bebas Neue" w:eastAsia="Bebas Neue" w:hAnsi="Bebas Neue"/>
          <w:b w:val="1"/>
          <w:color w:val="ffffff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En el Universo Marvel existe una amplia gama de parafernalias equipables en combate. Este sistema regula su interacción con el aspecto RPG, limitando la capacidad de equipación de los jugadores.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Bebas Neue" w:cs="Bebas Neue" w:eastAsia="Bebas Neue" w:hAnsi="Bebas Neue"/>
          <w:b w:val="1"/>
          <w:color w:val="ffffff"/>
          <w:shd w:fill="af3535" w:val="clear"/>
          <w:rtl w:val="0"/>
        </w:rPr>
        <w:t xml:space="preserve"> </w:t>
      </w:r>
      <w:r w:rsidDel="00000000" w:rsidR="00000000" w:rsidRPr="00000000">
        <w:rPr>
          <w:rFonts w:ascii="Bebas Neue" w:cs="Bebas Neue" w:eastAsia="Bebas Neue" w:hAnsi="Bebas Neue"/>
          <w:color w:val="ffffff"/>
          <w:shd w:fill="af3535" w:val="clear"/>
          <w:rtl w:val="0"/>
        </w:rPr>
        <w:t xml:space="preserve">1. reglas básicas ‎ </w:t>
      </w:r>
      <w:r w:rsidDel="00000000" w:rsidR="00000000" w:rsidRPr="00000000">
        <w:rPr>
          <w:rFonts w:ascii="Bebas Neue" w:cs="Bebas Neue" w:eastAsia="Bebas Neue" w:hAnsi="Bebas Neue"/>
          <w:color w:val="ffffff"/>
          <w:shd w:fill="434343" w:val="clear"/>
          <w:rtl w:val="0"/>
        </w:rPr>
        <w:t xml:space="preserve">‎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ind w:left="72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» 1.1.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Al inicio de un combate existen dos formas de equipar parafernalias: en caso de que sea un reto, permite equiparlas en </w:t>
      </w:r>
      <w:r w:rsidDel="00000000" w:rsidR="00000000" w:rsidRPr="00000000">
        <w:rPr>
          <w:rFonts w:ascii="Montserrat" w:cs="Montserrat" w:eastAsia="Montserrat" w:hAnsi="Montserrat"/>
          <w:i w:val="1"/>
          <w:color w:val="ffffff"/>
          <w:rtl w:val="0"/>
        </w:rPr>
        <w:t xml:space="preserve">ronda de preparación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y en caso de que sea un ataque fuera de combate, permite equiparlas </w:t>
      </w:r>
      <w:r w:rsidDel="00000000" w:rsidR="00000000" w:rsidRPr="00000000">
        <w:rPr>
          <w:rFonts w:ascii="Montserrat" w:cs="Montserrat" w:eastAsia="Montserrat" w:hAnsi="Montserrat"/>
          <w:i w:val="1"/>
          <w:color w:val="ffffff"/>
          <w:rtl w:val="0"/>
        </w:rPr>
        <w:t xml:space="preserve">tras el ataque o previo a defender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según sea el caso. En cualquier otro caso de unión, se equipa en la ronda de preparación junto a la unión. Cualquier equipación fuera de estos momentos consume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1 Punto de Acción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a excepción de si se indica lo contrario.</w:t>
      </w:r>
    </w:p>
    <w:p w:rsidR="00000000" w:rsidDel="00000000" w:rsidP="00000000" w:rsidRDefault="00000000" w:rsidRPr="00000000" w14:paraId="00000005">
      <w:pPr>
        <w:spacing w:after="200" w:lineRule="auto"/>
        <w:ind w:left="72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» 1.2.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Desequipar un objeto (</w:t>
      </w:r>
      <w:r w:rsidDel="00000000" w:rsidR="00000000" w:rsidRPr="00000000">
        <w:rPr>
          <w:rFonts w:ascii="Montserrat" w:cs="Montserrat" w:eastAsia="Montserrat" w:hAnsi="Montserrat"/>
          <w:i w:val="1"/>
          <w:color w:val="ffffff"/>
          <w:rtl w:val="0"/>
        </w:rPr>
        <w:t xml:space="preserve">arma, escudo, etcétera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) no consume puntos de acción. Desequipar una armadura consume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1 Punto de Acción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, a excepción de si esta lo ignora. En ninguno de estos casos cuenta para la duración de estados alterados.</w:t>
      </w:r>
    </w:p>
    <w:p w:rsidR="00000000" w:rsidDel="00000000" w:rsidP="00000000" w:rsidRDefault="00000000" w:rsidRPr="00000000" w14:paraId="00000006">
      <w:pPr>
        <w:spacing w:after="200" w:lineRule="auto"/>
        <w:ind w:left="72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» 1.3.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Equiparse con dos armas o con un arma de dos manos impide el uso de cualquier habilidad con los brazos que no esté relacionada a estas. </w:t>
      </w:r>
    </w:p>
    <w:p w:rsidR="00000000" w:rsidDel="00000000" w:rsidP="00000000" w:rsidRDefault="00000000" w:rsidRPr="00000000" w14:paraId="00000007">
      <w:pPr>
        <w:spacing w:after="200" w:lineRule="auto"/>
        <w:ind w:left="72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» 1.4.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El límite de parafernalias según el tipo es:</w:t>
      </w:r>
    </w:p>
    <w:p w:rsidR="00000000" w:rsidDel="00000000" w:rsidP="00000000" w:rsidRDefault="00000000" w:rsidRPr="00000000" w14:paraId="00000008">
      <w:pPr>
        <w:spacing w:after="0" w:lineRule="auto"/>
        <w:ind w:left="144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Armas: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Máximo un arma.</w:t>
      </w:r>
    </w:p>
    <w:p w:rsidR="00000000" w:rsidDel="00000000" w:rsidP="00000000" w:rsidRDefault="00000000" w:rsidRPr="00000000" w14:paraId="00000009">
      <w:pPr>
        <w:spacing w:after="0" w:lineRule="auto"/>
        <w:ind w:left="144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Armadura: 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Máximo una armadura.</w:t>
      </w:r>
    </w:p>
    <w:p w:rsidR="00000000" w:rsidDel="00000000" w:rsidP="00000000" w:rsidRDefault="00000000" w:rsidRPr="00000000" w14:paraId="0000000A">
      <w:pPr>
        <w:spacing w:after="0" w:lineRule="auto"/>
        <w:ind w:left="144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Traje: 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Máximo un traje.</w:t>
      </w:r>
    </w:p>
    <w:p w:rsidR="00000000" w:rsidDel="00000000" w:rsidP="00000000" w:rsidRDefault="00000000" w:rsidRPr="00000000" w14:paraId="0000000B">
      <w:pPr>
        <w:spacing w:after="0" w:lineRule="auto"/>
        <w:ind w:left="144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Accesorio: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Máximo dos accesorios.</w:t>
      </w:r>
    </w:p>
    <w:p w:rsidR="00000000" w:rsidDel="00000000" w:rsidP="00000000" w:rsidRDefault="00000000" w:rsidRPr="00000000" w14:paraId="0000000C">
      <w:pPr>
        <w:spacing w:after="0" w:lineRule="auto"/>
        <w:ind w:left="144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Artefacto mágico: 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Máximo un artefacto mágico.</w:t>
      </w:r>
    </w:p>
    <w:p w:rsidR="00000000" w:rsidDel="00000000" w:rsidP="00000000" w:rsidRDefault="00000000" w:rsidRPr="00000000" w14:paraId="0000000D">
      <w:pPr>
        <w:spacing w:after="200" w:lineRule="auto"/>
        <w:ind w:left="144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Vehículo: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Máximo un vehículo.</w:t>
      </w:r>
    </w:p>
    <w:p w:rsidR="00000000" w:rsidDel="00000000" w:rsidP="00000000" w:rsidRDefault="00000000" w:rsidRPr="00000000" w14:paraId="0000000E">
      <w:pPr>
        <w:spacing w:after="200" w:lineRule="auto"/>
        <w:ind w:left="72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» 1.5.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Los tipos de parafernalia son los siguientes:</w:t>
      </w:r>
    </w:p>
    <w:tbl>
      <w:tblPr>
        <w:tblStyle w:val="Table1"/>
        <w:tblW w:w="11385.0" w:type="dxa"/>
        <w:jc w:val="left"/>
        <w:tblInd w:w="170.0787401574803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9090"/>
        <w:tblGridChange w:id="0">
          <w:tblGrid>
            <w:gridCol w:w="2295"/>
            <w:gridCol w:w="9090"/>
          </w:tblGrid>
        </w:tblGridChange>
      </w:tblGrid>
      <w:tr>
        <w:trPr>
          <w:cantSplit w:val="0"/>
          <w:tblHeader w:val="0"/>
        </w:trPr>
        <w:tc>
          <w:tcPr>
            <w:shd w:fill="9c2020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</w:rPr>
              <w:drawing>
                <wp:inline distB="114300" distT="114300" distL="114300" distR="114300">
                  <wp:extent cx="1186837" cy="1115449"/>
                  <wp:effectExtent b="25400" l="25400" r="25400" t="2540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10852" r="1085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37" cy="1115449"/>
                          </a:xfrm>
                          <a:prstGeom prst="rect"/>
                          <a:ln w="25400">
                            <a:solidFill>
                              <a:srgbClr val="AF3535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2929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00" w:line="240" w:lineRule="auto"/>
              <w:jc w:val="both"/>
              <w:rPr>
                <w:rFonts w:ascii="Montserrat" w:cs="Montserrat" w:eastAsia="Montserrat" w:hAnsi="Montserrat"/>
                <w:b w:val="1"/>
                <w:color w:val="af353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af3535"/>
                <w:rtl w:val="0"/>
              </w:rPr>
              <w:t xml:space="preserve">ARMADURAS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Parafernalia suplementaria.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Parafernalia basada en el recubrimiento total de su usuario, dotándolo de capacidades físicas superiores y nuevas habilidades.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Limitaciones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Ciertas armaduras pueden tener tamaños mínimos de fisionomía para ser utilizados. No solapable con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Traje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9c2020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</w:rPr>
              <w:drawing>
                <wp:inline distB="114300" distT="114300" distL="114300" distR="114300">
                  <wp:extent cx="1186837" cy="1115449"/>
                  <wp:effectExtent b="25400" l="25400" r="25400" t="25400"/>
                  <wp:docPr id="10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0" l="14533" r="1453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37" cy="1115449"/>
                          </a:xfrm>
                          <a:prstGeom prst="rect"/>
                          <a:ln w="25400">
                            <a:solidFill>
                              <a:srgbClr val="AF3535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2929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00" w:line="240" w:lineRule="auto"/>
              <w:rPr>
                <w:rFonts w:ascii="Montserrat" w:cs="Montserrat" w:eastAsia="Montserrat" w:hAnsi="Montserrat"/>
                <w:b w:val="1"/>
                <w:color w:val="af353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af3535"/>
                <w:rtl w:val="0"/>
              </w:rPr>
              <w:t xml:space="preserve">TRAJES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Parafernalia suplementaria.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Parafernalia basada en el recubrimiento parcial del usuario, dotándolo de habilidades o capacidades según el tejido del mismo. Normalmente están relacionados a un símbolo o título.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Limitaciones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No solapable con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Armadura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9c2020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</w:rPr>
              <w:drawing>
                <wp:inline distB="114300" distT="114300" distL="114300" distR="114300">
                  <wp:extent cx="1186837" cy="1115449"/>
                  <wp:effectExtent b="25400" l="25400" r="25400" t="25400"/>
                  <wp:docPr id="9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9"/>
                          <a:srcRect b="39292" l="0" r="19179" t="3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37" cy="1115449"/>
                          </a:xfrm>
                          <a:prstGeom prst="rect"/>
                          <a:ln w="25400">
                            <a:solidFill>
                              <a:srgbClr val="AF3535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2929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00" w:line="240" w:lineRule="auto"/>
              <w:jc w:val="both"/>
              <w:rPr>
                <w:rFonts w:ascii="Montserrat" w:cs="Montserrat" w:eastAsia="Montserrat" w:hAnsi="Montserrat"/>
                <w:b w:val="1"/>
                <w:color w:val="af353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af3535"/>
                <w:rtl w:val="0"/>
              </w:rPr>
              <w:t xml:space="preserve">ARMAS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Parafernalia ofensiva/defensiva de diversos tipos (fuego, filo, contundente, etcétera).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Parafernalia comúnmente ofensiva junto a habilidades relacionadas a su tipo. Algunas pueden ser completamente defensivas, como un Escudo.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Limitaciones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Sólo un arma. En caso de poseer ambidiestro, incrementa el límite a dos.</w:t>
            </w:r>
          </w:p>
        </w:tc>
      </w:tr>
      <w:tr>
        <w:trPr>
          <w:cantSplit w:val="0"/>
          <w:tblHeader w:val="0"/>
        </w:trPr>
        <w:tc>
          <w:tcPr>
            <w:shd w:fill="9c2020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</w:rPr>
              <w:drawing>
                <wp:inline distB="114300" distT="114300" distL="114300" distR="114300">
                  <wp:extent cx="1186837" cy="1115449"/>
                  <wp:effectExtent b="25400" l="25400" r="25400" t="25400"/>
                  <wp:docPr id="1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0"/>
                          <a:srcRect b="12464" l="13567" r="36552" t="5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37" cy="1115449"/>
                          </a:xfrm>
                          <a:prstGeom prst="rect"/>
                          <a:ln w="25400">
                            <a:solidFill>
                              <a:srgbClr val="AF3535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2929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00" w:line="240" w:lineRule="auto"/>
              <w:jc w:val="both"/>
              <w:rPr>
                <w:rFonts w:ascii="Montserrat" w:cs="Montserrat" w:eastAsia="Montserrat" w:hAnsi="Montserrat"/>
                <w:b w:val="1"/>
                <w:color w:val="af353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af3535"/>
                <w:rtl w:val="0"/>
              </w:rPr>
              <w:t xml:space="preserve">ARTEFACTOS MÁGICOS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Parafernalia suplementaria de gran capacidad.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Parafernalia considerada un punto superior a los Accesorios. Poseen propiedades mágicas de gran nivel, lo que las vuelve altamente peligrosas.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Limitaciones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Sólo un artefacto mágico.</w:t>
            </w:r>
          </w:p>
        </w:tc>
      </w:tr>
      <w:tr>
        <w:trPr>
          <w:cantSplit w:val="0"/>
          <w:tblHeader w:val="0"/>
        </w:trPr>
        <w:tc>
          <w:tcPr>
            <w:shd w:fill="9c2020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</w:rPr>
              <w:drawing>
                <wp:inline distB="114300" distT="114300" distL="114300" distR="114300">
                  <wp:extent cx="1186837" cy="1115449"/>
                  <wp:effectExtent b="25400" l="25400" r="25400" t="25400"/>
                  <wp:docPr id="1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1"/>
                          <a:srcRect b="0" l="5427" r="542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37" cy="1115449"/>
                          </a:xfrm>
                          <a:prstGeom prst="rect"/>
                          <a:ln w="25400">
                            <a:solidFill>
                              <a:srgbClr val="AF3535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2929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00" w:line="240" w:lineRule="auto"/>
              <w:jc w:val="both"/>
              <w:rPr>
                <w:rFonts w:ascii="Montserrat" w:cs="Montserrat" w:eastAsia="Montserrat" w:hAnsi="Montserrat"/>
                <w:b w:val="1"/>
                <w:color w:val="af353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af3535"/>
                <w:rtl w:val="0"/>
              </w:rPr>
              <w:t xml:space="preserve">ACCESORIOS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Parafernalia suplementaria.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Parafernalia de múltiples efectos basada en la temática de la misma.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Limitaciones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Máximo dos accesorios. No es posible acumular accesorios si estos ocupan la misma parte del cuerpo.</w:t>
            </w:r>
          </w:p>
        </w:tc>
      </w:tr>
      <w:tr>
        <w:trPr>
          <w:cantSplit w:val="0"/>
          <w:tblHeader w:val="0"/>
        </w:trPr>
        <w:tc>
          <w:tcPr>
            <w:shd w:fill="9c2020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</w:rPr>
              <w:drawing>
                <wp:inline distB="114300" distT="114300" distL="114300" distR="114300">
                  <wp:extent cx="1186837" cy="1115449"/>
                  <wp:effectExtent b="25400" l="25400" r="25400" t="25400"/>
                  <wp:docPr id="7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2"/>
                          <a:srcRect b="0" l="17804" r="1780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37" cy="1115449"/>
                          </a:xfrm>
                          <a:prstGeom prst="rect"/>
                          <a:ln w="25400">
                            <a:solidFill>
                              <a:srgbClr val="AF3535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2929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00" w:line="240" w:lineRule="auto"/>
              <w:jc w:val="both"/>
              <w:rPr>
                <w:rFonts w:ascii="Montserrat" w:cs="Montserrat" w:eastAsia="Montserrat" w:hAnsi="Montserrat"/>
                <w:b w:val="1"/>
                <w:color w:val="af353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af3535"/>
                <w:rtl w:val="0"/>
              </w:rPr>
              <w:t xml:space="preserve">VEHÍCULOS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Parafernalia suplementaria.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Parafernalia basada en la mejora de los desplazamientos. Puede incluir habilidades extra.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rtl w:val="0"/>
              </w:rPr>
              <w:t xml:space="preserve">Limitaciones</w:t>
            </w:r>
            <w:r w:rsidDel="00000000" w:rsidR="00000000" w:rsidRPr="00000000">
              <w:rPr>
                <w:rFonts w:ascii="Montserrat" w:cs="Montserrat" w:eastAsia="Montserrat" w:hAnsi="Montserrat"/>
                <w:color w:val="ffffff"/>
                <w:rtl w:val="0"/>
              </w:rPr>
              <w:t xml:space="preserve">: Máximo un vehículo.</w:t>
            </w:r>
          </w:p>
        </w:tc>
      </w:tr>
    </w:tbl>
    <w:p w:rsidR="00000000" w:rsidDel="00000000" w:rsidP="00000000" w:rsidRDefault="00000000" w:rsidRPr="00000000" w14:paraId="0000002D">
      <w:pPr>
        <w:spacing w:after="200" w:lineRule="auto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ebas Neue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image" Target="media/image2.jpg"/><Relationship Id="rId12" Type="http://schemas.openxmlformats.org/officeDocument/2006/relationships/image" Target="media/image5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WdYmoiygqMTJfPMmb61YGtlhA==">CgMxLjA4AHIhMUpfV01ubHEybE1FRXBnaVFPbWVaeEQyS1dNZ3FqX21t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