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基於運動學模擬與數位雙生架構之 NC-Code 加工時間精準估測模組開發規畫報告</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第一章：產業背景與技術演進概述</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隨著全球製造業邁向工業 4.0，並逐步向 2026 年的智慧製造與自適應控制體系過渡，電腦數值控制（CNC）工具機的加工自動化已從早期的經驗法則，進化為高度依賴數據驅動與物理資訊介入的智慧系統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現代智慧工廠的生產排程、成本報價、資源分配與能耗管理中，加工時間的精準預估是一切生產決策與數位轉型的基石。然而，現階段業界普遍使用的時間預估系統，多半受限於純幾何解析的運算框架，導致預測時間與實體機台的實際運行時間存在巨大的落差。根據產業實測與學理論證，這種傳統估測方法所產生的「樂觀偏見（Optimistic Bias）」，其誤差範圍常高達 10% 至 40%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為突破此一技術瓶頸，建構一套基於「數位雙生（Digital Twin）」的加工時間估測模組已成為必然的發展方向。數位雙生技術的核心不僅在於視覺化的三維渲染，更在於底層物理行為、運動學（Kinematics）與動力學（Dynamics）的高保真度模擬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。數位雙生模型能夠在虛擬環境中，精確反映實體設備在極端操作條件下的行為特徵，進而實現預見性診斷與參數最佳化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。本報告旨在為一套輸入 NC-Code 即可精準預測加工時間（預期誤差收斂至 1%–8% 以內）的數位雙生模組，提供極其詳盡的系統架構規劃、核心演算法設計、以及物理資訊與數據驅動的深度技術解析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。本報告之規劃將全面涵蓋從前端指令解析、中介模型建構、運動學插補演算法，直至後端能耗與振動診斷的整合，確保所開發之模組能符合國際標準並具備高度之工業實用價值。</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第二章：現有技術框架之學理檢視與局限性分析</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在規劃次世代數位雙生模組之前，必須深刻剖析現有時間提取技術的結構性缺陷，方能對症下藥。現有技術框架主要建立在「基於 NC-code 解析的幾何路徑提取」與「理想化定速假設」兩大基礎上，雖然在邏輯上具備直觀性，但在面對高速精密切削時則顯得捉襟見肘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傳統幾何求和模型解析與實作邏輯</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傳統加工時間估測模組的運作流程始於 NC-code 的單節執行（Single Block Execution）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。系統透過高階程式語言（如 Python）撰寫的解析器，逐行讀取 G 碼指令，針對快速定位（G00）、直線切削（G01）、以及圓弧插補（G02/G03）進行空間座標的提取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。在路徑處理上，傳統模型透過計算每一段指令的空間歐幾里德距離，並套用基礎的運動學公式進行時間估算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。其總時間的計算數學模型如下：</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620921" cy="846902"/>
            <wp:effectExtent b="0" l="0" r="0" t="0"/>
            <wp:docPr id="3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620921" cy="84690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在此公式中，</w:t>
      </w:r>
      <w:r w:rsidDel="00000000" w:rsidR="00000000" w:rsidRPr="00000000">
        <w:rPr>
          <w:rFonts w:ascii="Google Sans" w:cs="Google Sans" w:eastAsia="Google Sans" w:hAnsi="Google Sans"/>
          <w:color w:val="1f1f1f"/>
        </w:rPr>
        <w:drawing>
          <wp:inline distB="19050" distT="19050" distL="19050" distR="19050">
            <wp:extent cx="607072" cy="231564"/>
            <wp:effectExtent b="0" l="0" r="0" t="0"/>
            <wp:docPr id="35"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607072" cy="231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代表該指令段在三維空間中的位移量，</w:t>
      </w:r>
      <w:r w:rsidDel="00000000" w:rsidR="00000000" w:rsidRPr="00000000">
        <w:rPr>
          <w:rFonts w:ascii="Google Sans" w:cs="Google Sans" w:eastAsia="Google Sans" w:hAnsi="Google Sans"/>
          <w:color w:val="1f1f1f"/>
        </w:rPr>
        <w:drawing>
          <wp:inline distB="19050" distT="19050" distL="19050" distR="19050">
            <wp:extent cx="172371" cy="236212"/>
            <wp:effectExtent b="0" l="0" r="0" t="0"/>
            <wp:docPr id="34"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172371" cy="2362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則代表指令所設定的進給速率（Feedrate）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。針對複雜的加工工藝，例如鑽孔固定循環（Canned Cycles，如 G81 鑽孔、G83 啄鑽），傳統方法雖已發展出分解動作邏輯，將單一的宏指令拆解為參考平面下降、特定進給切削與退刀排屑等一系列微小動作，以企圖提升路徑長度計算的精度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。然而，儘管在幾何路徑的展開上做到了詳盡，其底層時間計算的數學模型依然奠基於「距離除以速度」的理想狀態，未能觸及機械運作的物理本質。</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運動學特性的忽視與物理斷層</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上述傳統幾何求和公式存在一個致命的物理假設：工具機在每一指令段內皆能「瞬間加速」至目標進給率，並在運動過程中始終保持該速度，直到指令結束才瞬間停止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。這種模型完全忽略了實體伺服馬達與機械結構的動力學限制。</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在實際加工環境中，工具機軸向馬達受限於其慣性矩以及驅動系統所能提供的最大「加速度（Acceleration）」與最大「抖動（Jerk，即加速度對時間的導數，加加速度）」，根本無法實現瞬間變速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。此現象在處理航太零件或精密模具常見的自由曲面加工時尤為嚴重，因為這類曲面通常由大量的「微小線段（Micro-lines）」所構成。對於極短距離的加工路徑，工具機往往在尚未加速到 NC-Code 預設的進給速度 </w:t>
      </w:r>
      <w:r w:rsidDel="00000000" w:rsidR="00000000" w:rsidRPr="00000000">
        <w:rPr>
          <w:rFonts w:ascii="Google Sans" w:cs="Google Sans" w:eastAsia="Google Sans" w:hAnsi="Google Sans"/>
          <w:color w:val="1f1f1f"/>
        </w:rPr>
        <w:drawing>
          <wp:inline distB="19050" distT="19050" distL="19050" distR="19050">
            <wp:extent cx="172371" cy="236212"/>
            <wp:effectExtent b="0" l="0" r="0" t="0"/>
            <wp:docPr id="37"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172371" cy="2362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前，就已經到達該指令的終點，並且必須開始減速以確保能精準停在下一個節點或順利通過轉角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。缺乏對此物理現象的模擬，使得傳統模型不斷累積未考量加減速時間的誤差，最終導致高達 40% 的時間低估，形成嚴重的樂觀偏見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。此外，傳統模型採用的逐行解析法（Line-by-line Parsing）無法預見後續路徑的幾何轉折，從而忽略了現代 CNC 控制器內建的轉角減速（Corner Deceleration）與前瞻控制（Look-ahead）行為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sectPr>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第三章：數位雙生估測模組總體架構規劃</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為徹底消弭傳統方法的幾何誤差並達成 1%–8% 的高精度預測目標，新一代的加工時間預測模組必須從「編譯器級（Compiler-level）」的高度出發，捨棄單純的字串替換或逐行翻譯，建構一個具備多層次解析與物理動力學模擬能力的系統架構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。本模組整體將規劃為五個核心層次，確保資訊從抽象指令流暢轉化為具體的物理響應。</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第一層：前端語意與指令解析層 (Lexical &amp; Syntax Parsing Layer)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此層負責讀取原始的 NC-Code 檔案或是由 CAM 軟體輸出的刀位檔（如 CLS 或 CLSF 格式），進行深度的詞法與語法分析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。系統透過精密的正規表達式（Regular Expressions）特徵提取引擎，過濾與解析非結構化的文本資料。 在具體實作上，解析器需定義多組匹配模式以識別不同的加工語意。例如，透過特徵字串提取程序名稱與刀具參數（包含刀具長度、刃長、直徑與刀尖半徑），並攔截進給率（FEDRAT/MMPM）與主軸轉速（SPINDL/RPM）的動態變化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。針對複雜的多軸指令與圓弧插補，解析器需具備平面判定邏輯（G17 處理 XY 平面、G18 處理 ZX 平面、G19 處理 YZ 平面），並利用可選參數匹配技術處理含有 I、J、K 向量的圓心偏移座標，確保所有幾何與工藝參數皆被無損擷取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。同時，此層需建立虛擬的模態群組管理器（Modal Group Manager），追蹤當前生效的座標模式（絕對 G90 或增量 G91），確保後續座標計算的基準具備絕對的一致性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第二層：路徑中介表示模型層 (Toolpath Intermediate Representation, IR)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為確保數位雙生模組具備跨廠牌控制器的泛用性，由第一層解析後的指令不應直接送入時間計算，而是需轉換為結構化的中介表示法（Intermediate Representation, IR）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在這一層，系統將每一段切削運動封裝為獨立的物件結構，例如 MotionBlock（直線運動物件）、ArcBlock（圓弧運動物件）或 SpindleBlock（主軸控制物件）。這些物件將被組織成一個雙向鏈結串列（Doubly Linked List）或有向圖（Directed Graph）結構。這種結構的優勢在於將控制流與資料流分離，使得系統能夠在記憶體中自由地「向前」或「向後」遍歷節點，為後續的前瞻演算法（Look-ahead）奠定不可或缺的資料結構基礎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。此外，IR 節點中將保留製程語意特徵（Metadata），標註該段路徑屬於空切（Air-cut）或實切（Cutting），確保不同製程段能套用對應的平滑化策略與公差要求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第三層：逆向運動學與實體映射層 (Kinematics Mapping Engine)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由於 NC-Code 描述的是刀尖點相對於工件的幾何軌跡，而在實際的 CNC 機台中，這些軌跡是由各個實體伺服軸的聯合運動所達成。因此，第三層需導入機台的運動學數位雙生參數，進行逆向運動學解算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系統利用齊次座標轉換矩陣（Homogeneous Transformation Matrix, HTM），將抽象的工件座標系軌跡精準映射為機台實體線性軸（X, Y, Z）與旋轉軸（A, B, C）的角位移與線位移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。在多軸同動加工中，旋轉軸的微小角度變化往往對應著龐大的馬達補償運動，其對總加工時間的貢獻度不容忽視。此層的映射確保了時間計算是基於實體馬達的實際移動量，而非單純的空間直線距離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第四層：虛擬狀態機與運動控制策略層 (Virtual State Machine &amp; Strategy Engine)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此層為數位雙生模組的運算核心，負責執行加減速規劃與前瞻演算法的物理模擬。系統在此層運作一個虛擬狀態機（Virtual State Machine），處理進給率的重新排程與路徑優化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透過載入特定機台的設定檔，虛擬狀態機獲取各軸的最大速度、最大加速度極限以及加加速度（Jerk）限制。針對連續微小線段，系統會模擬高階控制器的前瞻演算法，判斷是否會發生資料飢餓（Data Starvation）並執行軌跡平滑化。此外，在多軸同動時，狀態機能自動切換至倒數時間進給（Inverse Time Feedrate, G93）模式，確保刀尖點在複雜空間曲面上維持恆定的切削速率，避免因各軸動態響應不一而導致的加工延遲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第五層：多維度響應輸出與微觀診斷層 (Multi-dimensional Output &amp; Diagnosis)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作為數位雙生的最終輸出端，第五層不僅提供準確的加工總時間預測，更輸出豐富的微觀加工過程數據。這包含了時域上的位移、速度、加速度與抖動變化曲線，讓工程師能透視每一秒鐘機台的動態響應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。這些微觀數據不僅是驗證演算法正確性的依據，更是後續串接能耗預估模型與結構振動診斷模組的關鍵輸入特徵。</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sectPr>
          <w:type w:val="nextPage"/>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第四章：核心技術 I ─ 七段式 S 型加減速動力學模擬</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要將時間預測誤差從傳統的 10%–40% 縮減至 1%–8% 內，核心在於捨棄定速假設與粗糙的梯形加減速模型，全面導入「S 型加減速曲線（S-Curve Trajectory Planning）」演算法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梯形加減速雖然考慮了加速度，但在加速度變化的瞬間（即啟動、達到最大加速、開始減速的節點），其加加速度（Jerk）為無限大。這種無限大的抖動在物理上是不可能實現的，且會對機台結構造成嚴重的機械衝擊與殘餘振動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。S 型曲線透過引入抖動限制（Jerk constraints），產生了高階連續的運動剖面，能更真實地反映實體伺服馬達克服慣性所需的緩衝時間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七段式速度剖面數學模型推導</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一個完整的點對點 S 型運動規劃，根據加速度與抖動的狀態變化，被嚴格細分為七個特徵階段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。系統在進行每一段直線（G01）或圓弧（G02/G03）的時間預估時，將依序計算這七個階段的持續時間：</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加加速段（Jerk-up, </w:t>
      </w:r>
      <w:r w:rsidDel="00000000" w:rsidR="00000000" w:rsidRPr="00000000">
        <w:rPr>
          <w:rFonts w:ascii="Google Sans" w:cs="Google Sans" w:eastAsia="Google Sans" w:hAnsi="Google Sans"/>
          <w:b w:val="1"/>
          <w:bCs w:val="1"/>
          <w:color w:val="1f1f1f"/>
        </w:rPr>
        <w:drawing>
          <wp:inline distB="19050" distT="19050" distL="19050" distR="19050">
            <wp:extent cx="181485" cy="239819"/>
            <wp:effectExtent b="0" l="0" r="0" t="0"/>
            <wp:docPr id="3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1485" cy="23981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：此階段為運動的起始。加速度從 0 開始，以系統允許的最大抖動值 </w:t>
      </w:r>
      <w:r w:rsidDel="00000000" w:rsidR="00000000" w:rsidRPr="00000000">
        <w:rPr>
          <w:rFonts w:ascii="Google Sans" w:cs="Google Sans" w:eastAsia="Google Sans" w:hAnsi="Google Sans"/>
          <w:color w:val="1f1f1f"/>
        </w:rPr>
        <w:drawing>
          <wp:inline distB="19050" distT="19050" distL="19050" distR="19050">
            <wp:extent cx="340823" cy="233527"/>
            <wp:effectExtent b="0" l="0" r="0" t="0"/>
            <wp:docPr id="41"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340823" cy="2335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線性攀升，直到達到最大允許加速度 </w:t>
      </w:r>
      <w:r w:rsidDel="00000000" w:rsidR="00000000" w:rsidRPr="00000000">
        <w:rPr>
          <w:rFonts w:ascii="Google Sans" w:cs="Google Sans" w:eastAsia="Google Sans" w:hAnsi="Google Sans"/>
          <w:color w:val="1f1f1f"/>
        </w:rPr>
        <w:drawing>
          <wp:inline distB="19050" distT="19050" distL="19050" distR="19050">
            <wp:extent cx="362381" cy="235230"/>
            <wp:effectExtent b="0" l="0" r="0" t="0"/>
            <wp:docPr id="40"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362381" cy="2352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加速度函數呈現一次線性增加：</w:t>
      </w:r>
      <w:r w:rsidDel="00000000" w:rsidR="00000000" w:rsidRPr="00000000">
        <w:rPr>
          <w:rFonts w:ascii="Google Sans" w:cs="Google Sans" w:eastAsia="Google Sans" w:hAnsi="Google Sans"/>
          <w:color w:val="1f1f1f"/>
        </w:rPr>
        <w:drawing>
          <wp:inline distB="19050" distT="19050" distL="19050" distR="19050">
            <wp:extent cx="1094203" cy="232675"/>
            <wp:effectExtent b="0" l="0" r="0" t="0"/>
            <wp:docPr id="46"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1094203" cy="2326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速度函數為二次拋物線：</w:t>
      </w:r>
      <w:r w:rsidDel="00000000" w:rsidR="00000000" w:rsidRPr="00000000">
        <w:rPr>
          <w:rFonts w:ascii="Google Sans" w:cs="Google Sans" w:eastAsia="Google Sans" w:hAnsi="Google Sans"/>
          <w:color w:val="1f1f1f"/>
        </w:rPr>
        <w:drawing>
          <wp:inline distB="19050" distT="19050" distL="19050" distR="19050">
            <wp:extent cx="1663741" cy="232296"/>
            <wp:effectExtent b="0" l="0" r="0" t="0"/>
            <wp:docPr id="44"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1663741" cy="23229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等加速段（Constant Acceleration, </w:t>
      </w:r>
      <w:r w:rsidDel="00000000" w:rsidR="00000000" w:rsidRPr="00000000">
        <w:rPr>
          <w:rFonts w:ascii="Google Sans" w:cs="Google Sans" w:eastAsia="Google Sans" w:hAnsi="Google Sans"/>
          <w:b w:val="1"/>
          <w:bCs w:val="1"/>
          <w:color w:val="1f1f1f"/>
        </w:rPr>
        <w:drawing>
          <wp:inline distB="19050" distT="19050" distL="19050" distR="19050">
            <wp:extent cx="181485" cy="239819"/>
            <wp:effectExtent b="0" l="0" r="0" t="0"/>
            <wp:docPr id="5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81485" cy="23981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：當加速度達到 </w:t>
      </w:r>
      <w:r w:rsidDel="00000000" w:rsidR="00000000" w:rsidRPr="00000000">
        <w:rPr>
          <w:rFonts w:ascii="Google Sans" w:cs="Google Sans" w:eastAsia="Google Sans" w:hAnsi="Google Sans"/>
          <w:color w:val="1f1f1f"/>
        </w:rPr>
        <w:drawing>
          <wp:inline distB="19050" distT="19050" distL="19050" distR="19050">
            <wp:extent cx="362381" cy="235230"/>
            <wp:effectExtent b="0" l="0" r="0" t="0"/>
            <wp:docPr id="4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362381" cy="2352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後，抖動降為 0。系統以恆定的最大加速度進行高效率的速度攀升。</w:t>
      </w:r>
    </w:p>
    <w:p w:rsidR="00000000" w:rsidDel="00000000" w:rsidP="00000000" w:rsidRDefault="00000000" w:rsidRPr="00000000" w14:paraId="00000030">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加速度保持不變：</w:t>
      </w:r>
      <w:r w:rsidDel="00000000" w:rsidR="00000000" w:rsidRPr="00000000">
        <w:rPr>
          <w:rFonts w:ascii="Google Sans" w:cs="Google Sans" w:eastAsia="Google Sans" w:hAnsi="Google Sans"/>
          <w:color w:val="1f1f1f"/>
        </w:rPr>
        <w:drawing>
          <wp:inline distB="19050" distT="19050" distL="19050" distR="19050">
            <wp:extent cx="915851" cy="233700"/>
            <wp:effectExtent b="0" l="0" r="0" t="0"/>
            <wp:docPr id="49"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915851" cy="233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速度呈線性增加：</w:t>
      </w:r>
      <w:r w:rsidDel="00000000" w:rsidR="00000000" w:rsidRPr="00000000">
        <w:rPr>
          <w:rFonts w:ascii="Google Sans" w:cs="Google Sans" w:eastAsia="Google Sans" w:hAnsi="Google Sans"/>
          <w:color w:val="1f1f1f"/>
        </w:rPr>
        <w:drawing>
          <wp:inline distB="19050" distT="19050" distL="19050" distR="19050">
            <wp:extent cx="2310889" cy="231715"/>
            <wp:effectExtent b="0" l="0" r="0" t="0"/>
            <wp:docPr id="52"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2310889" cy="23171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減加速段（Jerk-down, </w:t>
      </w:r>
      <w:r w:rsidDel="00000000" w:rsidR="00000000" w:rsidRPr="00000000">
        <w:rPr>
          <w:rFonts w:ascii="Google Sans" w:cs="Google Sans" w:eastAsia="Google Sans" w:hAnsi="Google Sans"/>
          <w:b w:val="1"/>
          <w:bCs w:val="1"/>
          <w:color w:val="1f1f1f"/>
        </w:rPr>
        <w:drawing>
          <wp:inline distB="19050" distT="19050" distL="19050" distR="19050">
            <wp:extent cx="181485" cy="239819"/>
            <wp:effectExtent b="0" l="0" r="0" t="0"/>
            <wp:docPr id="54"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181485" cy="23981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：為避免速度超調（Overshoot），在接近目標速度前，加速度必須平滑下降。此階段以 </w:t>
      </w:r>
      <w:r w:rsidDel="00000000" w:rsidR="00000000" w:rsidRPr="00000000">
        <w:rPr>
          <w:rFonts w:ascii="Google Sans" w:cs="Google Sans" w:eastAsia="Google Sans" w:hAnsi="Google Sans"/>
          <w:color w:val="1f1f1f"/>
        </w:rPr>
        <w:drawing>
          <wp:inline distB="19050" distT="19050" distL="19050" distR="19050">
            <wp:extent cx="484285" cy="232709"/>
            <wp:effectExtent b="0" l="0" r="0" t="0"/>
            <wp:docPr id="56"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484285" cy="2327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的速率將加速度減回 0，使速度平穩過渡至目標指令進給率 </w:t>
      </w:r>
      <w:r w:rsidDel="00000000" w:rsidR="00000000" w:rsidRPr="00000000">
        <w:rPr>
          <w:rFonts w:ascii="Google Sans" w:cs="Google Sans" w:eastAsia="Google Sans" w:hAnsi="Google Sans"/>
          <w:color w:val="1f1f1f"/>
        </w:rPr>
        <w:drawing>
          <wp:inline distB="19050" distT="19050" distL="19050" distR="19050">
            <wp:extent cx="335139" cy="233965"/>
            <wp:effectExtent b="0" l="0" r="0" t="0"/>
            <wp:docPr id="58"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335139" cy="2339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加速度函數：</w:t>
      </w:r>
      <w:r w:rsidDel="00000000" w:rsidR="00000000" w:rsidRPr="00000000">
        <w:rPr>
          <w:rFonts w:ascii="Google Sans" w:cs="Google Sans" w:eastAsia="Google Sans" w:hAnsi="Google Sans"/>
          <w:color w:val="1f1f1f"/>
        </w:rPr>
        <w:drawing>
          <wp:inline distB="19050" distT="19050" distL="19050" distR="19050">
            <wp:extent cx="2639168" cy="232498"/>
            <wp:effectExtent b="0" l="0" r="0" t="0"/>
            <wp:docPr id="60"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2639168" cy="23249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勻速段（Constant Velocity / Cruise, </w:t>
      </w:r>
      <w:r w:rsidDel="00000000" w:rsidR="00000000" w:rsidRPr="00000000">
        <w:rPr>
          <w:rFonts w:ascii="Google Sans" w:cs="Google Sans" w:eastAsia="Google Sans" w:hAnsi="Google Sans"/>
          <w:b w:val="1"/>
          <w:bCs w:val="1"/>
          <w:color w:val="1f1f1f"/>
        </w:rPr>
        <w:drawing>
          <wp:inline distB="19050" distT="19050" distL="19050" distR="19050">
            <wp:extent cx="181485" cy="239819"/>
            <wp:effectExtent b="0" l="0" r="0" t="0"/>
            <wp:docPr id="61"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181485" cy="23981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：系統已達到設定的切削進給率 </w:t>
      </w:r>
      <w:r w:rsidDel="00000000" w:rsidR="00000000" w:rsidRPr="00000000">
        <w:rPr>
          <w:rFonts w:ascii="Google Sans" w:cs="Google Sans" w:eastAsia="Google Sans" w:hAnsi="Google Sans"/>
          <w:color w:val="1f1f1f"/>
        </w:rPr>
        <w:drawing>
          <wp:inline distB="19050" distT="19050" distL="19050" distR="19050">
            <wp:extent cx="335139" cy="233965"/>
            <wp:effectExtent b="0" l="0" r="0" t="0"/>
            <wp:docPr id="62"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335139" cy="2339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，此時加速度與抖動皆為 0，機台保持等速巡航。</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加減速段（Jerk-up for Deceleration, </w:t>
      </w:r>
      <w:r w:rsidDel="00000000" w:rsidR="00000000" w:rsidRPr="00000000">
        <w:rPr>
          <w:rFonts w:ascii="Google Sans" w:cs="Google Sans" w:eastAsia="Google Sans" w:hAnsi="Google Sans"/>
          <w:b w:val="1"/>
          <w:bCs w:val="1"/>
          <w:color w:val="1f1f1f"/>
        </w:rPr>
        <w:drawing>
          <wp:inline distB="19050" distT="19050" distL="19050" distR="19050">
            <wp:extent cx="181485" cy="239819"/>
            <wp:effectExtent b="0" l="0" r="0" t="0"/>
            <wp:docPr id="63"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181485" cy="23981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：當接近目標點需要煞車時，加速度以負向最大抖動增加，直到達到最大減速度 </w:t>
      </w:r>
      <w:r w:rsidDel="00000000" w:rsidR="00000000" w:rsidRPr="00000000">
        <w:rPr>
          <w:rFonts w:ascii="Google Sans" w:cs="Google Sans" w:eastAsia="Google Sans" w:hAnsi="Google Sans"/>
          <w:color w:val="1f1f1f"/>
        </w:rPr>
        <w:drawing>
          <wp:inline distB="19050" distT="19050" distL="19050" distR="19050">
            <wp:extent cx="505844" cy="233953"/>
            <wp:effectExtent b="0" l="0" r="0" t="0"/>
            <wp:docPr id="22"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05844" cy="2339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等減速段（Constant Deceleration, </w:t>
      </w:r>
      <w:r w:rsidDel="00000000" w:rsidR="00000000" w:rsidRPr="00000000">
        <w:rPr>
          <w:rFonts w:ascii="Google Sans" w:cs="Google Sans" w:eastAsia="Google Sans" w:hAnsi="Google Sans"/>
          <w:b w:val="1"/>
          <w:bCs w:val="1"/>
          <w:color w:val="1f1f1f"/>
        </w:rPr>
        <w:drawing>
          <wp:inline distB="19050" distT="19050" distL="19050" distR="19050">
            <wp:extent cx="181485" cy="239819"/>
            <wp:effectExtent b="0" l="0" r="0" t="0"/>
            <wp:docPr id="23"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181485" cy="23981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：機台保持最大減速度 </w:t>
      </w:r>
      <w:r w:rsidDel="00000000" w:rsidR="00000000" w:rsidRPr="00000000">
        <w:rPr>
          <w:rFonts w:ascii="Google Sans" w:cs="Google Sans" w:eastAsia="Google Sans" w:hAnsi="Google Sans"/>
          <w:color w:val="1f1f1f"/>
        </w:rPr>
        <w:drawing>
          <wp:inline distB="19050" distT="19050" distL="19050" distR="19050">
            <wp:extent cx="505844" cy="233953"/>
            <wp:effectExtent b="0" l="0" r="0" t="0"/>
            <wp:docPr id="2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05844" cy="2339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進行高效煞車，速度呈線性下降。</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減減速段（Jerk-down for Deceleration, </w:t>
      </w:r>
      <w:r w:rsidDel="00000000" w:rsidR="00000000" w:rsidRPr="00000000">
        <w:rPr>
          <w:rFonts w:ascii="Google Sans" w:cs="Google Sans" w:eastAsia="Google Sans" w:hAnsi="Google Sans"/>
          <w:b w:val="1"/>
          <w:bCs w:val="1"/>
          <w:color w:val="1f1f1f"/>
        </w:rPr>
        <w:drawing>
          <wp:inline distB="19050" distT="19050" distL="19050" distR="19050">
            <wp:extent cx="181485" cy="239819"/>
            <wp:effectExtent b="0" l="0" r="0" t="0"/>
            <wp:docPr id="25"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181485" cy="23981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：減速度由 </w:t>
      </w:r>
      <w:r w:rsidDel="00000000" w:rsidR="00000000" w:rsidRPr="00000000">
        <w:rPr>
          <w:rFonts w:ascii="Google Sans" w:cs="Google Sans" w:eastAsia="Google Sans" w:hAnsi="Google Sans"/>
          <w:color w:val="1f1f1f"/>
        </w:rPr>
        <w:drawing>
          <wp:inline distB="19050" distT="19050" distL="19050" distR="19050">
            <wp:extent cx="505844" cy="233953"/>
            <wp:effectExtent b="0" l="0" r="0" t="0"/>
            <wp:docPr id="2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05844" cy="2339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平滑回歸至 0，確保刀具精準停駐於終點或降至轉角所允許的連接速度。</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極短路徑下的曲線退化邏輯 (Profile Degradation)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在複雜模具切削或航太結構件的加工中，路徑通常被分割為長度僅數微米的短線段。在這種情況下，路徑長度 </w:t>
      </w:r>
      <w:r w:rsidDel="00000000" w:rsidR="00000000" w:rsidRPr="00000000">
        <w:rPr>
          <w:rFonts w:ascii="Google Sans" w:cs="Google Sans" w:eastAsia="Google Sans" w:hAnsi="Google Sans"/>
          <w:color w:val="1f1f1f"/>
        </w:rPr>
        <w:drawing>
          <wp:inline distB="19050" distT="19050" distL="19050" distR="19050">
            <wp:extent cx="125628" cy="244644"/>
            <wp:effectExtent b="0" l="0" r="0" t="0"/>
            <wp:docPr id="28"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125628" cy="244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往往不足以支撐馬達完成完整的七段加速與減速過程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。數位雙生模組的演算法必須具備嚴謹的「邊界條件檢測與曲線退化處理」機制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無勻速段退化（Velocity Degradation）</w:t>
      </w:r>
      <w:r w:rsidDel="00000000" w:rsidR="00000000" w:rsidRPr="00000000">
        <w:rPr>
          <w:rFonts w:ascii="Google Sans" w:cs="Google Sans" w:eastAsia="Google Sans" w:hAnsi="Google Sans"/>
          <w:color w:val="1f1f1f"/>
          <w:rtl w:val="0"/>
        </w:rPr>
        <w:t xml:space="preserve">：若給定之位移 </w:t>
      </w:r>
      <w:r w:rsidDel="00000000" w:rsidR="00000000" w:rsidRPr="00000000">
        <w:rPr>
          <w:rFonts w:ascii="Google Sans" w:cs="Google Sans" w:eastAsia="Google Sans" w:hAnsi="Google Sans"/>
          <w:color w:val="1f1f1f"/>
        </w:rPr>
        <w:drawing>
          <wp:inline distB="19050" distT="19050" distL="19050" distR="19050">
            <wp:extent cx="125628" cy="244644"/>
            <wp:effectExtent b="0" l="0" r="0" t="0"/>
            <wp:docPr id="29"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125628" cy="244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過短，使得系統在加速與減速過程中所消耗的總位移已大於或等於 </w:t>
      </w:r>
      <w:r w:rsidDel="00000000" w:rsidR="00000000" w:rsidRPr="00000000">
        <w:rPr>
          <w:rFonts w:ascii="Google Sans" w:cs="Google Sans" w:eastAsia="Google Sans" w:hAnsi="Google Sans"/>
          <w:color w:val="1f1f1f"/>
        </w:rPr>
        <w:drawing>
          <wp:inline distB="19050" distT="19050" distL="19050" distR="19050">
            <wp:extent cx="125628" cy="244644"/>
            <wp:effectExtent b="0" l="0" r="0" t="0"/>
            <wp:docPr id="30"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125628" cy="244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，則馬達無法達到指令設定的最高速度 </w:t>
      </w:r>
      <w:r w:rsidDel="00000000" w:rsidR="00000000" w:rsidRPr="00000000">
        <w:rPr>
          <w:rFonts w:ascii="Google Sans" w:cs="Google Sans" w:eastAsia="Google Sans" w:hAnsi="Google Sans"/>
          <w:color w:val="1f1f1f"/>
        </w:rPr>
        <w:drawing>
          <wp:inline distB="19050" distT="19050" distL="19050" distR="19050">
            <wp:extent cx="335139" cy="233965"/>
            <wp:effectExtent b="0" l="0" r="0" t="0"/>
            <wp:docPr id="31"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335139" cy="2339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。此時系統需動態重新計算實際可達到的最高速度，並將 </w:t>
      </w:r>
      <w:r w:rsidDel="00000000" w:rsidR="00000000" w:rsidRPr="00000000">
        <w:rPr>
          <w:rFonts w:ascii="Google Sans" w:cs="Google Sans" w:eastAsia="Google Sans" w:hAnsi="Google Sans"/>
          <w:color w:val="1f1f1f"/>
        </w:rPr>
        <w:drawing>
          <wp:inline distB="19050" distT="19050" distL="19050" distR="19050">
            <wp:extent cx="181485" cy="239819"/>
            <wp:effectExtent b="0" l="0" r="0" t="0"/>
            <wp:docPr id="32"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181485" cy="2398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（勻速段）持續時間設為 0，完整七段曲線退化為六段或五段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無等加速段退化（Acceleration Degradation）</w:t>
      </w:r>
      <w:r w:rsidDel="00000000" w:rsidR="00000000" w:rsidRPr="00000000">
        <w:rPr>
          <w:rFonts w:ascii="Google Sans" w:cs="Google Sans" w:eastAsia="Google Sans" w:hAnsi="Google Sans"/>
          <w:color w:val="1f1f1f"/>
          <w:rtl w:val="0"/>
        </w:rPr>
        <w:t xml:space="preserve">：若位移極端短小，使得速度在加加速階段（</w:t>
      </w:r>
      <w:r w:rsidDel="00000000" w:rsidR="00000000" w:rsidRPr="00000000">
        <w:rPr>
          <w:rFonts w:ascii="Google Sans" w:cs="Google Sans" w:eastAsia="Google Sans" w:hAnsi="Google Sans"/>
          <w:color w:val="1f1f1f"/>
        </w:rPr>
        <w:drawing>
          <wp:inline distB="19050" distT="19050" distL="19050" distR="19050">
            <wp:extent cx="181485" cy="239819"/>
            <wp:effectExtent b="0" l="0" r="0" t="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1485" cy="2398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）結束前就必須立即啟動減速程序，此時系統甚至無法達到機台的最大加速度 </w:t>
      </w:r>
      <w:r w:rsidDel="00000000" w:rsidR="00000000" w:rsidRPr="00000000">
        <w:rPr>
          <w:rFonts w:ascii="Google Sans" w:cs="Google Sans" w:eastAsia="Google Sans" w:hAnsi="Google Sans"/>
          <w:color w:val="1f1f1f"/>
        </w:rPr>
        <w:drawing>
          <wp:inline distB="19050" distT="19050" distL="19050" distR="19050">
            <wp:extent cx="362381" cy="235230"/>
            <wp:effectExtent b="0" l="0" r="0" t="0"/>
            <wp:docPr id="12"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362381" cy="2352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。演算法需根據位移與抖動的關係，重新計算實際能達到的峰值加速度 </w:t>
      </w:r>
      <w:r w:rsidDel="00000000" w:rsidR="00000000" w:rsidRPr="00000000">
        <w:rPr>
          <w:rFonts w:ascii="Google Sans" w:cs="Google Sans" w:eastAsia="Google Sans" w:hAnsi="Google Sans"/>
          <w:color w:val="1f1f1f"/>
        </w:rPr>
        <w:drawing>
          <wp:inline distB="19050" distT="19050" distL="19050" distR="19050">
            <wp:extent cx="1639043" cy="232355"/>
            <wp:effectExtent b="0" l="0" r="0" t="0"/>
            <wp:docPr id="13"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1639043" cy="2323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，並將曲線進一步退化，省略 </w:t>
      </w:r>
      <w:r w:rsidDel="00000000" w:rsidR="00000000" w:rsidRPr="00000000">
        <w:rPr>
          <w:rFonts w:ascii="Google Sans" w:cs="Google Sans" w:eastAsia="Google Sans" w:hAnsi="Google Sans"/>
          <w:color w:val="1f1f1f"/>
        </w:rPr>
        <w:drawing>
          <wp:inline distB="19050" distT="19050" distL="19050" distR="19050">
            <wp:extent cx="181485" cy="239819"/>
            <wp:effectExtent b="0" l="0" r="0" t="0"/>
            <wp:docPr id="1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81485" cy="2398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與 </w:t>
      </w:r>
      <w:r w:rsidDel="00000000" w:rsidR="00000000" w:rsidRPr="00000000">
        <w:rPr>
          <w:rFonts w:ascii="Google Sans" w:cs="Google Sans" w:eastAsia="Google Sans" w:hAnsi="Google Sans"/>
          <w:color w:val="1f1f1f"/>
        </w:rPr>
        <w:drawing>
          <wp:inline distB="19050" distT="19050" distL="19050" distR="19050">
            <wp:extent cx="181485" cy="239819"/>
            <wp:effectExtent b="0" l="0" r="0" t="0"/>
            <wp:docPr id="15"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181485" cy="2398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階段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透過對每一插補週期內上述七個階段的精密積分與退化判定，數位雙生模組能夠精確求得在物理約束下的實際耗時（</w:t>
      </w:r>
      <w:r w:rsidDel="00000000" w:rsidR="00000000" w:rsidRPr="00000000">
        <w:rPr>
          <w:rFonts w:ascii="Google Sans" w:cs="Google Sans" w:eastAsia="Google Sans" w:hAnsi="Google Sans"/>
          <w:color w:val="1f1f1f"/>
        </w:rPr>
        <w:drawing>
          <wp:inline distB="19050" distT="19050" distL="19050" distR="19050">
            <wp:extent cx="386880" cy="230880"/>
            <wp:effectExtent b="0" l="0" r="0" t="0"/>
            <wp:docPr id="16"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86880" cy="2308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），從根本上解決了傳統幾何求和法所產生的樂觀偏見問題。</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sectPr>
          <w:type w:val="nextPage"/>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第五章：核心技術 II ─ 雙向掃描前瞻控制與轉角約束</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處理自由曲面加工時，大量的微小線段（G01）以不同的空間角度相連接。在真實加工中，若機台以高速衝過這些轉角，方向的突變將引發巨大的向心加速度與機械慣性衝擊，導致馬達失步、機台劇烈振動，甚至造成加工軌跡嚴重偏離（即加工超差）。為了防止這種現象，現代高階 CNC 控制器內部皆搭載了前瞻控制（Look-ahead）模組，強制機台在接近轉角前主動減速。如果數位雙生模組未能精確模擬這套邏輯，其時間預測的誤差將難以控制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轉角向心加速度與幾何誤差約束公式</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當刀具路徑從一個向量方向急遽過渡到另一個向量時，兩線段間會形成一個空間夾角 </w:t>
      </w:r>
      <w:r w:rsidDel="00000000" w:rsidR="00000000" w:rsidRPr="00000000">
        <w:rPr>
          <w:rFonts w:ascii="Google Sans" w:cs="Google Sans" w:eastAsia="Google Sans" w:hAnsi="Google Sans"/>
          <w:color w:val="1f1f1f"/>
        </w:rPr>
        <w:drawing>
          <wp:inline distB="19050" distT="19050" distL="19050" distR="19050">
            <wp:extent cx="91624" cy="226006"/>
            <wp:effectExtent b="0" l="0" r="0" t="0"/>
            <wp:docPr id="17"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91624" cy="2260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。為了實現平滑過渡，控制器內部會依據允許的軌跡誤差範圍，虛擬出一個轉角過渡圓弧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系統在計算該交點的物理臨界連接速度（Junction Velocity, </w:t>
      </w:r>
      <w:r w:rsidDel="00000000" w:rsidR="00000000" w:rsidRPr="00000000">
        <w:rPr>
          <w:rFonts w:ascii="Google Sans" w:cs="Google Sans" w:eastAsia="Google Sans" w:hAnsi="Google Sans"/>
          <w:color w:val="1f1f1f"/>
        </w:rPr>
        <w:drawing>
          <wp:inline distB="19050" distT="19050" distL="19050" distR="19050">
            <wp:extent cx="615989" cy="232567"/>
            <wp:effectExtent b="0" l="0" r="0" t="0"/>
            <wp:docPr id="18"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615989" cy="2325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）時，必須同時滿足機台的動力學能力與加工精度要求。其核心物理約束公式如下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620921" cy="746529"/>
            <wp:effectExtent b="0" l="0" r="0" t="0"/>
            <wp:docPr id="19"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620921" cy="74652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此公式揭示了轉角速度的物理依賴性：</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機台最大加速度 (</w:t>
      </w:r>
      <w:r w:rsidDel="00000000" w:rsidR="00000000" w:rsidRPr="00000000">
        <w:rPr>
          <w:rFonts w:ascii="Google Sans" w:cs="Google Sans" w:eastAsia="Google Sans" w:hAnsi="Google Sans"/>
          <w:b w:val="1"/>
          <w:bCs w:val="1"/>
          <w:color w:val="1f1f1f"/>
        </w:rPr>
        <w:drawing>
          <wp:inline distB="19050" distT="19050" distL="19050" distR="19050">
            <wp:extent cx="362381" cy="235230"/>
            <wp:effectExtent b="0" l="0" r="0" t="0"/>
            <wp:docPr id="20"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362381" cy="23523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：機台馬達能提供的制動力越強，允許的過彎速度越高。</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循跡公差極限 (</w:t>
      </w:r>
      <w:r w:rsidDel="00000000" w:rsidR="00000000" w:rsidRPr="00000000">
        <w:rPr>
          <w:rFonts w:ascii="Google Sans" w:cs="Google Sans" w:eastAsia="Google Sans" w:hAnsi="Google Sans"/>
          <w:b w:val="1"/>
          <w:bCs w:val="1"/>
          <w:color w:val="1f1f1f"/>
        </w:rPr>
        <w:drawing>
          <wp:inline distB="19050" distT="19050" distL="19050" distR="19050">
            <wp:extent cx="74867" cy="230841"/>
            <wp:effectExtent b="0" l="0" r="0" t="0"/>
            <wp:docPr id="1"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74867" cy="23084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Tracking Tolerance)</w:t>
      </w:r>
      <w:r w:rsidDel="00000000" w:rsidR="00000000" w:rsidRPr="00000000">
        <w:rPr>
          <w:rFonts w:ascii="Google Sans" w:cs="Google Sans" w:eastAsia="Google Sans" w:hAnsi="Google Sans"/>
          <w:color w:val="1f1f1f"/>
          <w:rtl w:val="0"/>
        </w:rPr>
        <w:t xml:space="preserve">：若使用者要求的加工精度越高（即 </w:t>
      </w:r>
      <w:r w:rsidDel="00000000" w:rsidR="00000000" w:rsidRPr="00000000">
        <w:rPr>
          <w:rFonts w:ascii="Google Sans" w:cs="Google Sans" w:eastAsia="Google Sans" w:hAnsi="Google Sans"/>
          <w:color w:val="1f1f1f"/>
        </w:rPr>
        <w:drawing>
          <wp:inline distB="19050" distT="19050" distL="19050" distR="19050">
            <wp:extent cx="74867" cy="230841"/>
            <wp:effectExtent b="0" l="0" r="0" t="0"/>
            <wp:docPr id="2"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74867" cy="2308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越小，不允許刀具路徑偏離指令軌跡），機台就必須以更慢的速度通過轉角以抑制向心偏離。</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路徑夾角 (</w:t>
      </w:r>
      <w:r w:rsidDel="00000000" w:rsidR="00000000" w:rsidRPr="00000000">
        <w:rPr>
          <w:rFonts w:ascii="Google Sans" w:cs="Google Sans" w:eastAsia="Google Sans" w:hAnsi="Google Sans"/>
          <w:b w:val="1"/>
          <w:bCs w:val="1"/>
          <w:color w:val="1f1f1f"/>
        </w:rPr>
        <w:drawing>
          <wp:inline distB="19050" distT="19050" distL="19050" distR="19050">
            <wp:extent cx="91624" cy="226006"/>
            <wp:effectExtent b="0" l="0" r="0" t="0"/>
            <wp:docPr id="3"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91624" cy="22600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：夾角越尖銳（</w:t>
      </w:r>
      <w:r w:rsidDel="00000000" w:rsidR="00000000" w:rsidRPr="00000000">
        <w:rPr>
          <w:rFonts w:ascii="Google Sans" w:cs="Google Sans" w:eastAsia="Google Sans" w:hAnsi="Google Sans"/>
          <w:color w:val="1f1f1f"/>
        </w:rPr>
        <w:drawing>
          <wp:inline distB="19050" distT="19050" distL="19050" distR="19050">
            <wp:extent cx="91624" cy="226006"/>
            <wp:effectExtent b="0" l="0" r="0" t="0"/>
            <wp:docPr id="4"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91624" cy="2260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越大），方向變換越劇烈，允許的過彎速度便呈非線性下降。</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演算法必須針對 NC-Code 中的每一個接點計算其專屬的 </w:t>
      </w:r>
      <w:r w:rsidDel="00000000" w:rsidR="00000000" w:rsidRPr="00000000">
        <w:rPr>
          <w:rFonts w:ascii="Google Sans" w:cs="Google Sans" w:eastAsia="Google Sans" w:hAnsi="Google Sans"/>
          <w:color w:val="1f1f1f"/>
        </w:rPr>
        <w:drawing>
          <wp:inline distB="19050" distT="19050" distL="19050" distR="19050">
            <wp:extent cx="615989" cy="232567"/>
            <wp:effectExtent b="0" l="0" r="0" t="0"/>
            <wp:docPr id="5"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615989" cy="2325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，確保速度的設定具備嚴謹的物理合理性。</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雙向掃描緩衝區模擬機制 (Bidirectional Scanning Strategy)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於轉角減速點的出現位置與程度是未知的，傳統逐行讀取指令的方式無法在遇到轉角時瞬間將速度降下（會違反上述的抖動與加速度限制）。因此，數位雙生模組必須模擬控制器的資料緩衝區（Buffer）機制，執行雙向掃描前瞻演算法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前瞻緩衝區建立（Look-ahead Window）</w:t>
      </w:r>
      <w:r w:rsidDel="00000000" w:rsidR="00000000" w:rsidRPr="00000000">
        <w:rPr>
          <w:rFonts w:ascii="Google Sans" w:cs="Google Sans" w:eastAsia="Google Sans" w:hAnsi="Google Sans"/>
          <w:color w:val="1f1f1f"/>
          <w:rtl w:val="0"/>
        </w:rPr>
        <w:t xml:space="preserve">：系統在處理當前指令時，會預先將 IR 鏈結串列中未來的數十至數百行指令（通常為 100 至 200 行，模擬如 Siemens Look-ahead 或 Fanuc AICC 的緩衝區規模）載入記憶體視窗中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向後掃描規劃（Backward Scanning for Deceleration）</w:t>
      </w:r>
      <w:r w:rsidDel="00000000" w:rsidR="00000000" w:rsidRPr="00000000">
        <w:rPr>
          <w:rFonts w:ascii="Google Sans" w:cs="Google Sans" w:eastAsia="Google Sans" w:hAnsi="Google Sans"/>
          <w:color w:val="1f1f1f"/>
          <w:rtl w:val="0"/>
        </w:rPr>
        <w:t xml:space="preserve">：演算法從緩衝區的最末端節點開始，向當前節點進行逆向掃描。系統評估每一個節點的臨界速度 </w:t>
      </w:r>
      <w:r w:rsidDel="00000000" w:rsidR="00000000" w:rsidRPr="00000000">
        <w:rPr>
          <w:rFonts w:ascii="Google Sans" w:cs="Google Sans" w:eastAsia="Google Sans" w:hAnsi="Google Sans"/>
          <w:color w:val="1f1f1f"/>
        </w:rPr>
        <w:drawing>
          <wp:inline distB="19050" distT="19050" distL="19050" distR="19050">
            <wp:extent cx="615989" cy="232567"/>
            <wp:effectExtent b="0" l="0" r="0" t="0"/>
            <wp:docPr id="6"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615989" cy="2325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。若發現某節點 </w:t>
      </w:r>
      <w:r w:rsidDel="00000000" w:rsidR="00000000" w:rsidRPr="00000000">
        <w:rPr>
          <w:rFonts w:ascii="Google Sans" w:cs="Google Sans" w:eastAsia="Google Sans" w:hAnsi="Google Sans"/>
          <w:color w:val="1f1f1f"/>
        </w:rPr>
        <w:drawing>
          <wp:inline distB="19050" distT="19050" distL="19050" distR="19050">
            <wp:extent cx="63696" cy="235675"/>
            <wp:effectExtent b="0" l="0" r="0" t="0"/>
            <wp:docPr id="7"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63696" cy="2356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的限制速度極低（例如遇到銳角轉彎），系統會基於 S 型減速曲線的物理能力進行逆推，計算出為了安全通過節點 </w:t>
      </w:r>
      <w:r w:rsidDel="00000000" w:rsidR="00000000" w:rsidRPr="00000000">
        <w:rPr>
          <w:rFonts w:ascii="Google Sans" w:cs="Google Sans" w:eastAsia="Google Sans" w:hAnsi="Google Sans"/>
          <w:color w:val="1f1f1f"/>
        </w:rPr>
        <w:drawing>
          <wp:inline distB="19050" distT="19050" distL="19050" distR="19050">
            <wp:extent cx="63696" cy="235675"/>
            <wp:effectExtent b="0" l="0" r="0" t="0"/>
            <wp:docPr id="8"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63696" cy="2356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，機台在到達節點 </w:t>
      </w:r>
      <w:r w:rsidDel="00000000" w:rsidR="00000000" w:rsidRPr="00000000">
        <w:rPr>
          <w:rFonts w:ascii="Google Sans" w:cs="Google Sans" w:eastAsia="Google Sans" w:hAnsi="Google Sans"/>
          <w:color w:val="1f1f1f"/>
        </w:rPr>
        <w:drawing>
          <wp:inline distB="19050" distT="19050" distL="19050" distR="19050">
            <wp:extent cx="381294" cy="235131"/>
            <wp:effectExtent b="0" l="0" r="0" t="0"/>
            <wp:docPr id="9"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381294" cy="2351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時所允許的最高安全速度。這個逆向傳遞過程確保了在任何急轉彎發生前，機台都擁有充足的空間與時間進行平穩的煞車，避免因煞車距離不足而引發超差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向前掃描規劃（Forward Scanning for Acceleration）</w:t>
      </w:r>
      <w:r w:rsidDel="00000000" w:rsidR="00000000" w:rsidRPr="00000000">
        <w:rPr>
          <w:rFonts w:ascii="Google Sans" w:cs="Google Sans" w:eastAsia="Google Sans" w:hAnsi="Google Sans"/>
          <w:color w:val="1f1f1f"/>
          <w:rtl w:val="0"/>
        </w:rPr>
        <w:t xml:space="preserve">：在完成向後減速規劃後，系統再次從當前節點向前掃描。在絕對不違反「向後掃描所建立的最高安全速度限制」的前提下，利用機台的加速能力，盡可能將路徑速度提升至 NC-Code 設定的切削進給率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透過這種反覆的雙向滑動掃描運算，數位雙生虛擬插補器能夠在複雜的連續微小線段中，求解出全局最優且完全符合物理動力學限制的速度分佈剖面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。這套演算法是消除加減速延遲誤差，使加工時間預測達到工業級高精度的關鍵核心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第六章：環境感知與參數自適應 ─ 機台特徵化與自動校準</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再完美的演算法，若缺乏準確的物理參數輸入，亦無法產生可靠的預測。不同廠牌、不同型號、甚至不同使用年限的 CNC 工具機，其伺服驅動系統的響應增益、機械結構的質量慣性以及導軌的靜/動摩擦係數皆存在顯著差異。這意味著單一的靜態數學模型無法適用於所有設備。為賦予數位雙生模組泛用性，必須導入「機台特徵設定檔（Machine Profiles）」與自動化校準機制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機台特徵設定檔 (Machine Profiles) 之參數結構</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設定檔是數位雙生模組的環境邊界條件，它將特定機台的物理動力學與控制特徵參數化，並傳遞給虛擬狀態機與逆向運動學層。關鍵的參數群組包含：</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極限運動特徵</w:t>
      </w:r>
      <w:r w:rsidDel="00000000" w:rsidR="00000000" w:rsidRPr="00000000">
        <w:rPr>
          <w:rFonts w:ascii="Google Sans" w:cs="Google Sans" w:eastAsia="Google Sans" w:hAnsi="Google Sans"/>
          <w:color w:val="1f1f1f"/>
          <w:rtl w:val="0"/>
        </w:rPr>
        <w:t xml:space="preserve">：定義機台在物理上能達到的上限，包含各軸的最大快速位移速度（G00 速度）、最大切削進給率上限、各軸最大加速度極限 </w:t>
      </w:r>
      <w:r w:rsidDel="00000000" w:rsidR="00000000" w:rsidRPr="00000000">
        <w:rPr>
          <w:rFonts w:ascii="Google Sans" w:cs="Google Sans" w:eastAsia="Google Sans" w:hAnsi="Google Sans"/>
          <w:color w:val="1f1f1f"/>
        </w:rPr>
        <w:drawing>
          <wp:inline distB="19050" distT="19050" distL="19050" distR="19050">
            <wp:extent cx="362381" cy="235230"/>
            <wp:effectExtent b="0" l="0" r="0" t="0"/>
            <wp:docPr id="10"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362381" cy="2352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，以及攸關平滑度的最大抖動極限 </w:t>
      </w:r>
      <w:r w:rsidDel="00000000" w:rsidR="00000000" w:rsidRPr="00000000">
        <w:rPr>
          <w:rFonts w:ascii="Google Sans" w:cs="Google Sans" w:eastAsia="Google Sans" w:hAnsi="Google Sans"/>
          <w:color w:val="1f1f1f"/>
        </w:rPr>
        <w:drawing>
          <wp:inline distB="19050" distT="19050" distL="19050" distR="19050">
            <wp:extent cx="340823" cy="233527"/>
            <wp:effectExtent b="0" l="0" r="0" t="0"/>
            <wp:docPr id="39"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340823" cy="2335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控制與運算特徵</w:t>
      </w:r>
      <w:r w:rsidDel="00000000" w:rsidR="00000000" w:rsidRPr="00000000">
        <w:rPr>
          <w:rFonts w:ascii="Google Sans" w:cs="Google Sans" w:eastAsia="Google Sans" w:hAnsi="Google Sans"/>
          <w:color w:val="1f1f1f"/>
          <w:rtl w:val="0"/>
        </w:rPr>
        <w:t xml:space="preserve">：定義控制器的資訊處理能力，包含控制器的插補週期時間（Interpolation Time）、前瞻緩衝區的最大區塊數（Look-ahead Buffer Size），以及機台預設的系統循跡公差 </w:t>
      </w:r>
      <w:r w:rsidDel="00000000" w:rsidR="00000000" w:rsidRPr="00000000">
        <w:rPr>
          <w:rFonts w:ascii="Google Sans" w:cs="Google Sans" w:eastAsia="Google Sans" w:hAnsi="Google Sans"/>
          <w:color w:val="1f1f1f"/>
        </w:rPr>
        <w:drawing>
          <wp:inline distB="19050" distT="19050" distL="19050" distR="19050">
            <wp:extent cx="74867" cy="230841"/>
            <wp:effectExtent b="0" l="0" r="0" t="0"/>
            <wp:docPr id="42"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74867" cy="2308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幾何與補償特徵</w:t>
      </w:r>
      <w:r w:rsidDel="00000000" w:rsidR="00000000" w:rsidRPr="00000000">
        <w:rPr>
          <w:rFonts w:ascii="Google Sans" w:cs="Google Sans" w:eastAsia="Google Sans" w:hAnsi="Google Sans"/>
          <w:color w:val="1f1f1f"/>
          <w:rtl w:val="0"/>
        </w:rPr>
        <w:t xml:space="preserve">：特別針對五軸加工機，需定義旋轉軸的偏移量（Pivot Length）、旋轉中心誤差以及傳動系統的背隙補償值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標準測試碼與動態係數自動識別程序</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過去，獲取機台的真實 </w:t>
      </w:r>
      <w:r w:rsidDel="00000000" w:rsidR="00000000" w:rsidRPr="00000000">
        <w:rPr>
          <w:rFonts w:ascii="Google Sans" w:cs="Google Sans" w:eastAsia="Google Sans" w:hAnsi="Google Sans"/>
          <w:color w:val="1f1f1f"/>
        </w:rPr>
        <w:drawing>
          <wp:inline distB="19050" distT="19050" distL="19050" distR="19050">
            <wp:extent cx="362381" cy="235230"/>
            <wp:effectExtent b="0" l="0" r="0" t="0"/>
            <wp:docPr id="43"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362381" cy="2352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與 </w:t>
      </w:r>
      <w:r w:rsidDel="00000000" w:rsidR="00000000" w:rsidRPr="00000000">
        <w:rPr>
          <w:rFonts w:ascii="Google Sans" w:cs="Google Sans" w:eastAsia="Google Sans" w:hAnsi="Google Sans"/>
          <w:color w:val="1f1f1f"/>
        </w:rPr>
        <w:drawing>
          <wp:inline distB="19050" distT="19050" distL="19050" distR="19050">
            <wp:extent cx="340823" cy="233527"/>
            <wp:effectExtent b="0" l="0" r="0" t="0"/>
            <wp:docPr id="45"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340823" cy="2335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等參數往往需要依賴原廠提供機密資料或進行複雜的伺服調試。為提升數位雙生模組的部署效率，系統規劃了創新的「動態係數自動識別程序」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自動生成測試標準碼（Benchmark NC-code）</w:t>
      </w:r>
      <w:r w:rsidDel="00000000" w:rsidR="00000000" w:rsidRPr="00000000">
        <w:rPr>
          <w:rFonts w:ascii="Google Sans" w:cs="Google Sans" w:eastAsia="Google Sans" w:hAnsi="Google Sans"/>
          <w:color w:val="1f1f1f"/>
          <w:rtl w:val="0"/>
        </w:rPr>
        <w:t xml:space="preserve">：系統內建演算法可自動產生一段涵蓋多種幾何極端情況的標準測試 G 碼。這段程式碼包含不同距離的直線衝刺與急停、各種角度的尖銳轉角，以及半徑連續變化的圓弧插補路徑，旨在全面激發機台的加減速與前瞻控制極限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實體運行與高頻資料擷取</w:t>
      </w:r>
      <w:r w:rsidDel="00000000" w:rsidR="00000000" w:rsidRPr="00000000">
        <w:rPr>
          <w:rFonts w:ascii="Google Sans" w:cs="Google Sans" w:eastAsia="Google Sans" w:hAnsi="Google Sans"/>
          <w:color w:val="1f1f1f"/>
          <w:rtl w:val="0"/>
        </w:rPr>
        <w:t xml:space="preserve">：將此測試標準碼載入目標實體機台進行無負載空跑（Air-cut）。透過機台控制器提供的通訊介面或工業物聯網標準協議（如 MTConnect 或 OPC UA），以毫秒級的高採樣率記錄每一段特徵路徑的實際執行耗時與伺服馬達反饋的負載訊號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逆向最佳化校準（Reverse Calibration）</w:t>
      </w:r>
      <w:r w:rsidDel="00000000" w:rsidR="00000000" w:rsidRPr="00000000">
        <w:rPr>
          <w:rFonts w:ascii="Google Sans" w:cs="Google Sans" w:eastAsia="Google Sans" w:hAnsi="Google Sans"/>
          <w:color w:val="1f1f1f"/>
          <w:rtl w:val="0"/>
        </w:rPr>
        <w:t xml:space="preserve">：將實測獲得的時間與動態矩陣回傳至數位雙生系統。系統利用最佳化演算法（如梯度下降法或啟發式演算法），以最小化「虛擬模擬時間」與「實體測量時間」之間的誤差為目標函數，自動反向迭代求解出虛擬模型中的 </w:t>
      </w:r>
      <w:r w:rsidDel="00000000" w:rsidR="00000000" w:rsidRPr="00000000">
        <w:rPr>
          <w:rFonts w:ascii="Google Sans" w:cs="Google Sans" w:eastAsia="Google Sans" w:hAnsi="Google Sans"/>
          <w:color w:val="1f1f1f"/>
        </w:rPr>
        <w:drawing>
          <wp:inline distB="19050" distT="19050" distL="19050" distR="19050">
            <wp:extent cx="362381" cy="235230"/>
            <wp:effectExtent b="0" l="0" r="0" t="0"/>
            <wp:docPr id="48"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362381" cy="2352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340823" cy="233527"/>
            <wp:effectExtent b="0" l="0" r="0" t="0"/>
            <wp:docPr id="50"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340823" cy="2335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與 </w:t>
      </w:r>
      <w:r w:rsidDel="00000000" w:rsidR="00000000" w:rsidRPr="00000000">
        <w:rPr>
          <w:rFonts w:ascii="Google Sans" w:cs="Google Sans" w:eastAsia="Google Sans" w:hAnsi="Google Sans"/>
          <w:color w:val="1f1f1f"/>
        </w:rPr>
        <w:drawing>
          <wp:inline distB="19050" distT="19050" distL="19050" distR="19050">
            <wp:extent cx="74867" cy="230841"/>
            <wp:effectExtent b="0" l="0" r="0" t="0"/>
            <wp:docPr id="53"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74867" cy="2308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最佳適配值。此流程相當於為每台設備萃取獨一無二的「數位指紋」，使得軟體模型能與物理機台進行快速且高精度的配對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第七章：從時間預測邁向全視角數位雙生 ─ 能耗與結構診斷整合</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精準的加工時間預測並非數位雙生模組的終點，而是開展更進階應用的基石。在現代製造業追求永續生產（ESG）與高可靠度加工的趨勢下，將時間預測架構橫向擴展至「加工能耗估測」與「結構振動診斷」，是打造全視角（Multi-view）數位雙生的關鍵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模組化組件建模與能量分解結構 (EBS)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由於加工時間與機台功率在時間軸上具有高度的重疊性與耦合性，掌握了精確的瞬時速度與加速度分佈，便能極為精確地推算機台的動態功率負載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。為了克服傳統黑箱能耗模型「一旦更換設備即完全失效」的泛化性難題，本模組採用「模組化組件建模（Modular Aggregation Strategy）」結合能量分解結構（Energy Breakdown Structure, EBS）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工具機的總能耗不再視為單一變數，而是被拆解為多個相互獨立、具備明確物理意義的子系統耗能總和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620921" cy="539508"/>
            <wp:effectExtent b="0" l="0" r="0" t="0"/>
            <wp:docPr id="55"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620921" cy="539508"/>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進給軸與主軸模組 (</w:t>
      </w:r>
      <w:r w:rsidDel="00000000" w:rsidR="00000000" w:rsidRPr="00000000">
        <w:rPr>
          <w:rFonts w:ascii="Google Sans" w:cs="Google Sans" w:eastAsia="Google Sans" w:hAnsi="Google Sans"/>
          <w:b w:val="1"/>
          <w:bCs w:val="1"/>
          <w:color w:val="1f1f1f"/>
        </w:rPr>
        <w:drawing>
          <wp:inline distB="19050" distT="19050" distL="19050" distR="19050">
            <wp:extent cx="1017565" cy="232407"/>
            <wp:effectExtent b="0" l="0" r="0" t="0"/>
            <wp:docPr id="57"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1017565" cy="23240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：受惠於 L4 運動學引擎計算出的瞬時加速度 </w:t>
      </w:r>
      <w:r w:rsidDel="00000000" w:rsidR="00000000" w:rsidRPr="00000000">
        <w:rPr>
          <w:rFonts w:ascii="Google Sans" w:cs="Google Sans" w:eastAsia="Google Sans" w:hAnsi="Google Sans"/>
          <w:color w:val="1f1f1f"/>
        </w:rPr>
        <w:drawing>
          <wp:inline distB="19050" distT="19050" distL="19050" distR="19050">
            <wp:extent cx="307700" cy="237186"/>
            <wp:effectExtent b="0" l="0" r="0" t="0"/>
            <wp:docPr id="59"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307700" cy="2371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與速度 </w:t>
      </w:r>
      <w:r w:rsidDel="00000000" w:rsidR="00000000" w:rsidRPr="00000000">
        <w:rPr>
          <w:rFonts w:ascii="Google Sans" w:cs="Google Sans" w:eastAsia="Google Sans" w:hAnsi="Google Sans"/>
          <w:color w:val="1f1f1f"/>
        </w:rPr>
        <w:drawing>
          <wp:inline distB="19050" distT="19050" distL="19050" distR="19050">
            <wp:extent cx="306133" cy="235977"/>
            <wp:effectExtent b="0" l="0" r="0" t="0"/>
            <wp:docPr id="38"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306133" cy="2359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，進給軸模組可直接套用牛頓力學定律，精確計算出克服組件慣性進行加減速，以及克服線性滑軌摩擦力所需的動態機械功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。主軸模組則基於動態轉矩曲線與變頻驅動器（VFD）的損耗模型，計算轉速維持與切削負載耗能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輔助系統狀態機 (</w:t>
      </w:r>
      <w:r w:rsidDel="00000000" w:rsidR="00000000" w:rsidRPr="00000000">
        <w:rPr>
          <w:rFonts w:ascii="Google Sans" w:cs="Google Sans" w:eastAsia="Google Sans" w:hAnsi="Google Sans"/>
          <w:b w:val="1"/>
          <w:bCs w:val="1"/>
          <w:color w:val="1f1f1f"/>
        </w:rPr>
        <w:drawing>
          <wp:inline distB="19050" distT="19050" distL="19050" distR="19050">
            <wp:extent cx="343567" cy="235407"/>
            <wp:effectExtent b="0" l="0" r="0" t="0"/>
            <wp:docPr id="21"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343567" cy="23540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：將機台的冷卻泵浦、切削液系統、排屑機與空壓設備等，建模為基於 NC-Code 中 M 碼指令（如 M08 開啟冷卻液、M09 關閉）觸發的虛擬有限狀態機（Finite State Machine）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。雖然這些設備的運作功率相對恆定，但由於時間預估模組提供了極高精度的時間軸映射，系統能夠完美計算出這些輔助設備因運作時序長短所累積的龐大能耗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透過這種模組化架構，當工廠對設備進行局部升級（例如更換更大馬力的主軸或更高效率的冷卻泵）時，系統具備「即插即用（Plug-and-play）」的特性。工程師僅需抽換該特定組件的特徵參數設定檔，其餘的進給軸模型與切削能耗模型皆可無縫沿用，徹底免除了對全系統進行重新建模與繁瑣切削實驗的巨大成本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結構動態響應與振動診斷之延伸</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sectPr>
          <w:type w:val="nextPage"/>
          <w:pgSz w:h="15840" w:w="12240" w:orient="portrait"/>
          <w:pgMar w:bottom="1440" w:top="1440" w:left="1440" w:right="1440" w:header="0" w:footer="720"/>
        </w:sectPr>
      </w:pPr>
      <w:r w:rsidDel="00000000" w:rsidR="00000000" w:rsidRPr="00000000">
        <w:rPr>
          <w:rFonts w:ascii="Google Sans" w:cs="Google Sans" w:eastAsia="Google Sans" w:hAnsi="Google Sans"/>
          <w:color w:val="1f1f1f"/>
          <w:rtl w:val="0"/>
        </w:rPr>
        <w:t xml:space="preserve">除了時間與能耗，數位雙生架構所建立的動態時間軸，同樣適用於機台的振動預測與加工穩定性分析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系統可導入實驗量測所得的機台頻率響應函數（Frequency Response Function, FRF），利用系統識別（System Identification）演算法將其轉換為代表機台動態剛性的數學傳遞函數（Transfer Function, </w:t>
      </w:r>
      <w:r w:rsidDel="00000000" w:rsidR="00000000" w:rsidRPr="00000000">
        <w:rPr>
          <w:rFonts w:ascii="Google Sans" w:cs="Google Sans" w:eastAsia="Google Sans" w:hAnsi="Google Sans"/>
          <w:color w:val="1f1f1f"/>
        </w:rPr>
        <w:drawing>
          <wp:inline distB="19050" distT="19050" distL="19050" distR="19050">
            <wp:extent cx="398149" cy="233833"/>
            <wp:effectExtent b="0" l="0" r="0" t="0"/>
            <wp:docPr id="26"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398149" cy="2338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。將 PIML 模型估算出的動態切削力作為外部激勵訊號輸入至該傳遞函數，系統便能在虛擬空間中預測出刀尖點隨時間變化的位移與加速度響應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。結合快速傅立葉轉換（FFT）與穩定性葉瓣圖（Stability Lobes）分析，數位雙生系統能在實際動刀前，自動偵測出可能引發再生顫振（Regenerative Chatter）的危險頻段，並透過回溯診斷邏輯，主動建議使用者修改 NC-Code 中的特定主軸轉速或進給率設定，實現真正的虛實融合防微杜漸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第八章：系統實施路徑與工業物聯網標準整合</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依據嚴謹的軟體工程與系統工程實務，開發此高度複雜的數位雙生估測模組可依循下列四個漸進式階段穩步實施，確保各層次技術的無縫銜接：</w:t>
      </w:r>
    </w:p>
    <w:tbl>
      <w:tblPr>
        <w:tblStyle w:val="Table1"/>
        <w:tblW w:w="9691.653543307086"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5"/>
        <w:gridCol w:w="4785"/>
        <w:gridCol w:w="3571.6535433070867"/>
        <w:tblGridChange w:id="0">
          <w:tblGrid>
            <w:gridCol w:w="1335"/>
            <w:gridCol w:w="4785"/>
            <w:gridCol w:w="3571.6535433070867"/>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實施階段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核心開發重點與工程任務</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預期系統能力與技術產出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1: 基礎架構與語意解析</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建構模組化之系統底層架構。開發支援複雜正則表達式之高階 NC-Code 解析器。實作 HTM 逆向運動學座標轉換矩陣與虛擬模態狀態機追蹤。構建具備製程語意保留能力的 IR 中介表示法資料結構。</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系統具備將任意格式之 NC-Code 準確轉化為結構化幾何路徑與機台實體軸運動數據之能力。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2: 運動學核心引擎實作</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深入開發 L4 運動控制層。實作七段式 S 型加減速連續數學函數，並完善短線段下的邊界條件檢測與曲線退化邏輯。導入雙向掃描滑動視窗前瞻演算法與轉角向心加速度物理約束。</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建立高保真度之時間預測核心引擎，證明時間估測誤差可成功縮斂至 8% 甚至 1% 之目標範圍內。</w:t>
            </w:r>
          </w:p>
        </w:tc>
      </w:tr>
      <w:tr>
        <w:trPr>
          <w:cantSplit w:val="0"/>
          <w:trHeight w:val="19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3: 特徵識別與物聯網整合</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制定機台特徵設定檔（Machine Profiles）規格。開發並驗證標準 Benchmark 測試碼。整合 OPC UA 或 MTConnect 等國際通訊標準擷取實體控制器之高頻時序資料，實作反推最佳化校準演算法。</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提供自動化之機台「數位指紋」生成工具，大幅降低數位雙生系統之初次建置與校準門檻。</w:t>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4: 多視角數位雙生擴充</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整合 EBS 能量分解架構，開發比切削能（SEC）物理約束層與 PIML 神經網路模型。導入遷移學習技術進行跨機台適應性驗證。可選配整合 FRF 轉換與時域/頻域振動響應模擬分析功能。</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完成具備高精度加工時間預測、即時能耗碳足跡核算，以及初步振動診斷能力之全視角（Multi-view）數位雙生系統平台。</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在系統設計上，為確保數位雙生模組能與現代智慧工廠的 IT/OT 架構順利融合，系統之資料交換介面應嚴格遵循 ISO 23247 製造業數位雙生框架標準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。透過標準化的 OPC UA 協議與實體 CNC 控制器進行底層資料交握，確保虛擬模型與物理實體間資訊同步的高效性與安全性，並支援雲端與邊緣運算（Edge Computing）混合部署架構，滿足工業現場對低延遲與高可靠度的嚴苛要求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結論</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現代精密製造與高速切削領域中，時間與能耗的度量已無法脫離深層的運動力學與物理本質。單純依賴幾何路徑解析與理想定速假設的傳統預測框架，在面對微小線段插補與多軸複雜連動時，已無可避免地顯露出嚴重的樂觀偏見與系統性誤差。</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sectPr>
          <w:type w:val="nextPage"/>
          <w:pgSz w:h="15840" w:w="12240" w:orient="portrait"/>
          <w:pgMar w:bottom="1440" w:top="1440" w:left="1440" w:right="1440" w:header="0" w:footer="720"/>
        </w:sectPr>
      </w:pPr>
      <w:r w:rsidDel="00000000" w:rsidR="00000000" w:rsidRPr="00000000">
        <w:rPr>
          <w:rFonts w:ascii="Google Sans" w:cs="Google Sans" w:eastAsia="Google Sans" w:hAnsi="Google Sans"/>
          <w:color w:val="1f1f1f"/>
          <w:rtl w:val="0"/>
        </w:rPr>
        <w:t xml:space="preserve">本報告所規畫之 NC-Code 數位雙生加工時間估測模組，從根本上重構了底層的運算邏輯與系統架構。透過建構編譯器級別的中介表示法（IR）架構，並深度融合涵蓋抖動控制的七段式 S 型加減速物理模型與基於雙向掃描的轉角前瞻演算法，讓虛擬環境中的數據流得以嚴格遵循實體伺服系統的動力學極限與物理約束。這不僅能將加工時間預測的誤差從 40% 大幅壓縮至 8% 以內，更透過物理資訊機器學習（PIML）與遷移學習技術的導入，奠定了跨機台、低成本部署能耗與振動診斷模型的堅實基礎。此一高度整合物理機制與數據智能的數位雙生架構，必將成為製造業優化生產排程、推動節能減碳與實踐智慧製造轉型的核心技術利器。</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CNC Machining Trends: How Data, Automation and Hybrid Tech Are Reshaping Precision Manufacturing,  </w:t>
      </w:r>
      <w:hyperlink r:id="rId41">
        <w:r w:rsidDel="00000000" w:rsidR="00000000" w:rsidRPr="00000000">
          <w:rPr>
            <w:rFonts w:ascii="Google Sans" w:cs="Google Sans" w:eastAsia="Google Sans" w:hAnsi="Google Sans"/>
            <w:color w:val="0000ee"/>
            <w:sz w:val="24"/>
            <w:szCs w:val="24"/>
            <w:u w:val="single"/>
            <w:rtl w:val="0"/>
          </w:rPr>
          <w:t xml:space="preserve">https://www.automation.com/article/2026-cnc-machining-trends-data-automation-hybrid-tech</w:t>
        </w:r>
      </w:hyperlink>
      <w:r w:rsidDel="00000000" w:rsidR="00000000" w:rsidRPr="00000000">
        <w:rPr>
          <w:rtl w:val="0"/>
        </w:rPr>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CNC Machining Trends: 5 Key Shifts Defining Precision Manufacturing - 3DS Blog,  </w:t>
      </w:r>
      <w:hyperlink r:id="rId42">
        <w:r w:rsidDel="00000000" w:rsidR="00000000" w:rsidRPr="00000000">
          <w:rPr>
            <w:rFonts w:ascii="Google Sans" w:cs="Google Sans" w:eastAsia="Google Sans" w:hAnsi="Google Sans"/>
            <w:color w:val="0000ee"/>
            <w:sz w:val="24"/>
            <w:szCs w:val="24"/>
            <w:u w:val="single"/>
            <w:rtl w:val="0"/>
          </w:rPr>
          <w:t xml:space="preserve">https://blog.3ds.com/brands/delmia/2026-cnc-machining-trends-to-pay-attention-to/</w:t>
        </w:r>
      </w:hyperlink>
      <w:r w:rsidDel="00000000" w:rsidR="00000000" w:rsidRPr="00000000">
        <w:rPr>
          <w:rtl w:val="0"/>
        </w:rPr>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綠智能</w:t>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Review on Workshop Scheduling for Intelligent Manufacturing: Digital Twin Modeling, Optimization Algorithm, and System Architecture - MDPI,  </w:t>
      </w:r>
      <w:hyperlink r:id="rId43">
        <w:r w:rsidDel="00000000" w:rsidR="00000000" w:rsidRPr="00000000">
          <w:rPr>
            <w:rFonts w:ascii="Google Sans" w:cs="Google Sans" w:eastAsia="Google Sans" w:hAnsi="Google Sans"/>
            <w:color w:val="0000ee"/>
            <w:sz w:val="24"/>
            <w:szCs w:val="24"/>
            <w:u w:val="single"/>
            <w:rtl w:val="0"/>
          </w:rPr>
          <w:t xml:space="preserve">https://www.mdpi.com/2075-1702/13/11/1021</w:t>
        </w:r>
      </w:hyperlink>
      <w:r w:rsidDel="00000000" w:rsidR="00000000" w:rsidRPr="00000000">
        <w:rPr>
          <w:rtl w:val="0"/>
        </w:rPr>
      </w:r>
    </w:p>
    <w:p w:rsidR="00000000" w:rsidDel="00000000" w:rsidP="00000000" w:rsidRDefault="00000000" w:rsidRPr="00000000" w14:paraId="0000008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digital twin of a cnc machine tool - National Institute of Standards and Technology,  </w:t>
      </w:r>
      <w:hyperlink r:id="rId44">
        <w:r w:rsidDel="00000000" w:rsidR="00000000" w:rsidRPr="00000000">
          <w:rPr>
            <w:rFonts w:ascii="Google Sans" w:cs="Google Sans" w:eastAsia="Google Sans" w:hAnsi="Google Sans"/>
            <w:color w:val="0000ee"/>
            <w:sz w:val="24"/>
            <w:szCs w:val="24"/>
            <w:u w:val="single"/>
            <w:rtl w:val="0"/>
          </w:rPr>
          <w:t xml:space="preserve">https://tsapps.nist.gov/publication/get_pdf.cfm?pub_id=957945</w:t>
        </w:r>
      </w:hyperlink>
      <w:r w:rsidDel="00000000" w:rsidR="00000000" w:rsidRPr="00000000">
        <w:rPr>
          <w:rtl w:val="0"/>
        </w:rPr>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of Applications of Digital Twins and Industry 4.0 for Machining - MDPI,  </w:t>
      </w:r>
      <w:hyperlink r:id="rId45">
        <w:r w:rsidDel="00000000" w:rsidR="00000000" w:rsidRPr="00000000">
          <w:rPr>
            <w:rFonts w:ascii="Google Sans" w:cs="Google Sans" w:eastAsia="Google Sans" w:hAnsi="Google Sans"/>
            <w:color w:val="0000ee"/>
            <w:sz w:val="24"/>
            <w:szCs w:val="24"/>
            <w:u w:val="single"/>
            <w:rtl w:val="0"/>
          </w:rPr>
          <w:t xml:space="preserve">https://www.mdpi.com/2504-4494/9/7/211</w:t>
        </w:r>
      </w:hyperlink>
      <w:r w:rsidDel="00000000" w:rsidR="00000000" w:rsidRPr="00000000">
        <w:rPr>
          <w:rtl w:val="0"/>
        </w:rPr>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Mathematics of Motion Control Profiles: Optimizing Stepper Motor &amp; Servo Systems | PMD,  </w:t>
      </w:r>
      <w:hyperlink r:id="rId46">
        <w:r w:rsidDel="00000000" w:rsidR="00000000" w:rsidRPr="00000000">
          <w:rPr>
            <w:rFonts w:ascii="Google Sans" w:cs="Google Sans" w:eastAsia="Google Sans" w:hAnsi="Google Sans"/>
            <w:color w:val="0000ee"/>
            <w:sz w:val="24"/>
            <w:szCs w:val="24"/>
            <w:u w:val="single"/>
            <w:rtl w:val="0"/>
          </w:rPr>
          <w:t xml:space="preserve">https://www.pmdcorp.com/resources/type/articles/get/mathematics-of-motion-control-profiles-article</w:t>
        </w:r>
      </w:hyperlink>
      <w:r w:rsidDel="00000000" w:rsidR="00000000" w:rsidRPr="00000000">
        <w:rPr>
          <w:rtl w:val="0"/>
        </w:rPr>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Improved Seven-Segment Acceleration/Deceleration Algorithms Based on Cosine and Exponential Functions for Vibration Suppression - Clausius Scientific Press,  </w:t>
      </w:r>
      <w:hyperlink r:id="rId47">
        <w:r w:rsidDel="00000000" w:rsidR="00000000" w:rsidRPr="00000000">
          <w:rPr>
            <w:rFonts w:ascii="Google Sans" w:cs="Google Sans" w:eastAsia="Google Sans" w:hAnsi="Google Sans"/>
            <w:color w:val="0000ee"/>
            <w:sz w:val="24"/>
            <w:szCs w:val="24"/>
            <w:u w:val="single"/>
            <w:rtl w:val="0"/>
          </w:rPr>
          <w:t xml:space="preserve">https://www.clausiuspress.com/assets/default/article/2026/01/05/article_1767607606.pdf</w:t>
        </w:r>
      </w:hyperlink>
      <w:r w:rsidDel="00000000" w:rsidR="00000000" w:rsidRPr="00000000">
        <w:rPr>
          <w:rtl w:val="0"/>
        </w:rPr>
      </w:r>
    </w:p>
    <w:p w:rsidR="00000000" w:rsidDel="00000000" w:rsidP="00000000" w:rsidRDefault="00000000" w:rsidRPr="00000000" w14:paraId="0000008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S-Curve Motion Profiles: Optimize Machine Performance | PMD,  </w:t>
      </w:r>
      <w:hyperlink r:id="rId48">
        <w:r w:rsidDel="00000000" w:rsidR="00000000" w:rsidRPr="00000000">
          <w:rPr>
            <w:rFonts w:ascii="Google Sans" w:cs="Google Sans" w:eastAsia="Google Sans" w:hAnsi="Google Sans"/>
            <w:color w:val="0000ee"/>
            <w:sz w:val="24"/>
            <w:szCs w:val="24"/>
            <w:u w:val="single"/>
            <w:rtl w:val="0"/>
          </w:rPr>
          <w:t xml:space="preserve">https://www.pmdcorp.com/resources/type/articles/get/s-curve-profiles-deep-dive-article</w:t>
        </w:r>
      </w:hyperlink>
      <w:r w:rsidDel="00000000" w:rsidR="00000000" w:rsidRPr="00000000">
        <w:rPr>
          <w:rtl w:val="0"/>
        </w:rPr>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Trajectory Planning Point-to-Point Interactive Calculator... - Firgelli Automations,  </w:t>
      </w:r>
      <w:hyperlink r:id="rId49">
        <w:r w:rsidDel="00000000" w:rsidR="00000000" w:rsidRPr="00000000">
          <w:rPr>
            <w:rFonts w:ascii="Google Sans" w:cs="Google Sans" w:eastAsia="Google Sans" w:hAnsi="Google Sans"/>
            <w:color w:val="0000ee"/>
            <w:sz w:val="24"/>
            <w:szCs w:val="24"/>
            <w:u w:val="single"/>
            <w:rtl w:val="0"/>
          </w:rPr>
          <w:t xml:space="preserve">https://www.firgelliauto.com/blogs/calculators/trajectory-planning-point-to-point-calculator</w:t>
        </w:r>
      </w:hyperlink>
      <w:r w:rsidDel="00000000" w:rsidR="00000000" w:rsidRPr="00000000">
        <w:rPr>
          <w:rtl w:val="0"/>
        </w:rPr>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Seven-Segment Profile Algorithm for an Open Source Architecture in a Hybrid Electronic Platform - MDPI,  </w:t>
      </w:r>
      <w:hyperlink r:id="rId50">
        <w:r w:rsidDel="00000000" w:rsidR="00000000" w:rsidRPr="00000000">
          <w:rPr>
            <w:rFonts w:ascii="Google Sans" w:cs="Google Sans" w:eastAsia="Google Sans" w:hAnsi="Google Sans"/>
            <w:color w:val="0000ee"/>
            <w:sz w:val="24"/>
            <w:szCs w:val="24"/>
            <w:u w:val="single"/>
            <w:rtl w:val="0"/>
          </w:rPr>
          <w:t xml:space="preserve">https://www.mdpi.com/2079-9292/8/6/652</w:t>
        </w:r>
      </w:hyperlink>
      <w:r w:rsidDel="00000000" w:rsidR="00000000" w:rsidRPr="00000000">
        <w:rPr>
          <w:rtl w:val="0"/>
        </w:rPr>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Time-Optimal Asymmetric S-Curve Trajectory Planning of Redundant Manipulators under Kinematic Constraints - PMC,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https://pmc.ncbi.nlm.nih.gov/articles/PMC10052581/</w:t>
        </w:r>
      </w:hyperlink>
      <w:r w:rsidDel="00000000" w:rsidR="00000000" w:rsidRPr="00000000">
        <w:rPr>
          <w:rtl w:val="0"/>
        </w:rPr>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CNC Look Ahead S Shape | PDF | Acceleration | Numerical Control - Scribd,  </w:t>
      </w:r>
      <w:hyperlink r:id="rId52">
        <w:r w:rsidDel="00000000" w:rsidR="00000000" w:rsidRPr="00000000">
          <w:rPr>
            <w:rFonts w:ascii="Google Sans" w:cs="Google Sans" w:eastAsia="Google Sans" w:hAnsi="Google Sans"/>
            <w:color w:val="0000ee"/>
            <w:sz w:val="24"/>
            <w:szCs w:val="24"/>
            <w:u w:val="single"/>
            <w:rtl w:val="0"/>
          </w:rPr>
          <w:t xml:space="preserve">https://www.scribd.com/document/225504681/CNC-Look-Ahead-s-Shape</w:t>
        </w:r>
      </w:hyperlink>
      <w:r w:rsidDel="00000000" w:rsidR="00000000" w:rsidRPr="00000000">
        <w:rPr>
          <w:rtl w:val="0"/>
        </w:rPr>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SCIENCE CHINA High speed interpolation for micro-line trajectory and adaptive real-time look-ahead scheme in CNC machining,  </w:t>
      </w:r>
      <w:hyperlink r:id="rId53">
        <w:r w:rsidDel="00000000" w:rsidR="00000000" w:rsidRPr="00000000">
          <w:rPr>
            <w:rFonts w:ascii="Google Sans" w:cs="Google Sans" w:eastAsia="Google Sans" w:hAnsi="Google Sans"/>
            <w:color w:val="0000ee"/>
            <w:sz w:val="24"/>
            <w:szCs w:val="24"/>
            <w:u w:val="single"/>
            <w:rtl w:val="0"/>
          </w:rPr>
          <w:t xml:space="preserve">http://www.mmrc.iss.ac.cn/~xgao/papernc/2011-scichina-1.pdf</w:t>
        </w:r>
      </w:hyperlink>
      <w:r w:rsidDel="00000000" w:rsidR="00000000" w:rsidRPr="00000000">
        <w:rPr>
          <w:rtl w:val="0"/>
        </w:rPr>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real-time look-ahead interpolation methodology with curvature-continuous B-spline transition scheme for CNC machining of short line segments - ResearchGate,  </w:t>
      </w:r>
      <w:hyperlink r:id="rId54">
        <w:r w:rsidDel="00000000" w:rsidR="00000000" w:rsidRPr="00000000">
          <w:rPr>
            <w:rFonts w:ascii="Google Sans" w:cs="Google Sans" w:eastAsia="Google Sans" w:hAnsi="Google Sans"/>
            <w:color w:val="0000ee"/>
            <w:sz w:val="24"/>
            <w:szCs w:val="24"/>
            <w:u w:val="single"/>
            <w:rtl w:val="0"/>
          </w:rPr>
          <w:t xml:space="preserve">https://www.researchgate.net/publication/271603878_A_real-time_look-ahead_interpolation_methodology_with_curvature-continuous_B-spline_transition_scheme_for_CNC_machining_of_short_line_segments</w:t>
        </w:r>
      </w:hyperlink>
      <w:r w:rsidDel="00000000" w:rsidR="00000000" w:rsidRPr="00000000">
        <w:rPr>
          <w:rtl w:val="0"/>
        </w:rPr>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Optimized continuous small line interpolation algorithm for high end CNC machine tools using a cross segment approach - PMC,  </w:t>
      </w:r>
      <w:hyperlink r:id="rId55">
        <w:r w:rsidDel="00000000" w:rsidR="00000000" w:rsidRPr="00000000">
          <w:rPr>
            <w:rFonts w:ascii="Google Sans" w:cs="Google Sans" w:eastAsia="Google Sans" w:hAnsi="Google Sans"/>
            <w:color w:val="0000ee"/>
            <w:sz w:val="24"/>
            <w:szCs w:val="24"/>
            <w:u w:val="single"/>
            <w:rtl w:val="0"/>
          </w:rPr>
          <w:t xml:space="preserve">https://pmc.ncbi.nlm.nih.gov/articles/PMC12789697/</w:t>
        </w:r>
      </w:hyperlink>
      <w:r w:rsidDel="00000000" w:rsidR="00000000" w:rsidRPr="00000000">
        <w:rPr>
          <w:rtl w:val="0"/>
        </w:rPr>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Accuracy and efficiency improvements for CNC machines based on advanced toolpath descriptions and motion control algorithms,  </w:t>
      </w:r>
      <w:hyperlink r:id="rId56">
        <w:r w:rsidDel="00000000" w:rsidR="00000000" w:rsidRPr="00000000">
          <w:rPr>
            <w:rFonts w:ascii="Google Sans" w:cs="Google Sans" w:eastAsia="Google Sans" w:hAnsi="Google Sans"/>
            <w:color w:val="0000ee"/>
            <w:sz w:val="24"/>
            <w:szCs w:val="24"/>
            <w:u w:val="single"/>
            <w:rtl w:val="0"/>
          </w:rPr>
          <w:t xml:space="preserve">https://faculty.engineering.ucdavis.edu/farouki/wp-content/uploads/sites/41/2013/02/Computer-numerical-control-algorithms.pdf</w:t>
        </w:r>
      </w:hyperlink>
      <w:r w:rsidDel="00000000" w:rsidR="00000000" w:rsidRPr="00000000">
        <w:rPr>
          <w:rtl w:val="0"/>
        </w:rPr>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on the Digital Twin Architecture and Application of CNC System - 系统仿真学报,  </w:t>
      </w:r>
      <w:hyperlink r:id="rId57">
        <w:r w:rsidDel="00000000" w:rsidR="00000000" w:rsidRPr="00000000">
          <w:rPr>
            <w:rFonts w:ascii="Google Sans" w:cs="Google Sans" w:eastAsia="Google Sans" w:hAnsi="Google Sans"/>
            <w:color w:val="0000ee"/>
            <w:sz w:val="24"/>
            <w:szCs w:val="24"/>
            <w:u w:val="single"/>
            <w:rtl w:val="0"/>
          </w:rPr>
          <w:t xml:space="preserve">https://www.china-simulation.com/EN/10.16182/j.issn1004731x.joss.23-1004</w:t>
        </w:r>
      </w:hyperlink>
      <w:r w:rsidDel="00000000" w:rsidR="00000000" w:rsidRPr="00000000">
        <w:rPr>
          <w:rtl w:val="0"/>
        </w:rPr>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Digital twin-based multi-view energy efficiency prediction for machining systems,  </w:t>
      </w:r>
      <w:hyperlink r:id="rId58">
        <w:r w:rsidDel="00000000" w:rsidR="00000000" w:rsidRPr="00000000">
          <w:rPr>
            <w:rFonts w:ascii="Google Sans" w:cs="Google Sans" w:eastAsia="Google Sans" w:hAnsi="Google Sans"/>
            <w:color w:val="0000ee"/>
            <w:sz w:val="24"/>
            <w:szCs w:val="24"/>
            <w:u w:val="single"/>
            <w:rtl w:val="0"/>
          </w:rPr>
          <w:t xml:space="preserve">https://www.tandfonline.com/doi/full/10.1080/27525783.2026.2634493</w:t>
        </w:r>
      </w:hyperlink>
      <w:r w:rsidDel="00000000" w:rsidR="00000000" w:rsidRPr="00000000">
        <w:rPr>
          <w:rtl w:val="0"/>
        </w:rPr>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Physics-Informed Machine Learning in Machining Process Modeling - ManTech Publications,  </w:t>
      </w:r>
      <w:hyperlink r:id="rId59">
        <w:r w:rsidDel="00000000" w:rsidR="00000000" w:rsidRPr="00000000">
          <w:rPr>
            <w:rFonts w:ascii="Google Sans" w:cs="Google Sans" w:eastAsia="Google Sans" w:hAnsi="Google Sans"/>
            <w:color w:val="0000ee"/>
            <w:sz w:val="24"/>
            <w:szCs w:val="24"/>
            <w:u w:val="single"/>
            <w:rtl w:val="0"/>
          </w:rPr>
          <w:t xml:space="preserve">https://admin.mantechpublications.com/index.php/JoMMSM/article/viewFile/3062/1660</w:t>
        </w:r>
      </w:hyperlink>
      <w:r w:rsidDel="00000000" w:rsidR="00000000" w:rsidRPr="00000000">
        <w:rPr>
          <w:rtl w:val="0"/>
        </w:rPr>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 of Specific Energy Consumption in Sustainable Milling of Ti-6Al-4V with Different Machine Learning Models - MDPI,  </w:t>
      </w:r>
      <w:hyperlink r:id="rId60">
        <w:r w:rsidDel="00000000" w:rsidR="00000000" w:rsidRPr="00000000">
          <w:rPr>
            <w:rFonts w:ascii="Google Sans" w:cs="Google Sans" w:eastAsia="Google Sans" w:hAnsi="Google Sans"/>
            <w:color w:val="0000ee"/>
            <w:sz w:val="24"/>
            <w:szCs w:val="24"/>
            <w:u w:val="single"/>
            <w:rtl w:val="0"/>
          </w:rPr>
          <w:t xml:space="preserve">https://www.mdpi.com/2075-4701/16/3/266</w:t>
        </w:r>
      </w:hyperlink>
      <w:r w:rsidDel="00000000" w:rsidR="00000000" w:rsidRPr="00000000">
        <w:rPr>
          <w:rtl w:val="0"/>
        </w:rPr>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prediction of NC machine tools based on DT technology and LSTM technology,  </w:t>
      </w:r>
      <w:hyperlink r:id="rId61">
        <w:r w:rsidDel="00000000" w:rsidR="00000000" w:rsidRPr="00000000">
          <w:rPr>
            <w:rFonts w:ascii="Google Sans" w:cs="Google Sans" w:eastAsia="Google Sans" w:hAnsi="Google Sans"/>
            <w:color w:val="0000ee"/>
            <w:sz w:val="24"/>
            <w:szCs w:val="24"/>
            <w:u w:val="single"/>
            <w:rtl w:val="0"/>
          </w:rPr>
          <w:t xml:space="preserve">https://www.frontiersin.org/journals/mechanical-engineering/articles/10.3389/fmech.2025.1727068/full</w:t>
        </w:r>
      </w:hyperlink>
      <w:r w:rsidDel="00000000" w:rsidR="00000000" w:rsidRPr="00000000">
        <w:rPr>
          <w:rtl w:val="0"/>
        </w:rPr>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bidirectional transfer learning method for tool life prediction in machine tools and robots based on the spatio-temporal features of multi-modal sensors and physics-informed constraints | Request PDF - ResearchGate,  </w:t>
      </w:r>
      <w:hyperlink r:id="rId62">
        <w:r w:rsidDel="00000000" w:rsidR="00000000" w:rsidRPr="00000000">
          <w:rPr>
            <w:rFonts w:ascii="Google Sans" w:cs="Google Sans" w:eastAsia="Google Sans" w:hAnsi="Google Sans"/>
            <w:color w:val="0000ee"/>
            <w:sz w:val="24"/>
            <w:szCs w:val="24"/>
            <w:u w:val="single"/>
            <w:rtl w:val="0"/>
          </w:rPr>
          <w:t xml:space="preserve">https://www.researchgate.net/publication/401640784_A_bidirectional_transfer_learning_method_for_tool_life_prediction_in_machine_tools_and_robots_based_on_the_spatio-temporal_features_of_multi-modal_sensors_and_physics-informed_constraints</w:t>
        </w:r>
      </w:hyperlink>
      <w:r w:rsidDel="00000000" w:rsidR="00000000" w:rsidRPr="00000000">
        <w:rPr>
          <w:rtl w:val="0"/>
        </w:rPr>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requirements for a digital twin of a CNC machine tool - Winter Simulation Conference,  </w:t>
      </w:r>
      <w:hyperlink r:id="rId63">
        <w:r w:rsidDel="00000000" w:rsidR="00000000" w:rsidRPr="00000000">
          <w:rPr>
            <w:rFonts w:ascii="Google Sans" w:cs="Google Sans" w:eastAsia="Google Sans" w:hAnsi="Google Sans"/>
            <w:color w:val="0000ee"/>
            <w:sz w:val="24"/>
            <w:szCs w:val="24"/>
            <w:u w:val="single"/>
            <w:rtl w:val="0"/>
          </w:rPr>
          <w:t xml:space="preserve">https://www.informs-sim.org/wsc25papers/inv136.pdf</w:t>
        </w:r>
      </w:hyperlink>
      <w:r w:rsidDel="00000000" w:rsidR="00000000" w:rsidRPr="00000000">
        <w:rPr>
          <w:rtl w:val="0"/>
        </w:rPr>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Intelligent Digital Twins for CNC Machining Optimization Using Reinforcement Learning and IoT Data - ResearchGate,  </w:t>
      </w:r>
      <w:hyperlink r:id="rId64">
        <w:r w:rsidDel="00000000" w:rsidR="00000000" w:rsidRPr="00000000">
          <w:rPr>
            <w:rFonts w:ascii="Google Sans" w:cs="Google Sans" w:eastAsia="Google Sans" w:hAnsi="Google Sans"/>
            <w:color w:val="0000ee"/>
            <w:sz w:val="24"/>
            <w:szCs w:val="24"/>
            <w:u w:val="single"/>
            <w:rtl w:val="0"/>
          </w:rPr>
          <w:t xml:space="preserve">https://www.researchgate.net/publication/402758766_Intelligent_Digital_Twins_for_CNC_Machining_Optimization_Using_Reinforcement_Learning_and_IoT_Data</w:t>
        </w:r>
      </w:hyperlink>
      <w:r w:rsidDel="00000000" w:rsidR="00000000" w:rsidRPr="00000000">
        <w:rPr>
          <w:rtl w:val="0"/>
        </w:rPr>
      </w:r>
    </w:p>
    <w:sectPr>
      <w:type w:val="nextPage"/>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hyperlink" Target="https://blog.3ds.com/brands/delmia/2026-cnc-machining-trends-to-pay-attention-to/" TargetMode="External"/><Relationship Id="rId41" Type="http://schemas.openxmlformats.org/officeDocument/2006/relationships/hyperlink" Target="https://www.automation.com/article/2026-cnc-machining-trends-data-automation-hybrid-tech" TargetMode="External"/><Relationship Id="rId44" Type="http://schemas.openxmlformats.org/officeDocument/2006/relationships/hyperlink" Target="https://tsapps.nist.gov/publication/get_pdf.cfm?pub_id=957945" TargetMode="External"/><Relationship Id="rId43" Type="http://schemas.openxmlformats.org/officeDocument/2006/relationships/hyperlink" Target="https://www.mdpi.com/2075-1702/13/11/1021" TargetMode="External"/><Relationship Id="rId46" Type="http://schemas.openxmlformats.org/officeDocument/2006/relationships/hyperlink" Target="https://www.pmdcorp.com/resources/type/articles/get/mathematics-of-motion-control-profiles-article" TargetMode="External"/><Relationship Id="rId45" Type="http://schemas.openxmlformats.org/officeDocument/2006/relationships/hyperlink" Target="https://www.mdpi.com/2504-4494/9/7/2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www.pmdcorp.com/resources/type/articles/get/s-curve-profiles-deep-dive-article" TargetMode="External"/><Relationship Id="rId47" Type="http://schemas.openxmlformats.org/officeDocument/2006/relationships/hyperlink" Target="https://www.clausiuspress.com/assets/default/article/2026/01/05/article_1767607606.pdf" TargetMode="External"/><Relationship Id="rId49" Type="http://schemas.openxmlformats.org/officeDocument/2006/relationships/hyperlink" Target="https://www.firgelliauto.com/blogs/calculators/trajectory-planning-point-to-point-calculator" TargetMode="Externa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15.png"/><Relationship Id="rId8" Type="http://schemas.openxmlformats.org/officeDocument/2006/relationships/image" Target="media/image27.png"/><Relationship Id="rId31" Type="http://schemas.openxmlformats.org/officeDocument/2006/relationships/image" Target="media/image5.png"/><Relationship Id="rId30" Type="http://schemas.openxmlformats.org/officeDocument/2006/relationships/image" Target="media/image8.png"/><Relationship Id="rId33" Type="http://schemas.openxmlformats.org/officeDocument/2006/relationships/image" Target="media/image4.png"/><Relationship Id="rId32" Type="http://schemas.openxmlformats.org/officeDocument/2006/relationships/image" Target="media/image7.png"/><Relationship Id="rId35" Type="http://schemas.openxmlformats.org/officeDocument/2006/relationships/image" Target="media/image31.png"/><Relationship Id="rId34" Type="http://schemas.openxmlformats.org/officeDocument/2006/relationships/image" Target="media/image1.png"/><Relationship Id="rId37" Type="http://schemas.openxmlformats.org/officeDocument/2006/relationships/image" Target="media/image35.png"/><Relationship Id="rId36" Type="http://schemas.openxmlformats.org/officeDocument/2006/relationships/image" Target="media/image28.png"/><Relationship Id="rId39" Type="http://schemas.openxmlformats.org/officeDocument/2006/relationships/image" Target="media/image19.png"/><Relationship Id="rId38" Type="http://schemas.openxmlformats.org/officeDocument/2006/relationships/image" Target="media/image33.png"/><Relationship Id="rId62" Type="http://schemas.openxmlformats.org/officeDocument/2006/relationships/hyperlink" Target="https://www.researchgate.net/publication/401640784_A_bidirectional_transfer_learning_method_for_tool_life_prediction_in_machine_tools_and_robots_based_on_the_spatio-temporal_features_of_multi-modal_sensors_and_physics-informed_constraints" TargetMode="External"/><Relationship Id="rId61" Type="http://schemas.openxmlformats.org/officeDocument/2006/relationships/hyperlink" Target="https://www.frontiersin.org/journals/mechanical-engineering/articles/10.3389/fmech.2025.1727068/full" TargetMode="External"/><Relationship Id="rId20" Type="http://schemas.openxmlformats.org/officeDocument/2006/relationships/image" Target="media/image34.png"/><Relationship Id="rId64" Type="http://schemas.openxmlformats.org/officeDocument/2006/relationships/hyperlink" Target="https://www.researchgate.net/publication/402758766_Intelligent_Digital_Twins_for_CNC_Machining_Optimization_Using_Reinforcement_Learning_and_IoT_Data" TargetMode="External"/><Relationship Id="rId63" Type="http://schemas.openxmlformats.org/officeDocument/2006/relationships/hyperlink" Target="https://www.informs-sim.org/wsc25papers/inv136.pdf" TargetMode="External"/><Relationship Id="rId22" Type="http://schemas.openxmlformats.org/officeDocument/2006/relationships/image" Target="media/image29.png"/><Relationship Id="rId21" Type="http://schemas.openxmlformats.org/officeDocument/2006/relationships/image" Target="media/image20.png"/><Relationship Id="rId24" Type="http://schemas.openxmlformats.org/officeDocument/2006/relationships/image" Target="media/image2.png"/><Relationship Id="rId23" Type="http://schemas.openxmlformats.org/officeDocument/2006/relationships/image" Target="media/image9.png"/><Relationship Id="rId60" Type="http://schemas.openxmlformats.org/officeDocument/2006/relationships/hyperlink" Target="https://www.mdpi.com/2075-4701/16/3/266" TargetMode="External"/><Relationship Id="rId26" Type="http://schemas.openxmlformats.org/officeDocument/2006/relationships/image" Target="media/image16.png"/><Relationship Id="rId25" Type="http://schemas.openxmlformats.org/officeDocument/2006/relationships/image" Target="media/image10.png"/><Relationship Id="rId28" Type="http://schemas.openxmlformats.org/officeDocument/2006/relationships/image" Target="media/image6.png"/><Relationship Id="rId27" Type="http://schemas.openxmlformats.org/officeDocument/2006/relationships/image" Target="media/image14.png"/><Relationship Id="rId29" Type="http://schemas.openxmlformats.org/officeDocument/2006/relationships/image" Target="media/image11.png"/><Relationship Id="rId51" Type="http://schemas.openxmlformats.org/officeDocument/2006/relationships/hyperlink" Target="https://pmc.ncbi.nlm.nih.gov/articles/PMC10052581/" TargetMode="External"/><Relationship Id="rId50" Type="http://schemas.openxmlformats.org/officeDocument/2006/relationships/hyperlink" Target="https://www.mdpi.com/2079-9292/8/6/652" TargetMode="External"/><Relationship Id="rId53" Type="http://schemas.openxmlformats.org/officeDocument/2006/relationships/hyperlink" Target="http://www.mmrc.iss.ac.cn/~xgao/papernc/2011-scichina-1.pdf" TargetMode="External"/><Relationship Id="rId52" Type="http://schemas.openxmlformats.org/officeDocument/2006/relationships/hyperlink" Target="https://www.scribd.com/document/225504681/CNC-Look-Ahead-s-Shape" TargetMode="External"/><Relationship Id="rId11" Type="http://schemas.openxmlformats.org/officeDocument/2006/relationships/image" Target="media/image17.png"/><Relationship Id="rId55" Type="http://schemas.openxmlformats.org/officeDocument/2006/relationships/hyperlink" Target="https://pmc.ncbi.nlm.nih.gov/articles/PMC12789697/" TargetMode="External"/><Relationship Id="rId10" Type="http://schemas.openxmlformats.org/officeDocument/2006/relationships/image" Target="media/image30.png"/><Relationship Id="rId54" Type="http://schemas.openxmlformats.org/officeDocument/2006/relationships/hyperlink" Target="https://www.researchgate.net/publication/271603878_A_real-time_look-ahead_interpolation_methodology_with_curvature-continuous_B-spline_transition_scheme_for_CNC_machining_of_short_line_segments" TargetMode="External"/><Relationship Id="rId13" Type="http://schemas.openxmlformats.org/officeDocument/2006/relationships/image" Target="media/image32.png"/><Relationship Id="rId57" Type="http://schemas.openxmlformats.org/officeDocument/2006/relationships/hyperlink" Target="https://www.china-simulation.com/EN/10.16182/j.issn1004731x.joss.23-1004" TargetMode="External"/><Relationship Id="rId12" Type="http://schemas.openxmlformats.org/officeDocument/2006/relationships/image" Target="media/image26.png"/><Relationship Id="rId56" Type="http://schemas.openxmlformats.org/officeDocument/2006/relationships/hyperlink" Target="https://faculty.engineering.ucdavis.edu/farouki/wp-content/uploads/sites/41/2013/02/Computer-numerical-control-algorithms.pdf" TargetMode="External"/><Relationship Id="rId15" Type="http://schemas.openxmlformats.org/officeDocument/2006/relationships/image" Target="media/image24.png"/><Relationship Id="rId59" Type="http://schemas.openxmlformats.org/officeDocument/2006/relationships/hyperlink" Target="https://admin.mantechpublications.com/index.php/JoMMSM/article/viewFile/3062/1660" TargetMode="External"/><Relationship Id="rId14" Type="http://schemas.openxmlformats.org/officeDocument/2006/relationships/image" Target="media/image12.png"/><Relationship Id="rId58" Type="http://schemas.openxmlformats.org/officeDocument/2006/relationships/hyperlink" Target="https://www.tandfonline.com/doi/full/10.1080/27525783.2026.2634493" TargetMode="External"/><Relationship Id="rId17" Type="http://schemas.openxmlformats.org/officeDocument/2006/relationships/image" Target="media/image25.png"/><Relationship Id="rId16" Type="http://schemas.openxmlformats.org/officeDocument/2006/relationships/image" Target="media/image22.png"/><Relationship Id="rId19" Type="http://schemas.openxmlformats.org/officeDocument/2006/relationships/image" Target="media/image18.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