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3284B0" w14:textId="77777777" w:rsidR="00002BDB" w:rsidRDefault="003B7874">
      <w:pPr>
        <w:pStyle w:val="1"/>
        <w:spacing w:before="0" w:after="120" w:line="275" w:lineRule="auto"/>
        <w:rPr>
          <w:rFonts w:ascii="Google Sans" w:eastAsia="Google Sans" w:hAnsi="Google Sans" w:cs="Google Sans"/>
          <w:color w:val="1F1F1F"/>
        </w:rPr>
      </w:pPr>
      <w:r>
        <w:rPr>
          <w:rFonts w:ascii="Google Sans" w:eastAsia="Google Sans" w:hAnsi="Google Sans" w:cs="Google Sans"/>
          <w:color w:val="1F1F1F"/>
        </w:rPr>
        <w:t>基於運動學模擬與數位雙生架構之</w:t>
      </w:r>
      <w:r>
        <w:rPr>
          <w:rFonts w:ascii="Google Sans" w:eastAsia="Google Sans" w:hAnsi="Google Sans" w:cs="Google Sans"/>
          <w:color w:val="1F1F1F"/>
        </w:rPr>
        <w:t xml:space="preserve"> NC-Code </w:t>
      </w:r>
      <w:r>
        <w:rPr>
          <w:rFonts w:ascii="Google Sans" w:eastAsia="Google Sans" w:hAnsi="Google Sans" w:cs="Google Sans"/>
          <w:color w:val="1F1F1F"/>
        </w:rPr>
        <w:t>加工時間精準估測模組開發規畫報告</w:t>
      </w:r>
    </w:p>
    <w:p w14:paraId="6219180C" w14:textId="77777777" w:rsidR="00002BDB" w:rsidRDefault="00002BDB"/>
    <w:p w14:paraId="77BC6277" w14:textId="77777777" w:rsidR="00002BDB" w:rsidRDefault="00002BDB"/>
    <w:p w14:paraId="111A74D5" w14:textId="77777777" w:rsidR="00002BDB" w:rsidRDefault="00002BDB"/>
    <w:p w14:paraId="3F00BDC3"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第一章：產業背景與技術演進概述</w:t>
      </w:r>
    </w:p>
    <w:p w14:paraId="1A7CA607"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隨著全球製造業邁向工業</w:t>
      </w:r>
      <w:r>
        <w:rPr>
          <w:rFonts w:ascii="Google Sans" w:eastAsia="Google Sans" w:hAnsi="Google Sans" w:cs="Google Sans"/>
          <w:color w:val="1F1F1F"/>
        </w:rPr>
        <w:t xml:space="preserve"> 4.0</w:t>
      </w:r>
      <w:r>
        <w:rPr>
          <w:rFonts w:ascii="Google Sans" w:eastAsia="Google Sans" w:hAnsi="Google Sans" w:cs="Google Sans"/>
          <w:color w:val="1F1F1F"/>
        </w:rPr>
        <w:t>，並逐步向</w:t>
      </w:r>
      <w:r>
        <w:rPr>
          <w:rFonts w:ascii="Google Sans" w:eastAsia="Google Sans" w:hAnsi="Google Sans" w:cs="Google Sans"/>
          <w:color w:val="1F1F1F"/>
        </w:rPr>
        <w:t xml:space="preserve"> 2026 </w:t>
      </w:r>
      <w:r>
        <w:rPr>
          <w:rFonts w:ascii="Google Sans" w:eastAsia="Google Sans" w:hAnsi="Google Sans" w:cs="Google Sans"/>
          <w:color w:val="1F1F1F"/>
        </w:rPr>
        <w:t>年的智慧製造與自適應控制體系過渡，電腦數值控制（</w:t>
      </w:r>
      <w:r>
        <w:rPr>
          <w:rFonts w:ascii="Google Sans" w:eastAsia="Google Sans" w:hAnsi="Google Sans" w:cs="Google Sans"/>
          <w:color w:val="1F1F1F"/>
        </w:rPr>
        <w:t>CNC</w:t>
      </w:r>
      <w:r>
        <w:rPr>
          <w:rFonts w:ascii="Google Sans" w:eastAsia="Google Sans" w:hAnsi="Google Sans" w:cs="Google Sans"/>
          <w:color w:val="1F1F1F"/>
        </w:rPr>
        <w:t>）工具機的加工自動化已從早期的經驗法則，進化為高度依賴數據驅動與物理資訊介入的智慧系統</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在現代智慧工廠的生產排程、成本報價、資源分配與能耗管理中，加工時間的精準預估是一切生產決策與數位轉型的基石。然而，現階段業界普遍使用的時間預估系統，多半受限於純幾何解析的運算框架，導致預測時間與實體機台的實際運行時間存在巨大的落差。根據產業實測與學理論證，這種傳統估測方法所產生的「樂觀偏見（</w:t>
      </w:r>
      <w:r>
        <w:rPr>
          <w:rFonts w:ascii="Google Sans" w:eastAsia="Google Sans" w:hAnsi="Google Sans" w:cs="Google Sans"/>
          <w:color w:val="1F1F1F"/>
        </w:rPr>
        <w:t>Optimistic Bias</w:t>
      </w:r>
      <w:r>
        <w:rPr>
          <w:rFonts w:ascii="Google Sans" w:eastAsia="Google Sans" w:hAnsi="Google Sans" w:cs="Google Sans"/>
          <w:color w:val="1F1F1F"/>
        </w:rPr>
        <w:t>）」，其誤差範圍常高達</w:t>
      </w:r>
      <w:r>
        <w:rPr>
          <w:rFonts w:ascii="Google Sans" w:eastAsia="Google Sans" w:hAnsi="Google Sans" w:cs="Google Sans"/>
          <w:color w:val="1F1F1F"/>
        </w:rPr>
        <w:t xml:space="preserve"> 10% </w:t>
      </w:r>
      <w:r>
        <w:rPr>
          <w:rFonts w:ascii="Google Sans" w:eastAsia="Google Sans" w:hAnsi="Google Sans" w:cs="Google Sans"/>
          <w:color w:val="1F1F1F"/>
        </w:rPr>
        <w:t>至</w:t>
      </w:r>
      <w:r>
        <w:rPr>
          <w:rFonts w:ascii="Google Sans" w:eastAsia="Google Sans" w:hAnsi="Google Sans" w:cs="Google Sans"/>
          <w:color w:val="1F1F1F"/>
        </w:rPr>
        <w:t xml:space="preserve"> 40%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3AFA1942"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為突破此一技術瓶頸，建構一套基於「數位雙生（</w:t>
      </w:r>
      <w:r>
        <w:rPr>
          <w:rFonts w:ascii="Google Sans" w:eastAsia="Google Sans" w:hAnsi="Google Sans" w:cs="Google Sans"/>
          <w:color w:val="1F1F1F"/>
        </w:rPr>
        <w:t>Digital Twin</w:t>
      </w:r>
      <w:r>
        <w:rPr>
          <w:rFonts w:ascii="Google Sans" w:eastAsia="Google Sans" w:hAnsi="Google Sans" w:cs="Google Sans"/>
          <w:color w:val="1F1F1F"/>
        </w:rPr>
        <w:t>）」的加工時間估測模組已成為必然的發展方向。數位雙生技術的核心不僅在於</w:t>
      </w:r>
      <w:r>
        <w:rPr>
          <w:rFonts w:ascii="Google Sans" w:eastAsia="Google Sans" w:hAnsi="Google Sans" w:cs="Google Sans"/>
          <w:color w:val="1F1F1F"/>
        </w:rPr>
        <w:t>視覺化的三維渲染，更在於底層物理行為、運動學（</w:t>
      </w:r>
      <w:r>
        <w:rPr>
          <w:rFonts w:ascii="Google Sans" w:eastAsia="Google Sans" w:hAnsi="Google Sans" w:cs="Google Sans"/>
          <w:color w:val="1F1F1F"/>
        </w:rPr>
        <w:t>Kinematics</w:t>
      </w:r>
      <w:r>
        <w:rPr>
          <w:rFonts w:ascii="Google Sans" w:eastAsia="Google Sans" w:hAnsi="Google Sans" w:cs="Google Sans"/>
          <w:color w:val="1F1F1F"/>
        </w:rPr>
        <w:t>）與動力學（</w:t>
      </w:r>
      <w:r>
        <w:rPr>
          <w:rFonts w:ascii="Google Sans" w:eastAsia="Google Sans" w:hAnsi="Google Sans" w:cs="Google Sans"/>
          <w:color w:val="1F1F1F"/>
        </w:rPr>
        <w:t>Dynamics</w:t>
      </w:r>
      <w:r>
        <w:rPr>
          <w:rFonts w:ascii="Google Sans" w:eastAsia="Google Sans" w:hAnsi="Google Sans" w:cs="Google Sans"/>
          <w:color w:val="1F1F1F"/>
        </w:rPr>
        <w:t>）的高保真度模擬</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。數位雙生模型能夠在虛擬環境中，精確反映實體設備在極端操作條件下的行為特徵，進而實現預見性診斷與參數最佳化</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。本報告旨在為一套輸入</w:t>
      </w:r>
      <w:r>
        <w:rPr>
          <w:rFonts w:ascii="Google Sans" w:eastAsia="Google Sans" w:hAnsi="Google Sans" w:cs="Google Sans"/>
          <w:color w:val="1F1F1F"/>
        </w:rPr>
        <w:t xml:space="preserve"> NC-Code </w:t>
      </w:r>
      <w:r>
        <w:rPr>
          <w:rFonts w:ascii="Google Sans" w:eastAsia="Google Sans" w:hAnsi="Google Sans" w:cs="Google Sans"/>
          <w:color w:val="1F1F1F"/>
        </w:rPr>
        <w:t>即可精準預測加工時間（預期誤差收斂至</w:t>
      </w:r>
      <w:r>
        <w:rPr>
          <w:rFonts w:ascii="Google Sans" w:eastAsia="Google Sans" w:hAnsi="Google Sans" w:cs="Google Sans"/>
          <w:color w:val="1F1F1F"/>
        </w:rPr>
        <w:t xml:space="preserve"> 1%–8% </w:t>
      </w:r>
      <w:r>
        <w:rPr>
          <w:rFonts w:ascii="Google Sans" w:eastAsia="Google Sans" w:hAnsi="Google Sans" w:cs="Google Sans"/>
          <w:color w:val="1F1F1F"/>
        </w:rPr>
        <w:t>以內）的數位雙生模組，提供極其詳盡的系統架構規劃、核心演算法設計、以及物理資訊與數據驅動的深度技術解析</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。本報告之規劃將全面涵蓋從前端指令解析、中介模型建構、運動學插補演算法，直至後端能耗與振動診</w:t>
      </w:r>
      <w:r>
        <w:rPr>
          <w:rFonts w:ascii="Google Sans" w:eastAsia="Google Sans" w:hAnsi="Google Sans" w:cs="Google Sans"/>
          <w:color w:val="1F1F1F"/>
        </w:rPr>
        <w:t>斷的整合，確保所開發之模組能符合國際標準並具備高度之工業實用價值。</w:t>
      </w:r>
    </w:p>
    <w:p w14:paraId="27A7D417"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6C804B66"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10D9681E"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第二章：現有技術框架之學理檢視與局限性分析</w:t>
      </w:r>
    </w:p>
    <w:p w14:paraId="7F7BF547"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在規劃次世代數位雙生模組之前，必須深刻剖析現有時間提取技術的結構性缺陷，方能對症下藥。現有技術框架主要建立在「基於</w:t>
      </w:r>
      <w:r>
        <w:rPr>
          <w:rFonts w:ascii="Google Sans" w:eastAsia="Google Sans" w:hAnsi="Google Sans" w:cs="Google Sans"/>
          <w:color w:val="1F1F1F"/>
        </w:rPr>
        <w:t xml:space="preserve"> NC-code </w:t>
      </w:r>
      <w:r>
        <w:rPr>
          <w:rFonts w:ascii="Google Sans" w:eastAsia="Google Sans" w:hAnsi="Google Sans" w:cs="Google Sans"/>
          <w:color w:val="1F1F1F"/>
        </w:rPr>
        <w:t>解析的幾何路徑提取」與「理想化定速假設」兩大基礎上，雖然在邏輯上具備直觀性，但在面對高速精密切削時則顯得捉襟見肘</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517D8F57"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傳統幾何求和模型解析與實作邏輯</w:t>
      </w:r>
    </w:p>
    <w:p w14:paraId="58F0E1D5"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傳統加工時間估測模組的運作流程始於</w:t>
      </w:r>
      <w:r>
        <w:rPr>
          <w:rFonts w:ascii="Google Sans" w:eastAsia="Google Sans" w:hAnsi="Google Sans" w:cs="Google Sans"/>
          <w:color w:val="1F1F1F"/>
        </w:rPr>
        <w:t xml:space="preserve"> NC-code </w:t>
      </w:r>
      <w:r>
        <w:rPr>
          <w:rFonts w:ascii="Google Sans" w:eastAsia="Google Sans" w:hAnsi="Google Sans" w:cs="Google Sans"/>
          <w:color w:val="1F1F1F"/>
        </w:rPr>
        <w:t>的單節執行（</w:t>
      </w:r>
      <w:r>
        <w:rPr>
          <w:rFonts w:ascii="Google Sans" w:eastAsia="Google Sans" w:hAnsi="Google Sans" w:cs="Google Sans"/>
          <w:color w:val="1F1F1F"/>
        </w:rPr>
        <w:t>Single Block Execution</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。系統透過高階程式語言（如</w:t>
      </w:r>
      <w:r>
        <w:rPr>
          <w:rFonts w:ascii="Google Sans" w:eastAsia="Google Sans" w:hAnsi="Google Sans" w:cs="Google Sans"/>
          <w:color w:val="1F1F1F"/>
        </w:rPr>
        <w:t xml:space="preserve"> Python</w:t>
      </w:r>
      <w:r>
        <w:rPr>
          <w:rFonts w:ascii="Google Sans" w:eastAsia="Google Sans" w:hAnsi="Google Sans" w:cs="Google Sans"/>
          <w:color w:val="1F1F1F"/>
        </w:rPr>
        <w:t>）撰寫的解析器，逐行讀取</w:t>
      </w:r>
      <w:r>
        <w:rPr>
          <w:rFonts w:ascii="Google Sans" w:eastAsia="Google Sans" w:hAnsi="Google Sans" w:cs="Google Sans"/>
          <w:color w:val="1F1F1F"/>
        </w:rPr>
        <w:t xml:space="preserve"> G </w:t>
      </w:r>
      <w:r>
        <w:rPr>
          <w:rFonts w:ascii="Google Sans" w:eastAsia="Google Sans" w:hAnsi="Google Sans" w:cs="Google Sans"/>
          <w:color w:val="1F1F1F"/>
        </w:rPr>
        <w:t>碼指令，針對快速定位（</w:t>
      </w:r>
      <w:r>
        <w:rPr>
          <w:rFonts w:ascii="Google Sans" w:eastAsia="Google Sans" w:hAnsi="Google Sans" w:cs="Google Sans"/>
          <w:color w:val="1F1F1F"/>
        </w:rPr>
        <w:t>G00</w:t>
      </w:r>
      <w:r>
        <w:rPr>
          <w:rFonts w:ascii="Google Sans" w:eastAsia="Google Sans" w:hAnsi="Google Sans" w:cs="Google Sans"/>
          <w:color w:val="1F1F1F"/>
        </w:rPr>
        <w:t>）、直線切削（</w:t>
      </w:r>
      <w:r>
        <w:rPr>
          <w:rFonts w:ascii="Google Sans" w:eastAsia="Google Sans" w:hAnsi="Google Sans" w:cs="Google Sans"/>
          <w:color w:val="1F1F1F"/>
        </w:rPr>
        <w:t>G01</w:t>
      </w:r>
      <w:r>
        <w:rPr>
          <w:rFonts w:ascii="Google Sans" w:eastAsia="Google Sans" w:hAnsi="Google Sans" w:cs="Google Sans"/>
          <w:color w:val="1F1F1F"/>
        </w:rPr>
        <w:t>）、以及圓弧插補（</w:t>
      </w:r>
      <w:r>
        <w:rPr>
          <w:rFonts w:ascii="Google Sans" w:eastAsia="Google Sans" w:hAnsi="Google Sans" w:cs="Google Sans"/>
          <w:color w:val="1F1F1F"/>
        </w:rPr>
        <w:t>G02/G03</w:t>
      </w:r>
      <w:r>
        <w:rPr>
          <w:rFonts w:ascii="Google Sans" w:eastAsia="Google Sans" w:hAnsi="Google Sans" w:cs="Google Sans"/>
          <w:color w:val="1F1F1F"/>
        </w:rPr>
        <w:t>）進行空間座標的提取</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。在路徑處理上，傳統模</w:t>
      </w:r>
      <w:r>
        <w:rPr>
          <w:rFonts w:ascii="Google Sans" w:eastAsia="Google Sans" w:hAnsi="Google Sans" w:cs="Google Sans"/>
          <w:color w:val="1F1F1F"/>
        </w:rPr>
        <w:lastRenderedPageBreak/>
        <w:t>型透過計算每一段指令的空間歐幾里德距離，並套用基礎的運動學公式進行時間估算</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。其總時間的計算數學模型如下：</w:t>
      </w:r>
    </w:p>
    <w:p w14:paraId="2C14916E" w14:textId="77777777" w:rsidR="00002BDB" w:rsidRDefault="003B7874">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5808C525" wp14:editId="6380106E">
            <wp:extent cx="5620921" cy="846902"/>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5620921" cy="846902"/>
                    </a:xfrm>
                    <a:prstGeom prst="rect">
                      <a:avLst/>
                    </a:prstGeom>
                    <a:ln/>
                  </pic:spPr>
                </pic:pic>
              </a:graphicData>
            </a:graphic>
          </wp:inline>
        </w:drawing>
      </w:r>
    </w:p>
    <w:p w14:paraId="2C1BF5C4"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在此公式中，</w:t>
      </w:r>
      <w:r>
        <w:rPr>
          <w:rFonts w:ascii="Google Sans" w:eastAsia="Google Sans" w:hAnsi="Google Sans" w:cs="Google Sans"/>
          <w:noProof/>
          <w:color w:val="1F1F1F"/>
        </w:rPr>
        <w:drawing>
          <wp:inline distT="19050" distB="19050" distL="19050" distR="19050" wp14:anchorId="43032CB2" wp14:editId="6BD66F3F">
            <wp:extent cx="607072" cy="231564"/>
            <wp:effectExtent l="0" t="0" r="0" b="0"/>
            <wp:docPr id="3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
                    <a:srcRect/>
                    <a:stretch>
                      <a:fillRect/>
                    </a:stretch>
                  </pic:blipFill>
                  <pic:spPr>
                    <a:xfrm>
                      <a:off x="0" y="0"/>
                      <a:ext cx="607072" cy="231564"/>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代表該指令段在三維空間中的位移量，</w:t>
      </w:r>
      <w:r>
        <w:rPr>
          <w:rFonts w:ascii="Google Sans" w:eastAsia="Google Sans" w:hAnsi="Google Sans" w:cs="Google Sans"/>
          <w:noProof/>
          <w:color w:val="1F1F1F"/>
        </w:rPr>
        <w:drawing>
          <wp:inline distT="19050" distB="19050" distL="19050" distR="19050" wp14:anchorId="1C76A1C6" wp14:editId="0E28F356">
            <wp:extent cx="172371" cy="236212"/>
            <wp:effectExtent l="0" t="0" r="0" b="0"/>
            <wp:docPr id="3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
                    <a:srcRect/>
                    <a:stretch>
                      <a:fillRect/>
                    </a:stretch>
                  </pic:blipFill>
                  <pic:spPr>
                    <a:xfrm>
                      <a:off x="0" y="0"/>
                      <a:ext cx="172371" cy="236212"/>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則代表指令所設定的進給速率（</w:t>
      </w:r>
      <w:r>
        <w:rPr>
          <w:rFonts w:ascii="Google Sans" w:eastAsia="Google Sans" w:hAnsi="Google Sans" w:cs="Google Sans"/>
          <w:color w:val="1F1F1F"/>
        </w:rPr>
        <w:t>Feedrate</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。針對複雜的加工工藝，例如鑽孔固定循環（</w:t>
      </w:r>
      <w:r>
        <w:rPr>
          <w:rFonts w:ascii="Google Sans" w:eastAsia="Google Sans" w:hAnsi="Google Sans" w:cs="Google Sans"/>
          <w:color w:val="1F1F1F"/>
        </w:rPr>
        <w:t>Canned Cycles</w:t>
      </w:r>
      <w:r>
        <w:rPr>
          <w:rFonts w:ascii="Google Sans" w:eastAsia="Google Sans" w:hAnsi="Google Sans" w:cs="Google Sans"/>
          <w:color w:val="1F1F1F"/>
        </w:rPr>
        <w:t>，如</w:t>
      </w:r>
      <w:r>
        <w:rPr>
          <w:rFonts w:ascii="Google Sans" w:eastAsia="Google Sans" w:hAnsi="Google Sans" w:cs="Google Sans"/>
          <w:color w:val="1F1F1F"/>
        </w:rPr>
        <w:t xml:space="preserve"> G81 </w:t>
      </w:r>
      <w:r>
        <w:rPr>
          <w:rFonts w:ascii="Google Sans" w:eastAsia="Google Sans" w:hAnsi="Google Sans" w:cs="Google Sans"/>
          <w:color w:val="1F1F1F"/>
        </w:rPr>
        <w:t>鑽孔、</w:t>
      </w:r>
      <w:r>
        <w:rPr>
          <w:rFonts w:ascii="Google Sans" w:eastAsia="Google Sans" w:hAnsi="Google Sans" w:cs="Google Sans"/>
          <w:color w:val="1F1F1F"/>
        </w:rPr>
        <w:t xml:space="preserve">G83 </w:t>
      </w:r>
      <w:r>
        <w:rPr>
          <w:rFonts w:ascii="Google Sans" w:eastAsia="Google Sans" w:hAnsi="Google Sans" w:cs="Google Sans"/>
          <w:color w:val="1F1F1F"/>
        </w:rPr>
        <w:t>啄</w:t>
      </w:r>
      <w:r>
        <w:rPr>
          <w:rFonts w:ascii="Google Sans" w:eastAsia="Google Sans" w:hAnsi="Google Sans" w:cs="Google Sans"/>
          <w:color w:val="1F1F1F"/>
        </w:rPr>
        <w:t>鑽），傳統方法雖已發展出分解動作邏輯，將單一的宏指令拆解為參考平面下降、特定進給切削與退刀排屑等一系列微小動作，以企圖提升路徑長度計算的精度</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。然而，儘管在幾何路徑的展開上做到了詳盡，其底層時間計算的數學模型依然奠基於「距離除以速度」的理想狀態，未能觸及機械運作的物理本質。</w:t>
      </w:r>
    </w:p>
    <w:p w14:paraId="47B01AA6"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49FB1FDB"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運動學特性的忽視與物理斷層</w:t>
      </w:r>
    </w:p>
    <w:p w14:paraId="4201EE53"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上述傳統幾何求和公式存在一個致命的物理假設：工具機在每一指令段內皆能「瞬間加速」至目標進給率，並在運動過程中始終保持該速度，直到指令結束才瞬間停止</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。這種模型完全忽略了實體伺服馬達與機械結構的動力學限制。</w:t>
      </w:r>
    </w:p>
    <w:p w14:paraId="5F20B0DB"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在實際加工環境中，工具機軸向馬達受限於其慣性矩以及驅動系統所能提供的最大「加速度（</w:t>
      </w:r>
      <w:r>
        <w:rPr>
          <w:rFonts w:ascii="Google Sans" w:eastAsia="Google Sans" w:hAnsi="Google Sans" w:cs="Google Sans"/>
          <w:color w:val="1F1F1F"/>
        </w:rPr>
        <w:t>Acceleration</w:t>
      </w:r>
      <w:r>
        <w:rPr>
          <w:rFonts w:ascii="Google Sans" w:eastAsia="Google Sans" w:hAnsi="Google Sans" w:cs="Google Sans"/>
          <w:color w:val="1F1F1F"/>
        </w:rPr>
        <w:t>）」與最大「抖動（</w:t>
      </w:r>
      <w:r>
        <w:rPr>
          <w:rFonts w:ascii="Google Sans" w:eastAsia="Google Sans" w:hAnsi="Google Sans" w:cs="Google Sans"/>
          <w:color w:val="1F1F1F"/>
        </w:rPr>
        <w:t>Jerk</w:t>
      </w:r>
      <w:r>
        <w:rPr>
          <w:rFonts w:ascii="Google Sans" w:eastAsia="Google Sans" w:hAnsi="Google Sans" w:cs="Google Sans"/>
          <w:color w:val="1F1F1F"/>
        </w:rPr>
        <w:t>，即加速度對時間的導數，加加速度）」，根本無法實現瞬間變速</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。此現象在處理航太零件或精密模具常見的自由曲面加工時尤為嚴重，因為這類曲面通常由大量的「微小線段（</w:t>
      </w:r>
      <w:r>
        <w:rPr>
          <w:rFonts w:ascii="Google Sans" w:eastAsia="Google Sans" w:hAnsi="Google Sans" w:cs="Google Sans"/>
          <w:color w:val="1F1F1F"/>
        </w:rPr>
        <w:t>Micro-</w:t>
      </w:r>
      <w:r>
        <w:rPr>
          <w:rFonts w:ascii="Google Sans" w:eastAsia="Google Sans" w:hAnsi="Google Sans" w:cs="Google Sans"/>
          <w:color w:val="1F1F1F"/>
        </w:rPr>
        <w:t>lines</w:t>
      </w:r>
      <w:r>
        <w:rPr>
          <w:rFonts w:ascii="Google Sans" w:eastAsia="Google Sans" w:hAnsi="Google Sans" w:cs="Google Sans"/>
          <w:color w:val="1F1F1F"/>
        </w:rPr>
        <w:t>）」所構成。對於極短距離的加工路徑，工具機往往在尚未加速到</w:t>
      </w:r>
      <w:r>
        <w:rPr>
          <w:rFonts w:ascii="Google Sans" w:eastAsia="Google Sans" w:hAnsi="Google Sans" w:cs="Google Sans"/>
          <w:color w:val="1F1F1F"/>
        </w:rPr>
        <w:t xml:space="preserve"> NC-Code </w:t>
      </w:r>
      <w:r>
        <w:rPr>
          <w:rFonts w:ascii="Google Sans" w:eastAsia="Google Sans" w:hAnsi="Google Sans" w:cs="Google Sans"/>
          <w:color w:val="1F1F1F"/>
        </w:rPr>
        <w:t>預設的進給速度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540BEBE1" wp14:editId="6864F512">
            <wp:extent cx="172371" cy="236212"/>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
                    <a:srcRect/>
                    <a:stretch>
                      <a:fillRect/>
                    </a:stretch>
                  </pic:blipFill>
                  <pic:spPr>
                    <a:xfrm>
                      <a:off x="0" y="0"/>
                      <a:ext cx="172371" cy="236212"/>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前，就已經到達該指令的終點，並且必須開始減速以確保能精準停在下一個節點或順利通過轉角</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。缺乏對此物理現象的模擬，使得傳統模型不斷累積未考量加減速時間的誤差，最終導致高達</w:t>
      </w:r>
      <w:r>
        <w:rPr>
          <w:rFonts w:ascii="Google Sans" w:eastAsia="Google Sans" w:hAnsi="Google Sans" w:cs="Google Sans"/>
          <w:color w:val="1F1F1F"/>
        </w:rPr>
        <w:t xml:space="preserve"> 40% </w:t>
      </w:r>
      <w:r>
        <w:rPr>
          <w:rFonts w:ascii="Google Sans" w:eastAsia="Google Sans" w:hAnsi="Google Sans" w:cs="Google Sans"/>
          <w:color w:val="1F1F1F"/>
        </w:rPr>
        <w:t>的時間低估，形成嚴重的樂觀偏見</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。此外，傳統模型採用的逐行解析法（</w:t>
      </w:r>
      <w:r>
        <w:rPr>
          <w:rFonts w:ascii="Google Sans" w:eastAsia="Google Sans" w:hAnsi="Google Sans" w:cs="Google Sans"/>
          <w:color w:val="1F1F1F"/>
        </w:rPr>
        <w:t>Line-by-line Parsing</w:t>
      </w:r>
      <w:r>
        <w:rPr>
          <w:rFonts w:ascii="Google Sans" w:eastAsia="Google Sans" w:hAnsi="Google Sans" w:cs="Google Sans"/>
          <w:color w:val="1F1F1F"/>
        </w:rPr>
        <w:t>）無法預見後續路徑的幾何轉折，從而忽略了現代</w:t>
      </w:r>
      <w:r>
        <w:rPr>
          <w:rFonts w:ascii="Google Sans" w:eastAsia="Google Sans" w:hAnsi="Google Sans" w:cs="Google Sans"/>
          <w:color w:val="1F1F1F"/>
        </w:rPr>
        <w:t xml:space="preserve"> CNC </w:t>
      </w:r>
      <w:r>
        <w:rPr>
          <w:rFonts w:ascii="Google Sans" w:eastAsia="Google Sans" w:hAnsi="Google Sans" w:cs="Google Sans"/>
          <w:color w:val="1F1F1F"/>
        </w:rPr>
        <w:t>控制器內建的轉角減速（</w:t>
      </w:r>
      <w:r>
        <w:rPr>
          <w:rFonts w:ascii="Google Sans" w:eastAsia="Google Sans" w:hAnsi="Google Sans" w:cs="Google Sans"/>
          <w:color w:val="1F1F1F"/>
        </w:rPr>
        <w:t>Corner Deceleration</w:t>
      </w:r>
      <w:r>
        <w:rPr>
          <w:rFonts w:ascii="Google Sans" w:eastAsia="Google Sans" w:hAnsi="Google Sans" w:cs="Google Sans"/>
          <w:color w:val="1F1F1F"/>
        </w:rPr>
        <w:t>）與</w:t>
      </w:r>
      <w:r>
        <w:rPr>
          <w:rFonts w:ascii="Google Sans" w:eastAsia="Google Sans" w:hAnsi="Google Sans" w:cs="Google Sans"/>
          <w:color w:val="1F1F1F"/>
        </w:rPr>
        <w:t>前瞻控制（</w:t>
      </w:r>
      <w:r>
        <w:rPr>
          <w:rFonts w:ascii="Google Sans" w:eastAsia="Google Sans" w:hAnsi="Google Sans" w:cs="Google Sans"/>
          <w:color w:val="1F1F1F"/>
        </w:rPr>
        <w:t>Look-ahead</w:t>
      </w:r>
      <w:r>
        <w:rPr>
          <w:rFonts w:ascii="Google Sans" w:eastAsia="Google Sans" w:hAnsi="Google Sans" w:cs="Google Sans"/>
          <w:color w:val="1F1F1F"/>
        </w:rPr>
        <w:t>）行為</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042D9F13"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653C4363"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sectPr w:rsidR="00002BDB">
          <w:pgSz w:w="12240" w:h="15840"/>
          <w:pgMar w:top="1440" w:right="1440" w:bottom="1440" w:left="1440" w:header="0" w:footer="720" w:gutter="0"/>
          <w:pgNumType w:start="1"/>
          <w:cols w:space="720"/>
        </w:sectPr>
      </w:pPr>
    </w:p>
    <w:p w14:paraId="53F2229A"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第三章：數位雙生估測模組總體架構規劃</w:t>
      </w:r>
    </w:p>
    <w:p w14:paraId="0B264E88"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為徹底消弭傳統方法的幾何誤差並達成</w:t>
      </w:r>
      <w:r>
        <w:rPr>
          <w:rFonts w:ascii="Google Sans" w:eastAsia="Google Sans" w:hAnsi="Google Sans" w:cs="Google Sans"/>
          <w:color w:val="1F1F1F"/>
        </w:rPr>
        <w:t xml:space="preserve"> 1%–8% </w:t>
      </w:r>
      <w:r>
        <w:rPr>
          <w:rFonts w:ascii="Google Sans" w:eastAsia="Google Sans" w:hAnsi="Google Sans" w:cs="Google Sans"/>
          <w:color w:val="1F1F1F"/>
        </w:rPr>
        <w:t>的高精度預測目標，新一代的加工時間預測模組必須從「編譯器級（</w:t>
      </w:r>
      <w:r>
        <w:rPr>
          <w:rFonts w:ascii="Google Sans" w:eastAsia="Google Sans" w:hAnsi="Google Sans" w:cs="Google Sans"/>
          <w:color w:val="1F1F1F"/>
        </w:rPr>
        <w:t>Compiler-level</w:t>
      </w:r>
      <w:r>
        <w:rPr>
          <w:rFonts w:ascii="Google Sans" w:eastAsia="Google Sans" w:hAnsi="Google Sans" w:cs="Google Sans"/>
          <w:color w:val="1F1F1F"/>
        </w:rPr>
        <w:t>）」的高度出發，捨棄單純的字串替換或逐行翻譯，建構一個具備多層次解析與物理動力學模擬能力的系統架構</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。本模組整體將規劃為五個核心層次，確保資訊從抽象指令流暢轉化為具體的物理響應。</w:t>
      </w:r>
    </w:p>
    <w:p w14:paraId="579F700D"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第一層：前端語意與指令解析層</w:t>
      </w:r>
      <w:r>
        <w:rPr>
          <w:rFonts w:ascii="Google Sans" w:eastAsia="Google Sans" w:hAnsi="Google Sans" w:cs="Google Sans"/>
          <w:color w:val="1F1F1F"/>
        </w:rPr>
        <w:t xml:space="preserve"> (Lexical &amp; Syntax Parsing Layer)</w:t>
      </w:r>
    </w:p>
    <w:p w14:paraId="1A9A88DA"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此層負責讀取原始的</w:t>
      </w:r>
      <w:r>
        <w:rPr>
          <w:rFonts w:ascii="Google Sans" w:eastAsia="Google Sans" w:hAnsi="Google Sans" w:cs="Google Sans"/>
          <w:color w:val="1F1F1F"/>
        </w:rPr>
        <w:t xml:space="preserve"> NC-Code </w:t>
      </w:r>
      <w:r>
        <w:rPr>
          <w:rFonts w:ascii="Google Sans" w:eastAsia="Google Sans" w:hAnsi="Google Sans" w:cs="Google Sans"/>
          <w:color w:val="1F1F1F"/>
        </w:rPr>
        <w:t>檔案或是由</w:t>
      </w:r>
      <w:r>
        <w:rPr>
          <w:rFonts w:ascii="Google Sans" w:eastAsia="Google Sans" w:hAnsi="Google Sans" w:cs="Google Sans"/>
          <w:color w:val="1F1F1F"/>
        </w:rPr>
        <w:t xml:space="preserve"> CAM </w:t>
      </w:r>
      <w:r>
        <w:rPr>
          <w:rFonts w:ascii="Google Sans" w:eastAsia="Google Sans" w:hAnsi="Google Sans" w:cs="Google Sans"/>
          <w:color w:val="1F1F1F"/>
        </w:rPr>
        <w:t>軟體輸出的刀位檔（如</w:t>
      </w:r>
      <w:r>
        <w:rPr>
          <w:rFonts w:ascii="Google Sans" w:eastAsia="Google Sans" w:hAnsi="Google Sans" w:cs="Google Sans"/>
          <w:color w:val="1F1F1F"/>
        </w:rPr>
        <w:t xml:space="preserve"> CLS </w:t>
      </w:r>
      <w:r>
        <w:rPr>
          <w:rFonts w:ascii="Google Sans" w:eastAsia="Google Sans" w:hAnsi="Google Sans" w:cs="Google Sans"/>
          <w:color w:val="1F1F1F"/>
        </w:rPr>
        <w:t>或</w:t>
      </w:r>
      <w:r>
        <w:rPr>
          <w:rFonts w:ascii="Google Sans" w:eastAsia="Google Sans" w:hAnsi="Google Sans" w:cs="Google Sans"/>
          <w:color w:val="1F1F1F"/>
        </w:rPr>
        <w:t xml:space="preserve"> CLSF </w:t>
      </w:r>
      <w:r>
        <w:rPr>
          <w:rFonts w:ascii="Google Sans" w:eastAsia="Google Sans" w:hAnsi="Google Sans" w:cs="Google Sans"/>
          <w:color w:val="1F1F1F"/>
        </w:rPr>
        <w:t>格式），進行深度的詞法與語法分析</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。系統透過精密的正規表達式（</w:t>
      </w:r>
      <w:r>
        <w:rPr>
          <w:rFonts w:ascii="Google Sans" w:eastAsia="Google Sans" w:hAnsi="Google Sans" w:cs="Google Sans"/>
          <w:color w:val="1F1F1F"/>
        </w:rPr>
        <w:t>Regular Expressions</w:t>
      </w:r>
      <w:r>
        <w:rPr>
          <w:rFonts w:ascii="Google Sans" w:eastAsia="Google Sans" w:hAnsi="Google Sans" w:cs="Google Sans"/>
          <w:color w:val="1F1F1F"/>
        </w:rPr>
        <w:t>）特徵提取引擎，過濾與解析非結構化的文本資料。</w:t>
      </w:r>
      <w:r>
        <w:rPr>
          <w:rFonts w:ascii="Google Sans" w:eastAsia="Google Sans" w:hAnsi="Google Sans" w:cs="Google Sans"/>
          <w:color w:val="1F1F1F"/>
        </w:rPr>
        <w:t xml:space="preserve"> </w:t>
      </w:r>
      <w:r>
        <w:rPr>
          <w:rFonts w:ascii="Google Sans" w:eastAsia="Google Sans" w:hAnsi="Google Sans" w:cs="Google Sans"/>
          <w:color w:val="1F1F1F"/>
        </w:rPr>
        <w:t>在具體實作上，解析器需定義多組匹配模式以識別不同的加工語意。例如，透過特徵字串提取程序名稱與刀具參數（包含刀具長度、刃長、直徑與刀尖半徑），並攔截進給率（</w:t>
      </w:r>
      <w:r>
        <w:rPr>
          <w:rFonts w:ascii="Google Sans" w:eastAsia="Google Sans" w:hAnsi="Google Sans" w:cs="Google Sans"/>
          <w:color w:val="1F1F1F"/>
        </w:rPr>
        <w:t>FEDRAT</w:t>
      </w:r>
      <w:r>
        <w:rPr>
          <w:rFonts w:ascii="Google Sans" w:eastAsia="Google Sans" w:hAnsi="Google Sans" w:cs="Google Sans"/>
          <w:color w:val="1F1F1F"/>
        </w:rPr>
        <w:t>/MMPM</w:t>
      </w:r>
      <w:r>
        <w:rPr>
          <w:rFonts w:ascii="Google Sans" w:eastAsia="Google Sans" w:hAnsi="Google Sans" w:cs="Google Sans"/>
          <w:color w:val="1F1F1F"/>
        </w:rPr>
        <w:t>）與主軸轉速（</w:t>
      </w:r>
      <w:r>
        <w:rPr>
          <w:rFonts w:ascii="Google Sans" w:eastAsia="Google Sans" w:hAnsi="Google Sans" w:cs="Google Sans"/>
          <w:color w:val="1F1F1F"/>
        </w:rPr>
        <w:t>SPINDL/RPM</w:t>
      </w:r>
      <w:r>
        <w:rPr>
          <w:rFonts w:ascii="Google Sans" w:eastAsia="Google Sans" w:hAnsi="Google Sans" w:cs="Google Sans"/>
          <w:color w:val="1F1F1F"/>
        </w:rPr>
        <w:t>）的動態變化</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。針對複雜的多軸指令與圓弧插補，解析器需具備平面判定邏輯（</w:t>
      </w:r>
      <w:r>
        <w:rPr>
          <w:rFonts w:ascii="Google Sans" w:eastAsia="Google Sans" w:hAnsi="Google Sans" w:cs="Google Sans"/>
          <w:color w:val="1F1F1F"/>
        </w:rPr>
        <w:t xml:space="preserve">G17 </w:t>
      </w:r>
      <w:r>
        <w:rPr>
          <w:rFonts w:ascii="Google Sans" w:eastAsia="Google Sans" w:hAnsi="Google Sans" w:cs="Google Sans"/>
          <w:color w:val="1F1F1F"/>
        </w:rPr>
        <w:t>處理</w:t>
      </w:r>
      <w:r>
        <w:rPr>
          <w:rFonts w:ascii="Google Sans" w:eastAsia="Google Sans" w:hAnsi="Google Sans" w:cs="Google Sans"/>
          <w:color w:val="1F1F1F"/>
        </w:rPr>
        <w:t xml:space="preserve"> XY </w:t>
      </w:r>
      <w:r>
        <w:rPr>
          <w:rFonts w:ascii="Google Sans" w:eastAsia="Google Sans" w:hAnsi="Google Sans" w:cs="Google Sans"/>
          <w:color w:val="1F1F1F"/>
        </w:rPr>
        <w:t>平面、</w:t>
      </w:r>
      <w:r>
        <w:rPr>
          <w:rFonts w:ascii="Google Sans" w:eastAsia="Google Sans" w:hAnsi="Google Sans" w:cs="Google Sans"/>
          <w:color w:val="1F1F1F"/>
        </w:rPr>
        <w:t xml:space="preserve">G18 </w:t>
      </w:r>
      <w:r>
        <w:rPr>
          <w:rFonts w:ascii="Google Sans" w:eastAsia="Google Sans" w:hAnsi="Google Sans" w:cs="Google Sans"/>
          <w:color w:val="1F1F1F"/>
        </w:rPr>
        <w:t>處理</w:t>
      </w:r>
      <w:r>
        <w:rPr>
          <w:rFonts w:ascii="Google Sans" w:eastAsia="Google Sans" w:hAnsi="Google Sans" w:cs="Google Sans"/>
          <w:color w:val="1F1F1F"/>
        </w:rPr>
        <w:t xml:space="preserve"> ZX </w:t>
      </w:r>
      <w:r>
        <w:rPr>
          <w:rFonts w:ascii="Google Sans" w:eastAsia="Google Sans" w:hAnsi="Google Sans" w:cs="Google Sans"/>
          <w:color w:val="1F1F1F"/>
        </w:rPr>
        <w:t>平面、</w:t>
      </w:r>
      <w:r>
        <w:rPr>
          <w:rFonts w:ascii="Google Sans" w:eastAsia="Google Sans" w:hAnsi="Google Sans" w:cs="Google Sans"/>
          <w:color w:val="1F1F1F"/>
        </w:rPr>
        <w:t xml:space="preserve">G19 </w:t>
      </w:r>
      <w:r>
        <w:rPr>
          <w:rFonts w:ascii="Google Sans" w:eastAsia="Google Sans" w:hAnsi="Google Sans" w:cs="Google Sans"/>
          <w:color w:val="1F1F1F"/>
        </w:rPr>
        <w:t>處理</w:t>
      </w:r>
      <w:r>
        <w:rPr>
          <w:rFonts w:ascii="Google Sans" w:eastAsia="Google Sans" w:hAnsi="Google Sans" w:cs="Google Sans"/>
          <w:color w:val="1F1F1F"/>
        </w:rPr>
        <w:t xml:space="preserve"> YZ </w:t>
      </w:r>
      <w:r>
        <w:rPr>
          <w:rFonts w:ascii="Google Sans" w:eastAsia="Google Sans" w:hAnsi="Google Sans" w:cs="Google Sans"/>
          <w:color w:val="1F1F1F"/>
        </w:rPr>
        <w:t>平面），並利用可選參數匹配技術處理含有</w:t>
      </w:r>
      <w:r>
        <w:rPr>
          <w:rFonts w:ascii="Google Sans" w:eastAsia="Google Sans" w:hAnsi="Google Sans" w:cs="Google Sans"/>
          <w:color w:val="1F1F1F"/>
        </w:rPr>
        <w:t xml:space="preserve"> I</w:t>
      </w:r>
      <w:r>
        <w:rPr>
          <w:rFonts w:ascii="Google Sans" w:eastAsia="Google Sans" w:hAnsi="Google Sans" w:cs="Google Sans"/>
          <w:color w:val="1F1F1F"/>
        </w:rPr>
        <w:t>、</w:t>
      </w:r>
      <w:r>
        <w:rPr>
          <w:rFonts w:ascii="Google Sans" w:eastAsia="Google Sans" w:hAnsi="Google Sans" w:cs="Google Sans"/>
          <w:color w:val="1F1F1F"/>
        </w:rPr>
        <w:t>J</w:t>
      </w:r>
      <w:r>
        <w:rPr>
          <w:rFonts w:ascii="Google Sans" w:eastAsia="Google Sans" w:hAnsi="Google Sans" w:cs="Google Sans"/>
          <w:color w:val="1F1F1F"/>
        </w:rPr>
        <w:t>、</w:t>
      </w:r>
      <w:r>
        <w:rPr>
          <w:rFonts w:ascii="Google Sans" w:eastAsia="Google Sans" w:hAnsi="Google Sans" w:cs="Google Sans"/>
          <w:color w:val="1F1F1F"/>
        </w:rPr>
        <w:t xml:space="preserve">K </w:t>
      </w:r>
      <w:r>
        <w:rPr>
          <w:rFonts w:ascii="Google Sans" w:eastAsia="Google Sans" w:hAnsi="Google Sans" w:cs="Google Sans"/>
          <w:color w:val="1F1F1F"/>
        </w:rPr>
        <w:t>向量的圓心偏移座標，確保所有幾何與工藝參數皆被無損擷取</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。同時，此層需建立虛擬的模態群組管理器（</w:t>
      </w:r>
      <w:r>
        <w:rPr>
          <w:rFonts w:ascii="Google Sans" w:eastAsia="Google Sans" w:hAnsi="Google Sans" w:cs="Google Sans"/>
          <w:color w:val="1F1F1F"/>
        </w:rPr>
        <w:t>Modal Group Manager</w:t>
      </w:r>
      <w:r>
        <w:rPr>
          <w:rFonts w:ascii="Google Sans" w:eastAsia="Google Sans" w:hAnsi="Google Sans" w:cs="Google Sans"/>
          <w:color w:val="1F1F1F"/>
        </w:rPr>
        <w:t>），追蹤當前生效的座標模式（絕對</w:t>
      </w:r>
      <w:r>
        <w:rPr>
          <w:rFonts w:ascii="Google Sans" w:eastAsia="Google Sans" w:hAnsi="Google Sans" w:cs="Google Sans"/>
          <w:color w:val="1F1F1F"/>
        </w:rPr>
        <w:t xml:space="preserve"> G90 </w:t>
      </w:r>
      <w:r>
        <w:rPr>
          <w:rFonts w:ascii="Google Sans" w:eastAsia="Google Sans" w:hAnsi="Google Sans" w:cs="Google Sans"/>
          <w:color w:val="1F1F1F"/>
        </w:rPr>
        <w:t>或增量</w:t>
      </w:r>
      <w:r>
        <w:rPr>
          <w:rFonts w:ascii="Google Sans" w:eastAsia="Google Sans" w:hAnsi="Google Sans" w:cs="Google Sans"/>
          <w:color w:val="1F1F1F"/>
        </w:rPr>
        <w:t xml:space="preserve"> G91</w:t>
      </w:r>
      <w:r>
        <w:rPr>
          <w:rFonts w:ascii="Google Sans" w:eastAsia="Google Sans" w:hAnsi="Google Sans" w:cs="Google Sans"/>
          <w:color w:val="1F1F1F"/>
        </w:rPr>
        <w:t>），確保後續座標計算的基準具備絕對的一致性</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3580DCC7"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2BA28002"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第二層：路徑中介表示模型層</w:t>
      </w:r>
      <w:r>
        <w:rPr>
          <w:rFonts w:ascii="Google Sans" w:eastAsia="Google Sans" w:hAnsi="Google Sans" w:cs="Google Sans"/>
          <w:color w:val="1F1F1F"/>
        </w:rPr>
        <w:t xml:space="preserve"> (Toolpath Intermediate Representation, IR)</w:t>
      </w:r>
    </w:p>
    <w:p w14:paraId="14158BAB"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為確保數位雙生模組具備跨廠牌控制器的泛用性，由第一層解析後的指令不應直接送入時間計算，而是需轉換為結構化的中介表示法（</w:t>
      </w:r>
      <w:r>
        <w:rPr>
          <w:rFonts w:ascii="Google Sans" w:eastAsia="Google Sans" w:hAnsi="Google Sans" w:cs="Google Sans"/>
          <w:color w:val="1F1F1F"/>
        </w:rPr>
        <w:t>Intermediate Representation, IR</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1F1F1F"/>
        </w:rPr>
        <w:t>在這一層，系統將每一段切削運動封裝為獨立的物件結構，例如</w:t>
      </w:r>
      <w:r>
        <w:rPr>
          <w:rFonts w:ascii="Google Sans" w:eastAsia="Google Sans" w:hAnsi="Google Sans" w:cs="Google Sans"/>
          <w:color w:val="1F1F1F"/>
        </w:rPr>
        <w:t xml:space="preserve"> MotionBlock</w:t>
      </w:r>
      <w:r>
        <w:rPr>
          <w:rFonts w:ascii="Google Sans" w:eastAsia="Google Sans" w:hAnsi="Google Sans" w:cs="Google Sans"/>
          <w:color w:val="1F1F1F"/>
        </w:rPr>
        <w:t>（直線運動物件）、</w:t>
      </w:r>
      <w:r>
        <w:rPr>
          <w:rFonts w:ascii="Google Sans" w:eastAsia="Google Sans" w:hAnsi="Google Sans" w:cs="Google Sans"/>
          <w:color w:val="1F1F1F"/>
        </w:rPr>
        <w:t>ArcBlock</w:t>
      </w:r>
      <w:r>
        <w:rPr>
          <w:rFonts w:ascii="Google Sans" w:eastAsia="Google Sans" w:hAnsi="Google Sans" w:cs="Google Sans"/>
          <w:color w:val="1F1F1F"/>
        </w:rPr>
        <w:t>（圓弧運動物件）或</w:t>
      </w:r>
      <w:r>
        <w:rPr>
          <w:rFonts w:ascii="Google Sans" w:eastAsia="Google Sans" w:hAnsi="Google Sans" w:cs="Google Sans"/>
          <w:color w:val="1F1F1F"/>
        </w:rPr>
        <w:t xml:space="preserve"> SpindleBlock</w:t>
      </w:r>
      <w:r>
        <w:rPr>
          <w:rFonts w:ascii="Google Sans" w:eastAsia="Google Sans" w:hAnsi="Google Sans" w:cs="Google Sans"/>
          <w:color w:val="1F1F1F"/>
        </w:rPr>
        <w:t>（主軸控制物件）。這些物件將被組織成一個雙向鏈結串列（</w:t>
      </w:r>
      <w:r>
        <w:rPr>
          <w:rFonts w:ascii="Google Sans" w:eastAsia="Google Sans" w:hAnsi="Google Sans" w:cs="Google Sans"/>
          <w:color w:val="1F1F1F"/>
        </w:rPr>
        <w:t>Doubly Link</w:t>
      </w:r>
      <w:r>
        <w:rPr>
          <w:rFonts w:ascii="Google Sans" w:eastAsia="Google Sans" w:hAnsi="Google Sans" w:cs="Google Sans"/>
          <w:color w:val="1F1F1F"/>
        </w:rPr>
        <w:t>ed List</w:t>
      </w:r>
      <w:r>
        <w:rPr>
          <w:rFonts w:ascii="Google Sans" w:eastAsia="Google Sans" w:hAnsi="Google Sans" w:cs="Google Sans"/>
          <w:color w:val="1F1F1F"/>
        </w:rPr>
        <w:t>）或有向圖（</w:t>
      </w:r>
      <w:r>
        <w:rPr>
          <w:rFonts w:ascii="Google Sans" w:eastAsia="Google Sans" w:hAnsi="Google Sans" w:cs="Google Sans"/>
          <w:color w:val="1F1F1F"/>
        </w:rPr>
        <w:t>Directed Graph</w:t>
      </w:r>
      <w:r>
        <w:rPr>
          <w:rFonts w:ascii="Google Sans" w:eastAsia="Google Sans" w:hAnsi="Google Sans" w:cs="Google Sans"/>
          <w:color w:val="1F1F1F"/>
        </w:rPr>
        <w:t>）結構。這種結構的優勢在於將控制流與資料流分離，使得系統能夠在記憶體中自由地「向前」或「向後」遍歷節點，為後續的前瞻演算法（</w:t>
      </w:r>
      <w:r>
        <w:rPr>
          <w:rFonts w:ascii="Google Sans" w:eastAsia="Google Sans" w:hAnsi="Google Sans" w:cs="Google Sans"/>
          <w:color w:val="1F1F1F"/>
        </w:rPr>
        <w:t>Look-ahead</w:t>
      </w:r>
      <w:r>
        <w:rPr>
          <w:rFonts w:ascii="Google Sans" w:eastAsia="Google Sans" w:hAnsi="Google Sans" w:cs="Google Sans"/>
          <w:color w:val="1F1F1F"/>
        </w:rPr>
        <w:t>）奠定不可或缺的資料結構基礎</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。此外，</w:t>
      </w:r>
      <w:r>
        <w:rPr>
          <w:rFonts w:ascii="Google Sans" w:eastAsia="Google Sans" w:hAnsi="Google Sans" w:cs="Google Sans"/>
          <w:color w:val="1F1F1F"/>
        </w:rPr>
        <w:t xml:space="preserve">IR </w:t>
      </w:r>
      <w:r>
        <w:rPr>
          <w:rFonts w:ascii="Google Sans" w:eastAsia="Google Sans" w:hAnsi="Google Sans" w:cs="Google Sans"/>
          <w:color w:val="1F1F1F"/>
        </w:rPr>
        <w:t>節點中將保留製程語意特徵（</w:t>
      </w:r>
      <w:r>
        <w:rPr>
          <w:rFonts w:ascii="Google Sans" w:eastAsia="Google Sans" w:hAnsi="Google Sans" w:cs="Google Sans"/>
          <w:color w:val="1F1F1F"/>
        </w:rPr>
        <w:t>Metadata</w:t>
      </w:r>
      <w:r>
        <w:rPr>
          <w:rFonts w:ascii="Google Sans" w:eastAsia="Google Sans" w:hAnsi="Google Sans" w:cs="Google Sans"/>
          <w:color w:val="1F1F1F"/>
        </w:rPr>
        <w:t>），標註該段路徑屬於空切（</w:t>
      </w:r>
      <w:r>
        <w:rPr>
          <w:rFonts w:ascii="Google Sans" w:eastAsia="Google Sans" w:hAnsi="Google Sans" w:cs="Google Sans"/>
          <w:color w:val="1F1F1F"/>
        </w:rPr>
        <w:t>Air-cut</w:t>
      </w:r>
      <w:r>
        <w:rPr>
          <w:rFonts w:ascii="Google Sans" w:eastAsia="Google Sans" w:hAnsi="Google Sans" w:cs="Google Sans"/>
          <w:color w:val="1F1F1F"/>
        </w:rPr>
        <w:t>）或實切（</w:t>
      </w:r>
      <w:r>
        <w:rPr>
          <w:rFonts w:ascii="Google Sans" w:eastAsia="Google Sans" w:hAnsi="Google Sans" w:cs="Google Sans"/>
          <w:color w:val="1F1F1F"/>
        </w:rPr>
        <w:t>Cutting</w:t>
      </w:r>
      <w:r>
        <w:rPr>
          <w:rFonts w:ascii="Google Sans" w:eastAsia="Google Sans" w:hAnsi="Google Sans" w:cs="Google Sans"/>
          <w:color w:val="1F1F1F"/>
        </w:rPr>
        <w:t>），確保不同製程段能套用對應的平滑化策略與公差要求</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199BE8C7"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0D3DE2FA"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第三層：逆向運動學與實體映射層</w:t>
      </w:r>
      <w:r>
        <w:rPr>
          <w:rFonts w:ascii="Google Sans" w:eastAsia="Google Sans" w:hAnsi="Google Sans" w:cs="Google Sans"/>
          <w:color w:val="1F1F1F"/>
        </w:rPr>
        <w:t xml:space="preserve"> (Kinematics Mapping Engine)</w:t>
      </w:r>
    </w:p>
    <w:p w14:paraId="1A394BA4"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由於</w:t>
      </w:r>
      <w:r>
        <w:rPr>
          <w:rFonts w:ascii="Google Sans" w:eastAsia="Google Sans" w:hAnsi="Google Sans" w:cs="Google Sans"/>
          <w:color w:val="1F1F1F"/>
        </w:rPr>
        <w:t xml:space="preserve"> NC-C</w:t>
      </w:r>
      <w:r>
        <w:rPr>
          <w:rFonts w:ascii="Google Sans" w:eastAsia="Google Sans" w:hAnsi="Google Sans" w:cs="Google Sans"/>
          <w:color w:val="1F1F1F"/>
        </w:rPr>
        <w:t xml:space="preserve">ode </w:t>
      </w:r>
      <w:r>
        <w:rPr>
          <w:rFonts w:ascii="Google Sans" w:eastAsia="Google Sans" w:hAnsi="Google Sans" w:cs="Google Sans"/>
          <w:color w:val="1F1F1F"/>
        </w:rPr>
        <w:t>描述的是刀尖點相對於工件的幾何軌跡，而在實際的</w:t>
      </w:r>
      <w:r>
        <w:rPr>
          <w:rFonts w:ascii="Google Sans" w:eastAsia="Google Sans" w:hAnsi="Google Sans" w:cs="Google Sans"/>
          <w:color w:val="1F1F1F"/>
        </w:rPr>
        <w:t xml:space="preserve"> CNC </w:t>
      </w:r>
      <w:r>
        <w:rPr>
          <w:rFonts w:ascii="Google Sans" w:eastAsia="Google Sans" w:hAnsi="Google Sans" w:cs="Google Sans"/>
          <w:color w:val="1F1F1F"/>
        </w:rPr>
        <w:t>機台中，這些軌跡是由各個實體伺服軸的聯合運動所達成。因此，第三層需導入機台的運動學數位雙生參數，進行逆向運動學解算</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1F1F1F"/>
        </w:rPr>
        <w:t>系統利用齊次座標轉換矩陣（</w:t>
      </w:r>
      <w:r>
        <w:rPr>
          <w:rFonts w:ascii="Google Sans" w:eastAsia="Google Sans" w:hAnsi="Google Sans" w:cs="Google Sans"/>
          <w:color w:val="1F1F1F"/>
        </w:rPr>
        <w:t>Homogeneous Transformation Matrix, HTM</w:t>
      </w:r>
      <w:r>
        <w:rPr>
          <w:rFonts w:ascii="Google Sans" w:eastAsia="Google Sans" w:hAnsi="Google Sans" w:cs="Google Sans"/>
          <w:color w:val="1F1F1F"/>
        </w:rPr>
        <w:t>），將</w:t>
      </w:r>
      <w:r>
        <w:rPr>
          <w:rFonts w:ascii="Google Sans" w:eastAsia="Google Sans" w:hAnsi="Google Sans" w:cs="Google Sans"/>
          <w:color w:val="1F1F1F"/>
        </w:rPr>
        <w:lastRenderedPageBreak/>
        <w:t>抽象的工件座標系軌跡精準映射為機台實體線性軸（</w:t>
      </w:r>
      <w:r>
        <w:rPr>
          <w:rFonts w:ascii="Google Sans" w:eastAsia="Google Sans" w:hAnsi="Google Sans" w:cs="Google Sans"/>
          <w:color w:val="1F1F1F"/>
        </w:rPr>
        <w:t>X, Y, Z</w:t>
      </w:r>
      <w:r>
        <w:rPr>
          <w:rFonts w:ascii="Google Sans" w:eastAsia="Google Sans" w:hAnsi="Google Sans" w:cs="Google Sans"/>
          <w:color w:val="1F1F1F"/>
        </w:rPr>
        <w:t>）與旋轉軸（</w:t>
      </w:r>
      <w:r>
        <w:rPr>
          <w:rFonts w:ascii="Google Sans" w:eastAsia="Google Sans" w:hAnsi="Google Sans" w:cs="Google Sans"/>
          <w:color w:val="1F1F1F"/>
        </w:rPr>
        <w:t>A, B, C</w:t>
      </w:r>
      <w:r>
        <w:rPr>
          <w:rFonts w:ascii="Google Sans" w:eastAsia="Google Sans" w:hAnsi="Google Sans" w:cs="Google Sans"/>
          <w:color w:val="1F1F1F"/>
        </w:rPr>
        <w:t>）的角位移與線位移</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。在多軸同動加工中，旋轉軸的微小角度變化往往對應著龐大的馬達補償運動，其對總加工時間的貢獻度不容忽視。此層的映</w:t>
      </w:r>
      <w:r>
        <w:rPr>
          <w:rFonts w:ascii="Google Sans" w:eastAsia="Google Sans" w:hAnsi="Google Sans" w:cs="Google Sans"/>
          <w:color w:val="1F1F1F"/>
        </w:rPr>
        <w:t>射確保了時間計算是基於實體馬達的實際移動量，而非單純的空間直線距離</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23179C9C"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5BDFD1D4"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第四層：虛擬狀態機與運動控制策略層</w:t>
      </w:r>
      <w:r>
        <w:rPr>
          <w:rFonts w:ascii="Google Sans" w:eastAsia="Google Sans" w:hAnsi="Google Sans" w:cs="Google Sans"/>
          <w:color w:val="1F1F1F"/>
        </w:rPr>
        <w:t xml:space="preserve"> (Virtual State Machine &amp; Strategy Engine)</w:t>
      </w:r>
    </w:p>
    <w:p w14:paraId="3481A4F5"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此層為數位雙生模組的運算核心，負責執行加減速規劃與前瞻演算法的物理模擬。系統在此層運作一個虛擬狀態機（</w:t>
      </w:r>
      <w:r>
        <w:rPr>
          <w:rFonts w:ascii="Google Sans" w:eastAsia="Google Sans" w:hAnsi="Google Sans" w:cs="Google Sans"/>
          <w:color w:val="1F1F1F"/>
        </w:rPr>
        <w:t>Virtual State Machine</w:t>
      </w:r>
      <w:r>
        <w:rPr>
          <w:rFonts w:ascii="Google Sans" w:eastAsia="Google Sans" w:hAnsi="Google Sans" w:cs="Google Sans"/>
          <w:color w:val="1F1F1F"/>
        </w:rPr>
        <w:t>），處理進給率的重新排程與路徑優化</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1F1F1F"/>
        </w:rPr>
        <w:t>透過載入特定機台的設定檔，虛擬狀態機獲取各軸的最大速度、最大加速度極限以及加加速度（</w:t>
      </w:r>
      <w:r>
        <w:rPr>
          <w:rFonts w:ascii="Google Sans" w:eastAsia="Google Sans" w:hAnsi="Google Sans" w:cs="Google Sans"/>
          <w:color w:val="1F1F1F"/>
        </w:rPr>
        <w:t>Jerk</w:t>
      </w:r>
      <w:r>
        <w:rPr>
          <w:rFonts w:ascii="Google Sans" w:eastAsia="Google Sans" w:hAnsi="Google Sans" w:cs="Google Sans"/>
          <w:color w:val="1F1F1F"/>
        </w:rPr>
        <w:t>）限制。針對連續微小線段，系統會模擬高</w:t>
      </w:r>
      <w:r>
        <w:rPr>
          <w:rFonts w:ascii="Google Sans" w:eastAsia="Google Sans" w:hAnsi="Google Sans" w:cs="Google Sans"/>
          <w:color w:val="1F1F1F"/>
        </w:rPr>
        <w:t>階控制器的前瞻演算法，判斷是否會發生資料飢餓（</w:t>
      </w:r>
      <w:r>
        <w:rPr>
          <w:rFonts w:ascii="Google Sans" w:eastAsia="Google Sans" w:hAnsi="Google Sans" w:cs="Google Sans"/>
          <w:color w:val="1F1F1F"/>
        </w:rPr>
        <w:t>Data Starvation</w:t>
      </w:r>
      <w:r>
        <w:rPr>
          <w:rFonts w:ascii="Google Sans" w:eastAsia="Google Sans" w:hAnsi="Google Sans" w:cs="Google Sans"/>
          <w:color w:val="1F1F1F"/>
        </w:rPr>
        <w:t>）並執行軌跡平滑化。此外，在多軸同動時，狀態機能自動切換至倒數時間進給（</w:t>
      </w:r>
      <w:r>
        <w:rPr>
          <w:rFonts w:ascii="Google Sans" w:eastAsia="Google Sans" w:hAnsi="Google Sans" w:cs="Google Sans"/>
          <w:color w:val="1F1F1F"/>
        </w:rPr>
        <w:t>Inverse Time Feedrate, G93</w:t>
      </w:r>
      <w:r>
        <w:rPr>
          <w:rFonts w:ascii="Google Sans" w:eastAsia="Google Sans" w:hAnsi="Google Sans" w:cs="Google Sans"/>
          <w:color w:val="1F1F1F"/>
        </w:rPr>
        <w:t>）模式，確保刀尖點在複雜空間曲面上維持恆定的切削速率，避免因各軸動態響應不一而導致的加工延遲</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6CA216E7"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21559C33"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第五層：多維度響應輸出與微觀診斷層</w:t>
      </w:r>
      <w:r>
        <w:rPr>
          <w:rFonts w:ascii="Google Sans" w:eastAsia="Google Sans" w:hAnsi="Google Sans" w:cs="Google Sans"/>
          <w:color w:val="1F1F1F"/>
        </w:rPr>
        <w:t xml:space="preserve"> (Multi-dimensional Output &amp; Diagnosis)</w:t>
      </w:r>
    </w:p>
    <w:p w14:paraId="6C5602CD"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作為數位雙生的最終輸出端，第五層不僅提供準確的加工總時間預測，更輸出豐富的微觀加工過程數據。這包含了時域上的位移、速度、加速度與抖動變化曲線，讓工程師能透視每一秒鐘機台的動態響應</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。這些微觀數據不僅是驗證演算法正確性的依據，更是後續串接能耗預估模型與結構振動診斷模組的關鍵輸入特徵。</w:t>
      </w:r>
    </w:p>
    <w:p w14:paraId="3AB66E1B"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03AAD090"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sectPr w:rsidR="00002BDB">
          <w:pgSz w:w="12240" w:h="15840"/>
          <w:pgMar w:top="1440" w:right="1440" w:bottom="1440" w:left="1440" w:header="0" w:footer="720" w:gutter="0"/>
          <w:cols w:space="720"/>
        </w:sectPr>
      </w:pPr>
    </w:p>
    <w:p w14:paraId="4B0FD41E"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第四章：核心技術</w:t>
      </w:r>
      <w:r>
        <w:rPr>
          <w:rFonts w:ascii="Google Sans" w:eastAsia="Google Sans" w:hAnsi="Google Sans" w:cs="Google Sans"/>
          <w:color w:val="1F1F1F"/>
        </w:rPr>
        <w:t xml:space="preserve"> I ─ </w:t>
      </w:r>
      <w:r>
        <w:rPr>
          <w:rFonts w:ascii="Google Sans" w:eastAsia="Google Sans" w:hAnsi="Google Sans" w:cs="Google Sans"/>
          <w:color w:val="1F1F1F"/>
        </w:rPr>
        <w:t>七段式</w:t>
      </w:r>
      <w:r>
        <w:rPr>
          <w:rFonts w:ascii="Google Sans" w:eastAsia="Google Sans" w:hAnsi="Google Sans" w:cs="Google Sans"/>
          <w:color w:val="1F1F1F"/>
        </w:rPr>
        <w:t xml:space="preserve"> S </w:t>
      </w:r>
      <w:r>
        <w:rPr>
          <w:rFonts w:ascii="Google Sans" w:eastAsia="Google Sans" w:hAnsi="Google Sans" w:cs="Google Sans"/>
          <w:color w:val="1F1F1F"/>
        </w:rPr>
        <w:t>型加減速動力學模擬</w:t>
      </w:r>
    </w:p>
    <w:p w14:paraId="39495864"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要將時間預測誤差從傳統的</w:t>
      </w:r>
      <w:r>
        <w:rPr>
          <w:rFonts w:ascii="Google Sans" w:eastAsia="Google Sans" w:hAnsi="Google Sans" w:cs="Google Sans"/>
          <w:color w:val="1F1F1F"/>
        </w:rPr>
        <w:t xml:space="preserve"> 10%–40% </w:t>
      </w:r>
      <w:r>
        <w:rPr>
          <w:rFonts w:ascii="Google Sans" w:eastAsia="Google Sans" w:hAnsi="Google Sans" w:cs="Google Sans"/>
          <w:color w:val="1F1F1F"/>
        </w:rPr>
        <w:t>縮減至</w:t>
      </w:r>
      <w:r>
        <w:rPr>
          <w:rFonts w:ascii="Google Sans" w:eastAsia="Google Sans" w:hAnsi="Google Sans" w:cs="Google Sans"/>
          <w:color w:val="1F1F1F"/>
        </w:rPr>
        <w:t xml:space="preserve"> 1%–8% </w:t>
      </w:r>
      <w:r>
        <w:rPr>
          <w:rFonts w:ascii="Google Sans" w:eastAsia="Google Sans" w:hAnsi="Google Sans" w:cs="Google Sans"/>
          <w:color w:val="1F1F1F"/>
        </w:rPr>
        <w:t>內，核心在於捨棄定速假設與粗糙的梯形加減速模型，全面導入「</w:t>
      </w:r>
      <w:r>
        <w:rPr>
          <w:rFonts w:ascii="Google Sans" w:eastAsia="Google Sans" w:hAnsi="Google Sans" w:cs="Google Sans"/>
          <w:color w:val="1F1F1F"/>
        </w:rPr>
        <w:t xml:space="preserve">S </w:t>
      </w:r>
      <w:r>
        <w:rPr>
          <w:rFonts w:ascii="Google Sans" w:eastAsia="Google Sans" w:hAnsi="Google Sans" w:cs="Google Sans"/>
          <w:color w:val="1F1F1F"/>
        </w:rPr>
        <w:t>型加減速曲線（</w:t>
      </w:r>
      <w:r>
        <w:rPr>
          <w:rFonts w:ascii="Google Sans" w:eastAsia="Google Sans" w:hAnsi="Google Sans" w:cs="Google Sans"/>
          <w:color w:val="1F1F1F"/>
        </w:rPr>
        <w:t>S-Curv</w:t>
      </w:r>
      <w:r>
        <w:rPr>
          <w:rFonts w:ascii="Google Sans" w:eastAsia="Google Sans" w:hAnsi="Google Sans" w:cs="Google Sans"/>
          <w:color w:val="1F1F1F"/>
        </w:rPr>
        <w:t>e Trajectory Planning</w:t>
      </w:r>
      <w:r>
        <w:rPr>
          <w:rFonts w:ascii="Google Sans" w:eastAsia="Google Sans" w:hAnsi="Google Sans" w:cs="Google Sans"/>
          <w:color w:val="1F1F1F"/>
        </w:rPr>
        <w:t>）」演算法</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。梯形加減速雖然考慮了加速度，但在加速度變化的瞬間（即啟動、達到最大加速、開始減速的節點），其加加速度（</w:t>
      </w:r>
      <w:r>
        <w:rPr>
          <w:rFonts w:ascii="Google Sans" w:eastAsia="Google Sans" w:hAnsi="Google Sans" w:cs="Google Sans"/>
          <w:color w:val="1F1F1F"/>
        </w:rPr>
        <w:t>Jerk</w:t>
      </w:r>
      <w:r>
        <w:rPr>
          <w:rFonts w:ascii="Google Sans" w:eastAsia="Google Sans" w:hAnsi="Google Sans" w:cs="Google Sans"/>
          <w:color w:val="1F1F1F"/>
        </w:rPr>
        <w:t>）為無限大。這種無限大的抖動在物理上是不可能實現的，且會對機台結構造成嚴重的機械衝擊與殘餘振動</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8</w:t>
      </w:r>
      <w:r>
        <w:rPr>
          <w:rFonts w:ascii="Google Sans" w:eastAsia="Google Sans" w:hAnsi="Google Sans" w:cs="Google Sans"/>
          <w:color w:val="1F1F1F"/>
        </w:rPr>
        <w:t>。</w:t>
      </w:r>
      <w:r>
        <w:rPr>
          <w:rFonts w:ascii="Google Sans" w:eastAsia="Google Sans" w:hAnsi="Google Sans" w:cs="Google Sans"/>
          <w:color w:val="1F1F1F"/>
        </w:rPr>
        <w:t xml:space="preserve">S </w:t>
      </w:r>
      <w:r>
        <w:rPr>
          <w:rFonts w:ascii="Google Sans" w:eastAsia="Google Sans" w:hAnsi="Google Sans" w:cs="Google Sans"/>
          <w:color w:val="1F1F1F"/>
        </w:rPr>
        <w:t>型曲線透過引入抖動限制（</w:t>
      </w:r>
      <w:r>
        <w:rPr>
          <w:rFonts w:ascii="Google Sans" w:eastAsia="Google Sans" w:hAnsi="Google Sans" w:cs="Google Sans"/>
          <w:color w:val="1F1F1F"/>
        </w:rPr>
        <w:t>Jerk constraints</w:t>
      </w:r>
      <w:r>
        <w:rPr>
          <w:rFonts w:ascii="Google Sans" w:eastAsia="Google Sans" w:hAnsi="Google Sans" w:cs="Google Sans"/>
          <w:color w:val="1F1F1F"/>
        </w:rPr>
        <w:t>），產生了高階連續的運動剖面，能更真實地反映實體伺服馬達克服慣性所需的緩衝時間</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4DD0D7D5"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七段式速度剖面數學模型推導</w:t>
      </w:r>
    </w:p>
    <w:p w14:paraId="5FF4E89C"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一個完整的點對點</w:t>
      </w:r>
      <w:r>
        <w:rPr>
          <w:rFonts w:ascii="Google Sans" w:eastAsia="Google Sans" w:hAnsi="Google Sans" w:cs="Google Sans"/>
          <w:color w:val="1F1F1F"/>
        </w:rPr>
        <w:t xml:space="preserve"> S </w:t>
      </w:r>
      <w:r>
        <w:rPr>
          <w:rFonts w:ascii="Google Sans" w:eastAsia="Google Sans" w:hAnsi="Google Sans" w:cs="Google Sans"/>
          <w:color w:val="1F1F1F"/>
        </w:rPr>
        <w:t>型運動規劃，根據加速度與抖動的狀態變化，被嚴格細</w:t>
      </w:r>
      <w:r>
        <w:rPr>
          <w:rFonts w:ascii="Google Sans" w:eastAsia="Google Sans" w:hAnsi="Google Sans" w:cs="Google Sans"/>
          <w:color w:val="1F1F1F"/>
        </w:rPr>
        <w:t>分為七個特徵階段</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。系統在進行每一段直線（</w:t>
      </w:r>
      <w:r>
        <w:rPr>
          <w:rFonts w:ascii="Google Sans" w:eastAsia="Google Sans" w:hAnsi="Google Sans" w:cs="Google Sans"/>
          <w:color w:val="1F1F1F"/>
        </w:rPr>
        <w:t>G01</w:t>
      </w:r>
      <w:r>
        <w:rPr>
          <w:rFonts w:ascii="Google Sans" w:eastAsia="Google Sans" w:hAnsi="Google Sans" w:cs="Google Sans"/>
          <w:color w:val="1F1F1F"/>
        </w:rPr>
        <w:t>）或圓弧（</w:t>
      </w:r>
      <w:r>
        <w:rPr>
          <w:rFonts w:ascii="Google Sans" w:eastAsia="Google Sans" w:hAnsi="Google Sans" w:cs="Google Sans"/>
          <w:color w:val="1F1F1F"/>
        </w:rPr>
        <w:t>G02/G03</w:t>
      </w:r>
      <w:r>
        <w:rPr>
          <w:rFonts w:ascii="Google Sans" w:eastAsia="Google Sans" w:hAnsi="Google Sans" w:cs="Google Sans"/>
          <w:color w:val="1F1F1F"/>
        </w:rPr>
        <w:t>）的時間預估時，將依序計算這七個階段的持續時間：</w:t>
      </w:r>
    </w:p>
    <w:p w14:paraId="518C8788" w14:textId="77777777" w:rsidR="00002BDB" w:rsidRDefault="003B7874">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加加速段（</w:t>
      </w:r>
      <w:r>
        <w:rPr>
          <w:rFonts w:ascii="Google Sans" w:eastAsia="Google Sans" w:hAnsi="Google Sans" w:cs="Google Sans"/>
          <w:b/>
          <w:bCs/>
          <w:color w:val="1F1F1F"/>
        </w:rPr>
        <w:t xml:space="preserve">Jerk-up, </w:t>
      </w:r>
      <w:r>
        <w:rPr>
          <w:rFonts w:ascii="Google Sans" w:eastAsia="Google Sans" w:hAnsi="Google Sans" w:cs="Google Sans"/>
          <w:b/>
          <w:bCs/>
          <w:noProof/>
          <w:color w:val="1F1F1F"/>
        </w:rPr>
        <w:drawing>
          <wp:inline distT="19050" distB="19050" distL="19050" distR="19050" wp14:anchorId="041AA7AF" wp14:editId="0D9F8685">
            <wp:extent cx="181485" cy="239819"/>
            <wp:effectExtent l="0" t="0" r="0" b="0"/>
            <wp:docPr id="3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：此階段為運動的起始。加速度從</w:t>
      </w:r>
      <w:r>
        <w:rPr>
          <w:rFonts w:ascii="Google Sans" w:eastAsia="Google Sans" w:hAnsi="Google Sans" w:cs="Google Sans"/>
          <w:color w:val="1F1F1F"/>
        </w:rPr>
        <w:t xml:space="preserve"> 0 </w:t>
      </w:r>
      <w:r>
        <w:rPr>
          <w:rFonts w:ascii="Google Sans" w:eastAsia="Google Sans" w:hAnsi="Google Sans" w:cs="Google Sans"/>
          <w:color w:val="1F1F1F"/>
        </w:rPr>
        <w:t>開始，以系統允許的最大抖動值</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BF85AA8" wp14:editId="41BABDAA">
            <wp:extent cx="340823" cy="233527"/>
            <wp:effectExtent l="0" t="0" r="0" b="0"/>
            <wp:docPr id="4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
                    <a:srcRect/>
                    <a:stretch>
                      <a:fillRect/>
                    </a:stretch>
                  </pic:blipFill>
                  <pic:spPr>
                    <a:xfrm>
                      <a:off x="0" y="0"/>
                      <a:ext cx="340823" cy="233527"/>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線性攀升，直到達到最大允許加速度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40B0C68" wp14:editId="26E7CFF8">
            <wp:extent cx="362381" cy="235230"/>
            <wp:effectExtent l="0" t="0" r="0" b="0"/>
            <wp:docPr id="4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362381" cy="235230"/>
                    </a:xfrm>
                    <a:prstGeom prst="rect">
                      <a:avLst/>
                    </a:prstGeom>
                    <a:ln/>
                  </pic:spPr>
                </pic:pic>
              </a:graphicData>
            </a:graphic>
          </wp:inline>
        </w:drawing>
      </w:r>
      <w:r>
        <w:rPr>
          <w:rFonts w:ascii="Google Sans" w:eastAsia="Google Sans" w:hAnsi="Google Sans" w:cs="Google Sans"/>
          <w:color w:val="1F1F1F"/>
        </w:rPr>
        <w:t>。</w:t>
      </w:r>
    </w:p>
    <w:p w14:paraId="1738449A" w14:textId="77777777" w:rsidR="00002BDB" w:rsidRDefault="003B7874">
      <w:pPr>
        <w:numPr>
          <w:ilvl w:val="1"/>
          <w:numId w:val="2"/>
        </w:numPr>
        <w:pBdr>
          <w:top w:val="nil"/>
          <w:left w:val="nil"/>
          <w:bottom w:val="nil"/>
          <w:right w:val="nil"/>
          <w:between w:val="nil"/>
        </w:pBdr>
        <w:spacing w:line="275" w:lineRule="auto"/>
      </w:pPr>
      <w:r>
        <w:rPr>
          <w:rFonts w:ascii="Google Sans" w:eastAsia="Google Sans" w:hAnsi="Google Sans" w:cs="Google Sans"/>
          <w:color w:val="1F1F1F"/>
        </w:rPr>
        <w:t>加速度函數呈現一次線性增加：</w:t>
      </w:r>
      <w:r>
        <w:rPr>
          <w:rFonts w:ascii="Google Sans" w:eastAsia="Google Sans" w:hAnsi="Google Sans" w:cs="Google Sans"/>
          <w:noProof/>
          <w:color w:val="1F1F1F"/>
        </w:rPr>
        <w:drawing>
          <wp:inline distT="19050" distB="19050" distL="19050" distR="19050" wp14:anchorId="26221CEF" wp14:editId="05BCCD60">
            <wp:extent cx="1094203" cy="232675"/>
            <wp:effectExtent l="0" t="0" r="0" b="0"/>
            <wp:docPr id="4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1"/>
                    <a:srcRect/>
                    <a:stretch>
                      <a:fillRect/>
                    </a:stretch>
                  </pic:blipFill>
                  <pic:spPr>
                    <a:xfrm>
                      <a:off x="0" y="0"/>
                      <a:ext cx="1094203" cy="232675"/>
                    </a:xfrm>
                    <a:prstGeom prst="rect">
                      <a:avLst/>
                    </a:prstGeom>
                    <a:ln/>
                  </pic:spPr>
                </pic:pic>
              </a:graphicData>
            </a:graphic>
          </wp:inline>
        </w:drawing>
      </w:r>
    </w:p>
    <w:p w14:paraId="64AC7367" w14:textId="77777777" w:rsidR="00002BDB" w:rsidRDefault="003B7874">
      <w:pPr>
        <w:numPr>
          <w:ilvl w:val="1"/>
          <w:numId w:val="2"/>
        </w:numPr>
        <w:pBdr>
          <w:top w:val="nil"/>
          <w:left w:val="nil"/>
          <w:bottom w:val="nil"/>
          <w:right w:val="nil"/>
          <w:between w:val="nil"/>
        </w:pBdr>
        <w:spacing w:line="275" w:lineRule="auto"/>
      </w:pPr>
      <w:r>
        <w:rPr>
          <w:rFonts w:ascii="Google Sans" w:eastAsia="Google Sans" w:hAnsi="Google Sans" w:cs="Google Sans"/>
          <w:color w:val="1F1F1F"/>
        </w:rPr>
        <w:t>速度函數為二次拋物線：</w:t>
      </w:r>
      <w:r>
        <w:rPr>
          <w:rFonts w:ascii="Google Sans" w:eastAsia="Google Sans" w:hAnsi="Google Sans" w:cs="Google Sans"/>
          <w:noProof/>
          <w:color w:val="1F1F1F"/>
        </w:rPr>
        <w:drawing>
          <wp:inline distT="19050" distB="19050" distL="19050" distR="19050" wp14:anchorId="371F9978" wp14:editId="524F4FE8">
            <wp:extent cx="1663741" cy="232296"/>
            <wp:effectExtent l="0" t="0" r="0" b="0"/>
            <wp:docPr id="4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2"/>
                    <a:srcRect/>
                    <a:stretch>
                      <a:fillRect/>
                    </a:stretch>
                  </pic:blipFill>
                  <pic:spPr>
                    <a:xfrm>
                      <a:off x="0" y="0"/>
                      <a:ext cx="1663741" cy="232296"/>
                    </a:xfrm>
                    <a:prstGeom prst="rect">
                      <a:avLst/>
                    </a:prstGeom>
                    <a:ln/>
                  </pic:spPr>
                </pic:pic>
              </a:graphicData>
            </a:graphic>
          </wp:inline>
        </w:drawing>
      </w:r>
    </w:p>
    <w:p w14:paraId="46D41DBE" w14:textId="77777777" w:rsidR="00002BDB" w:rsidRDefault="003B7874">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等加速段（</w:t>
      </w:r>
      <w:r>
        <w:rPr>
          <w:rFonts w:ascii="Google Sans" w:eastAsia="Google Sans" w:hAnsi="Google Sans" w:cs="Google Sans"/>
          <w:b/>
          <w:bCs/>
          <w:color w:val="1F1F1F"/>
        </w:rPr>
        <w:t xml:space="preserve">Constant Acceleration, </w:t>
      </w:r>
      <w:r>
        <w:rPr>
          <w:rFonts w:ascii="Google Sans" w:eastAsia="Google Sans" w:hAnsi="Google Sans" w:cs="Google Sans"/>
          <w:b/>
          <w:bCs/>
          <w:noProof/>
          <w:color w:val="1F1F1F"/>
        </w:rPr>
        <w:drawing>
          <wp:inline distT="19050" distB="19050" distL="19050" distR="19050" wp14:anchorId="47B963C7" wp14:editId="2E35A3BC">
            <wp:extent cx="181485" cy="239819"/>
            <wp:effectExtent l="0" t="0" r="0" b="0"/>
            <wp:docPr id="5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：當加速度達到</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5AD71FFD" wp14:editId="09F30BB3">
            <wp:extent cx="362381" cy="235230"/>
            <wp:effectExtent l="0" t="0" r="0" b="0"/>
            <wp:docPr id="4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362381" cy="235230"/>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後，抖動降為</w:t>
      </w:r>
      <w:r>
        <w:rPr>
          <w:rFonts w:ascii="Google Sans" w:eastAsia="Google Sans" w:hAnsi="Google Sans" w:cs="Google Sans"/>
          <w:color w:val="1F1F1F"/>
        </w:rPr>
        <w:t xml:space="preserve"> 0</w:t>
      </w:r>
      <w:r>
        <w:rPr>
          <w:rFonts w:ascii="Google Sans" w:eastAsia="Google Sans" w:hAnsi="Google Sans" w:cs="Google Sans"/>
          <w:color w:val="1F1F1F"/>
        </w:rPr>
        <w:t>。系統以恆定的最大加速度進行高效率的速度攀升。</w:t>
      </w:r>
    </w:p>
    <w:p w14:paraId="5285EE5E" w14:textId="77777777" w:rsidR="00002BDB" w:rsidRDefault="003B7874">
      <w:pPr>
        <w:numPr>
          <w:ilvl w:val="1"/>
          <w:numId w:val="3"/>
        </w:numPr>
        <w:pBdr>
          <w:top w:val="nil"/>
          <w:left w:val="nil"/>
          <w:bottom w:val="nil"/>
          <w:right w:val="nil"/>
          <w:between w:val="nil"/>
        </w:pBdr>
        <w:spacing w:line="275" w:lineRule="auto"/>
      </w:pPr>
      <w:r>
        <w:rPr>
          <w:rFonts w:ascii="Google Sans" w:eastAsia="Google Sans" w:hAnsi="Google Sans" w:cs="Google Sans"/>
          <w:color w:val="1F1F1F"/>
        </w:rPr>
        <w:t>加速度保持不變：</w:t>
      </w:r>
      <w:r>
        <w:rPr>
          <w:rFonts w:ascii="Google Sans" w:eastAsia="Google Sans" w:hAnsi="Google Sans" w:cs="Google Sans"/>
          <w:noProof/>
          <w:color w:val="1F1F1F"/>
        </w:rPr>
        <w:drawing>
          <wp:inline distT="19050" distB="19050" distL="19050" distR="19050" wp14:anchorId="4C147CE3" wp14:editId="4907E668">
            <wp:extent cx="915851" cy="233700"/>
            <wp:effectExtent l="0" t="0" r="0" b="0"/>
            <wp:docPr id="4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4"/>
                    <a:srcRect/>
                    <a:stretch>
                      <a:fillRect/>
                    </a:stretch>
                  </pic:blipFill>
                  <pic:spPr>
                    <a:xfrm>
                      <a:off x="0" y="0"/>
                      <a:ext cx="915851" cy="233700"/>
                    </a:xfrm>
                    <a:prstGeom prst="rect">
                      <a:avLst/>
                    </a:prstGeom>
                    <a:ln/>
                  </pic:spPr>
                </pic:pic>
              </a:graphicData>
            </a:graphic>
          </wp:inline>
        </w:drawing>
      </w:r>
    </w:p>
    <w:p w14:paraId="77167F03" w14:textId="77777777" w:rsidR="00002BDB" w:rsidRDefault="003B7874">
      <w:pPr>
        <w:numPr>
          <w:ilvl w:val="1"/>
          <w:numId w:val="3"/>
        </w:numPr>
        <w:pBdr>
          <w:top w:val="nil"/>
          <w:left w:val="nil"/>
          <w:bottom w:val="nil"/>
          <w:right w:val="nil"/>
          <w:between w:val="nil"/>
        </w:pBdr>
        <w:spacing w:line="275" w:lineRule="auto"/>
      </w:pPr>
      <w:r>
        <w:rPr>
          <w:rFonts w:ascii="Google Sans" w:eastAsia="Google Sans" w:hAnsi="Google Sans" w:cs="Google Sans"/>
          <w:color w:val="1F1F1F"/>
        </w:rPr>
        <w:t>速度呈線性增加：</w:t>
      </w:r>
      <w:r>
        <w:rPr>
          <w:rFonts w:ascii="Google Sans" w:eastAsia="Google Sans" w:hAnsi="Google Sans" w:cs="Google Sans"/>
          <w:noProof/>
          <w:color w:val="1F1F1F"/>
        </w:rPr>
        <w:drawing>
          <wp:inline distT="19050" distB="19050" distL="19050" distR="19050" wp14:anchorId="4F1F0ABB" wp14:editId="74EB97CC">
            <wp:extent cx="2310889" cy="231715"/>
            <wp:effectExtent l="0" t="0" r="0" b="0"/>
            <wp:docPr id="5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2310889" cy="231715"/>
                    </a:xfrm>
                    <a:prstGeom prst="rect">
                      <a:avLst/>
                    </a:prstGeom>
                    <a:ln/>
                  </pic:spPr>
                </pic:pic>
              </a:graphicData>
            </a:graphic>
          </wp:inline>
        </w:drawing>
      </w:r>
    </w:p>
    <w:p w14:paraId="35138163" w14:textId="77777777" w:rsidR="00002BDB" w:rsidRDefault="003B7874">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減加速段（</w:t>
      </w:r>
      <w:r>
        <w:rPr>
          <w:rFonts w:ascii="Google Sans" w:eastAsia="Google Sans" w:hAnsi="Google Sans" w:cs="Google Sans"/>
          <w:b/>
          <w:bCs/>
          <w:color w:val="1F1F1F"/>
        </w:rPr>
        <w:t xml:space="preserve">Jerk-down, </w:t>
      </w:r>
      <w:r>
        <w:rPr>
          <w:rFonts w:ascii="Google Sans" w:eastAsia="Google Sans" w:hAnsi="Google Sans" w:cs="Google Sans"/>
          <w:b/>
          <w:bCs/>
          <w:noProof/>
          <w:color w:val="1F1F1F"/>
        </w:rPr>
        <w:drawing>
          <wp:inline distT="19050" distB="19050" distL="19050" distR="19050" wp14:anchorId="0D2B7495" wp14:editId="57243B30">
            <wp:extent cx="181485" cy="239819"/>
            <wp:effectExtent l="0" t="0" r="0" b="0"/>
            <wp:docPr id="5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：為避免速度超調（</w:t>
      </w:r>
      <w:r>
        <w:rPr>
          <w:rFonts w:ascii="Google Sans" w:eastAsia="Google Sans" w:hAnsi="Google Sans" w:cs="Google Sans"/>
          <w:color w:val="1F1F1F"/>
        </w:rPr>
        <w:t>Overshoot</w:t>
      </w:r>
      <w:r>
        <w:rPr>
          <w:rFonts w:ascii="Google Sans" w:eastAsia="Google Sans" w:hAnsi="Google Sans" w:cs="Google Sans"/>
          <w:color w:val="1F1F1F"/>
        </w:rPr>
        <w:t>），在接近目標速度前，加速度必須平滑下降。此階段以</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23FF9015" wp14:editId="1E4741D5">
            <wp:extent cx="484285" cy="232709"/>
            <wp:effectExtent l="0" t="0" r="0" b="0"/>
            <wp:docPr id="5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7"/>
                    <a:srcRect/>
                    <a:stretch>
                      <a:fillRect/>
                    </a:stretch>
                  </pic:blipFill>
                  <pic:spPr>
                    <a:xfrm>
                      <a:off x="0" y="0"/>
                      <a:ext cx="484285" cy="232709"/>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的速率將加速度減回</w:t>
      </w:r>
      <w:r>
        <w:rPr>
          <w:rFonts w:ascii="Google Sans" w:eastAsia="Google Sans" w:hAnsi="Google Sans" w:cs="Google Sans"/>
          <w:color w:val="1F1F1F"/>
        </w:rPr>
        <w:t xml:space="preserve"> 0</w:t>
      </w:r>
      <w:r>
        <w:rPr>
          <w:rFonts w:ascii="Google Sans" w:eastAsia="Google Sans" w:hAnsi="Google Sans" w:cs="Google Sans"/>
          <w:color w:val="1F1F1F"/>
        </w:rPr>
        <w:t>，使速度平穩過渡至目標指令進給率</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2EB557CE" wp14:editId="7DF641FD">
            <wp:extent cx="335139" cy="233965"/>
            <wp:effectExtent l="0" t="0" r="0" b="0"/>
            <wp:docPr id="5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335139" cy="233965"/>
                    </a:xfrm>
                    <a:prstGeom prst="rect">
                      <a:avLst/>
                    </a:prstGeom>
                    <a:ln/>
                  </pic:spPr>
                </pic:pic>
              </a:graphicData>
            </a:graphic>
          </wp:inline>
        </w:drawing>
      </w:r>
      <w:r>
        <w:rPr>
          <w:rFonts w:ascii="Google Sans" w:eastAsia="Google Sans" w:hAnsi="Google Sans" w:cs="Google Sans"/>
          <w:color w:val="1F1F1F"/>
        </w:rPr>
        <w:t>。</w:t>
      </w:r>
    </w:p>
    <w:p w14:paraId="48579100" w14:textId="77777777" w:rsidR="00002BDB" w:rsidRDefault="003B7874">
      <w:pPr>
        <w:numPr>
          <w:ilvl w:val="1"/>
          <w:numId w:val="4"/>
        </w:numPr>
        <w:pBdr>
          <w:top w:val="nil"/>
          <w:left w:val="nil"/>
          <w:bottom w:val="nil"/>
          <w:right w:val="nil"/>
          <w:between w:val="nil"/>
        </w:pBdr>
        <w:spacing w:line="275" w:lineRule="auto"/>
      </w:pPr>
      <w:r>
        <w:rPr>
          <w:rFonts w:ascii="Google Sans" w:eastAsia="Google Sans" w:hAnsi="Google Sans" w:cs="Google Sans"/>
          <w:color w:val="1F1F1F"/>
        </w:rPr>
        <w:t>加速度函數：</w:t>
      </w:r>
      <w:r>
        <w:rPr>
          <w:rFonts w:ascii="Google Sans" w:eastAsia="Google Sans" w:hAnsi="Google Sans" w:cs="Google Sans"/>
          <w:noProof/>
          <w:color w:val="1F1F1F"/>
        </w:rPr>
        <w:drawing>
          <wp:inline distT="19050" distB="19050" distL="19050" distR="19050" wp14:anchorId="6B4E840A" wp14:editId="3E2C5AA9">
            <wp:extent cx="2639168" cy="232498"/>
            <wp:effectExtent l="0" t="0" r="0" b="0"/>
            <wp:docPr id="60"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9"/>
                    <a:srcRect/>
                    <a:stretch>
                      <a:fillRect/>
                    </a:stretch>
                  </pic:blipFill>
                  <pic:spPr>
                    <a:xfrm>
                      <a:off x="0" y="0"/>
                      <a:ext cx="2639168" cy="232498"/>
                    </a:xfrm>
                    <a:prstGeom prst="rect">
                      <a:avLst/>
                    </a:prstGeom>
                    <a:ln/>
                  </pic:spPr>
                </pic:pic>
              </a:graphicData>
            </a:graphic>
          </wp:inline>
        </w:drawing>
      </w:r>
    </w:p>
    <w:p w14:paraId="62628544" w14:textId="77777777" w:rsidR="00002BDB" w:rsidRDefault="003B7874">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勻速段（</w:t>
      </w:r>
      <w:r>
        <w:rPr>
          <w:rFonts w:ascii="Google Sans" w:eastAsia="Google Sans" w:hAnsi="Google Sans" w:cs="Google Sans"/>
          <w:b/>
          <w:bCs/>
          <w:color w:val="1F1F1F"/>
        </w:rPr>
        <w:t xml:space="preserve">Constant Velocity / Cruise, </w:t>
      </w:r>
      <w:r>
        <w:rPr>
          <w:rFonts w:ascii="Google Sans" w:eastAsia="Google Sans" w:hAnsi="Google Sans" w:cs="Google Sans"/>
          <w:b/>
          <w:bCs/>
          <w:noProof/>
          <w:color w:val="1F1F1F"/>
        </w:rPr>
        <w:drawing>
          <wp:inline distT="19050" distB="19050" distL="19050" distR="19050" wp14:anchorId="469ED5F1" wp14:editId="56826281">
            <wp:extent cx="181485" cy="239819"/>
            <wp:effectExtent l="0" t="0" r="0" b="0"/>
            <wp:docPr id="6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：系統已達到設定的切削進給率</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6309D48A" wp14:editId="0B2B9EA2">
            <wp:extent cx="335139" cy="233965"/>
            <wp:effectExtent l="0" t="0" r="0" b="0"/>
            <wp:docPr id="6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335139" cy="233965"/>
                    </a:xfrm>
                    <a:prstGeom prst="rect">
                      <a:avLst/>
                    </a:prstGeom>
                    <a:ln/>
                  </pic:spPr>
                </pic:pic>
              </a:graphicData>
            </a:graphic>
          </wp:inline>
        </w:drawing>
      </w:r>
      <w:r>
        <w:rPr>
          <w:rFonts w:ascii="Google Sans" w:eastAsia="Google Sans" w:hAnsi="Google Sans" w:cs="Google Sans"/>
          <w:color w:val="1F1F1F"/>
        </w:rPr>
        <w:t>，此時加速度與抖動皆為</w:t>
      </w:r>
      <w:r>
        <w:rPr>
          <w:rFonts w:ascii="Google Sans" w:eastAsia="Google Sans" w:hAnsi="Google Sans" w:cs="Google Sans"/>
          <w:color w:val="1F1F1F"/>
        </w:rPr>
        <w:t xml:space="preserve"> 0</w:t>
      </w:r>
      <w:r>
        <w:rPr>
          <w:rFonts w:ascii="Google Sans" w:eastAsia="Google Sans" w:hAnsi="Google Sans" w:cs="Google Sans"/>
          <w:color w:val="1F1F1F"/>
        </w:rPr>
        <w:t>，機台保持等速巡航。</w:t>
      </w:r>
    </w:p>
    <w:p w14:paraId="789F5A7D" w14:textId="77777777" w:rsidR="00002BDB" w:rsidRDefault="003B7874">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加減速段（</w:t>
      </w:r>
      <w:r>
        <w:rPr>
          <w:rFonts w:ascii="Google Sans" w:eastAsia="Google Sans" w:hAnsi="Google Sans" w:cs="Google Sans"/>
          <w:b/>
          <w:bCs/>
          <w:color w:val="1F1F1F"/>
        </w:rPr>
        <w:t xml:space="preserve">Jerk-up for Deceleration, </w:t>
      </w:r>
      <w:r>
        <w:rPr>
          <w:rFonts w:ascii="Google Sans" w:eastAsia="Google Sans" w:hAnsi="Google Sans" w:cs="Google Sans"/>
          <w:b/>
          <w:bCs/>
          <w:noProof/>
          <w:color w:val="1F1F1F"/>
        </w:rPr>
        <w:drawing>
          <wp:inline distT="19050" distB="19050" distL="19050" distR="19050" wp14:anchorId="237160EE" wp14:editId="4FA04727">
            <wp:extent cx="181485" cy="239819"/>
            <wp:effectExtent l="0" t="0" r="0" b="0"/>
            <wp:docPr id="63"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1"/>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：當接近目標點需要煞車時，加速度以負向最大抖動增加，直到達到最大減速度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52D681F4" wp14:editId="0A443EDE">
            <wp:extent cx="505844" cy="233953"/>
            <wp:effectExtent l="0" t="0" r="0" b="0"/>
            <wp:docPr id="2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05844" cy="233953"/>
                    </a:xfrm>
                    <a:prstGeom prst="rect">
                      <a:avLst/>
                    </a:prstGeom>
                    <a:ln/>
                  </pic:spPr>
                </pic:pic>
              </a:graphicData>
            </a:graphic>
          </wp:inline>
        </w:drawing>
      </w:r>
      <w:r>
        <w:rPr>
          <w:rFonts w:ascii="Google Sans" w:eastAsia="Google Sans" w:hAnsi="Google Sans" w:cs="Google Sans"/>
          <w:color w:val="1F1F1F"/>
        </w:rPr>
        <w:t>。</w:t>
      </w:r>
    </w:p>
    <w:p w14:paraId="145F76FB" w14:textId="77777777" w:rsidR="00002BDB" w:rsidRDefault="003B7874">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等減速段（</w:t>
      </w:r>
      <w:r>
        <w:rPr>
          <w:rFonts w:ascii="Google Sans" w:eastAsia="Google Sans" w:hAnsi="Google Sans" w:cs="Google Sans"/>
          <w:b/>
          <w:bCs/>
          <w:color w:val="1F1F1F"/>
        </w:rPr>
        <w:t xml:space="preserve">Constant Deceleration, </w:t>
      </w:r>
      <w:r>
        <w:rPr>
          <w:rFonts w:ascii="Google Sans" w:eastAsia="Google Sans" w:hAnsi="Google Sans" w:cs="Google Sans"/>
          <w:b/>
          <w:bCs/>
          <w:noProof/>
          <w:color w:val="1F1F1F"/>
        </w:rPr>
        <w:drawing>
          <wp:inline distT="19050" distB="19050" distL="19050" distR="19050" wp14:anchorId="772C7A3A" wp14:editId="0059EA07">
            <wp:extent cx="181485" cy="239819"/>
            <wp:effectExtent l="0" t="0" r="0" b="0"/>
            <wp:docPr id="2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：機台保持最大減速度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1473B1D6" wp14:editId="357A276D">
            <wp:extent cx="505844" cy="233953"/>
            <wp:effectExtent l="0" t="0" r="0" b="0"/>
            <wp:docPr id="2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05844" cy="233953"/>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進行高效煞車，速度呈線性下降。</w:t>
      </w:r>
    </w:p>
    <w:p w14:paraId="2D64418B" w14:textId="77777777" w:rsidR="00002BDB" w:rsidRDefault="003B7874">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lastRenderedPageBreak/>
        <w:t>減減速段（</w:t>
      </w:r>
      <w:r>
        <w:rPr>
          <w:rFonts w:ascii="Google Sans" w:eastAsia="Google Sans" w:hAnsi="Google Sans" w:cs="Google Sans"/>
          <w:b/>
          <w:bCs/>
          <w:color w:val="1F1F1F"/>
        </w:rPr>
        <w:t xml:space="preserve">Jerk-down for Deceleration, </w:t>
      </w:r>
      <w:r>
        <w:rPr>
          <w:rFonts w:ascii="Google Sans" w:eastAsia="Google Sans" w:hAnsi="Google Sans" w:cs="Google Sans"/>
          <w:b/>
          <w:bCs/>
          <w:noProof/>
          <w:color w:val="1F1F1F"/>
        </w:rPr>
        <w:drawing>
          <wp:inline distT="19050" distB="19050" distL="19050" distR="19050" wp14:anchorId="2A4749C9" wp14:editId="0BE67120">
            <wp:extent cx="181485" cy="239819"/>
            <wp:effectExtent l="0" t="0" r="0" b="0"/>
            <wp:docPr id="2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：減速度由</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228E8895" wp14:editId="511A7932">
            <wp:extent cx="505844" cy="233953"/>
            <wp:effectExtent l="0" t="0" r="0" b="0"/>
            <wp:docPr id="2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05844" cy="233953"/>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平滑回歸至</w:t>
      </w:r>
      <w:r>
        <w:rPr>
          <w:rFonts w:ascii="Google Sans" w:eastAsia="Google Sans" w:hAnsi="Google Sans" w:cs="Google Sans"/>
          <w:color w:val="1F1F1F"/>
        </w:rPr>
        <w:t xml:space="preserve"> 0</w:t>
      </w:r>
      <w:r>
        <w:rPr>
          <w:rFonts w:ascii="Google Sans" w:eastAsia="Google Sans" w:hAnsi="Google Sans" w:cs="Google Sans"/>
          <w:color w:val="1F1F1F"/>
        </w:rPr>
        <w:t>，確保刀具精準停駐於終點或降至轉角所允許的連接速度。</w:t>
      </w:r>
    </w:p>
    <w:p w14:paraId="7A333A79" w14:textId="77777777" w:rsidR="00002BDB" w:rsidRDefault="00002BDB">
      <w:pPr>
        <w:pBdr>
          <w:top w:val="nil"/>
          <w:left w:val="nil"/>
          <w:bottom w:val="nil"/>
          <w:right w:val="nil"/>
          <w:between w:val="nil"/>
        </w:pBdr>
        <w:spacing w:before="120" w:after="120" w:line="275" w:lineRule="auto"/>
        <w:rPr>
          <w:rFonts w:ascii="Google Sans" w:eastAsia="Google Sans" w:hAnsi="Google Sans" w:cs="Google Sans"/>
          <w:color w:val="1F1F1F"/>
        </w:rPr>
      </w:pPr>
    </w:p>
    <w:p w14:paraId="1A573104" w14:textId="77777777" w:rsidR="00002BDB" w:rsidRDefault="003B7874">
      <w:pPr>
        <w:pStyle w:val="3"/>
        <w:spacing w:after="120" w:line="275" w:lineRule="auto"/>
        <w:rPr>
          <w:rFonts w:ascii="Google Sans" w:eastAsia="Google Sans" w:hAnsi="Google Sans" w:cs="Google Sans"/>
          <w:color w:val="1F1F1F"/>
        </w:rPr>
      </w:pPr>
      <w:r>
        <w:rPr>
          <w:rFonts w:ascii="Google Sans" w:eastAsia="Google Sans" w:hAnsi="Google Sans" w:cs="Google Sans"/>
          <w:color w:val="1F1F1F"/>
        </w:rPr>
        <w:t>極短路徑下的曲線退化邏輯</w:t>
      </w:r>
      <w:r>
        <w:rPr>
          <w:rFonts w:ascii="Google Sans" w:eastAsia="Google Sans" w:hAnsi="Google Sans" w:cs="Google Sans"/>
          <w:color w:val="1F1F1F"/>
        </w:rPr>
        <w:t xml:space="preserve"> (Profile Degradation)</w:t>
      </w:r>
    </w:p>
    <w:p w14:paraId="1E002013"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在複雜模具切削或航太結構件的加工中，路徑通常被分割為長度僅數微米的短線段。在這種情況下，路徑長度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7FA84E6C" wp14:editId="76D58E93">
            <wp:extent cx="125628" cy="244644"/>
            <wp:effectExtent l="0" t="0" r="0" b="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125628" cy="244644"/>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往往不足以支撐馬達完成完整的七段加速與減速過程</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。數位雙生模組的演算法必須具備嚴謹的「邊界條件檢測與曲線退化處理」機制</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12</w:t>
      </w:r>
      <w:r>
        <w:rPr>
          <w:rFonts w:ascii="Google Sans" w:eastAsia="Google Sans" w:hAnsi="Google Sans" w:cs="Google Sans"/>
          <w:color w:val="1F1F1F"/>
        </w:rPr>
        <w:t>。</w:t>
      </w:r>
    </w:p>
    <w:p w14:paraId="05DB4688" w14:textId="77777777" w:rsidR="00002BDB" w:rsidRDefault="003B7874">
      <w:pPr>
        <w:numPr>
          <w:ilvl w:val="0"/>
          <w:numId w:val="5"/>
        </w:numPr>
        <w:pBdr>
          <w:top w:val="nil"/>
          <w:left w:val="nil"/>
          <w:bottom w:val="nil"/>
          <w:right w:val="nil"/>
          <w:between w:val="nil"/>
        </w:pBdr>
        <w:spacing w:line="275" w:lineRule="auto"/>
      </w:pPr>
      <w:r>
        <w:rPr>
          <w:rFonts w:ascii="Google Sans" w:eastAsia="Google Sans" w:hAnsi="Google Sans" w:cs="Google Sans"/>
          <w:b/>
          <w:bCs/>
          <w:color w:val="1F1F1F"/>
        </w:rPr>
        <w:t>無勻速段退化（</w:t>
      </w:r>
      <w:r>
        <w:rPr>
          <w:rFonts w:ascii="Google Sans" w:eastAsia="Google Sans" w:hAnsi="Google Sans" w:cs="Google Sans"/>
          <w:b/>
          <w:bCs/>
          <w:color w:val="1F1F1F"/>
        </w:rPr>
        <w:t>Velocity Degradation</w:t>
      </w:r>
      <w:r>
        <w:rPr>
          <w:rFonts w:ascii="Google Sans" w:eastAsia="Google Sans" w:hAnsi="Google Sans" w:cs="Google Sans"/>
          <w:b/>
          <w:bCs/>
          <w:color w:val="1F1F1F"/>
        </w:rPr>
        <w:t>）</w:t>
      </w:r>
      <w:r>
        <w:rPr>
          <w:rFonts w:ascii="Google Sans" w:eastAsia="Google Sans" w:hAnsi="Google Sans" w:cs="Google Sans"/>
          <w:color w:val="1F1F1F"/>
        </w:rPr>
        <w:t>：若給定之位移</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79CB9BA7" wp14:editId="131F586C">
            <wp:extent cx="125628" cy="244644"/>
            <wp:effectExtent l="0" t="0" r="0" b="0"/>
            <wp:docPr id="2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125628" cy="244644"/>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過短，使得系統在加速與減速過程中所消耗的總位移已大於或等於</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48FD95D" wp14:editId="0D928C1F">
            <wp:extent cx="125628" cy="244644"/>
            <wp:effectExtent l="0" t="0" r="0" b="0"/>
            <wp:docPr id="3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125628" cy="244644"/>
                    </a:xfrm>
                    <a:prstGeom prst="rect">
                      <a:avLst/>
                    </a:prstGeom>
                    <a:ln/>
                  </pic:spPr>
                </pic:pic>
              </a:graphicData>
            </a:graphic>
          </wp:inline>
        </w:drawing>
      </w:r>
      <w:r>
        <w:rPr>
          <w:rFonts w:ascii="Google Sans" w:eastAsia="Google Sans" w:hAnsi="Google Sans" w:cs="Google Sans"/>
          <w:color w:val="1F1F1F"/>
        </w:rPr>
        <w:t>，則馬達無法達到指令設定的最高速度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4A1631BD" wp14:editId="507F0D81">
            <wp:extent cx="335139" cy="233965"/>
            <wp:effectExtent l="0" t="0" r="0" b="0"/>
            <wp:docPr id="3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335139" cy="233965"/>
                    </a:xfrm>
                    <a:prstGeom prst="rect">
                      <a:avLst/>
                    </a:prstGeom>
                    <a:ln/>
                  </pic:spPr>
                </pic:pic>
              </a:graphicData>
            </a:graphic>
          </wp:inline>
        </w:drawing>
      </w:r>
      <w:r>
        <w:rPr>
          <w:rFonts w:ascii="Google Sans" w:eastAsia="Google Sans" w:hAnsi="Google Sans" w:cs="Google Sans"/>
          <w:color w:val="1F1F1F"/>
        </w:rPr>
        <w:t>。此時系統需動態重新計算實際可達到</w:t>
      </w:r>
      <w:r>
        <w:rPr>
          <w:rFonts w:ascii="Google Sans" w:eastAsia="Google Sans" w:hAnsi="Google Sans" w:cs="Google Sans"/>
          <w:color w:val="1F1F1F"/>
        </w:rPr>
        <w:t>的最高速度，並將</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535F2A5" wp14:editId="71AA632E">
            <wp:extent cx="181485" cy="239819"/>
            <wp:effectExtent l="0" t="0" r="0" b="0"/>
            <wp:docPr id="3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color w:val="1F1F1F"/>
        </w:rPr>
        <w:t>（勻速段）持續時間設為</w:t>
      </w:r>
      <w:r>
        <w:rPr>
          <w:rFonts w:ascii="Google Sans" w:eastAsia="Google Sans" w:hAnsi="Google Sans" w:cs="Google Sans"/>
          <w:color w:val="1F1F1F"/>
        </w:rPr>
        <w:t xml:space="preserve"> 0</w:t>
      </w:r>
      <w:r>
        <w:rPr>
          <w:rFonts w:ascii="Google Sans" w:eastAsia="Google Sans" w:hAnsi="Google Sans" w:cs="Google Sans"/>
          <w:color w:val="1F1F1F"/>
        </w:rPr>
        <w:t>，完整七段曲線退化為六段或五段</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12</w:t>
      </w:r>
      <w:r>
        <w:rPr>
          <w:rFonts w:ascii="Google Sans" w:eastAsia="Google Sans" w:hAnsi="Google Sans" w:cs="Google Sans"/>
          <w:color w:val="1F1F1F"/>
        </w:rPr>
        <w:t>。</w:t>
      </w:r>
    </w:p>
    <w:p w14:paraId="482D89C6" w14:textId="77777777" w:rsidR="00002BDB" w:rsidRDefault="003B7874">
      <w:pPr>
        <w:numPr>
          <w:ilvl w:val="0"/>
          <w:numId w:val="5"/>
        </w:numPr>
        <w:pBdr>
          <w:top w:val="nil"/>
          <w:left w:val="nil"/>
          <w:bottom w:val="nil"/>
          <w:right w:val="nil"/>
          <w:between w:val="nil"/>
        </w:pBdr>
        <w:spacing w:after="120" w:line="275" w:lineRule="auto"/>
      </w:pPr>
      <w:r>
        <w:rPr>
          <w:rFonts w:ascii="Google Sans" w:eastAsia="Google Sans" w:hAnsi="Google Sans" w:cs="Google Sans"/>
          <w:b/>
          <w:bCs/>
          <w:color w:val="1F1F1F"/>
        </w:rPr>
        <w:t>無等加速段退化（</w:t>
      </w:r>
      <w:r>
        <w:rPr>
          <w:rFonts w:ascii="Google Sans" w:eastAsia="Google Sans" w:hAnsi="Google Sans" w:cs="Google Sans"/>
          <w:b/>
          <w:bCs/>
          <w:color w:val="1F1F1F"/>
        </w:rPr>
        <w:t>Acceleration Degradation</w:t>
      </w:r>
      <w:r>
        <w:rPr>
          <w:rFonts w:ascii="Google Sans" w:eastAsia="Google Sans" w:hAnsi="Google Sans" w:cs="Google Sans"/>
          <w:b/>
          <w:bCs/>
          <w:color w:val="1F1F1F"/>
        </w:rPr>
        <w:t>）</w:t>
      </w:r>
      <w:r>
        <w:rPr>
          <w:rFonts w:ascii="Google Sans" w:eastAsia="Google Sans" w:hAnsi="Google Sans" w:cs="Google Sans"/>
          <w:color w:val="1F1F1F"/>
        </w:rPr>
        <w:t>：若位移極端短小，使得速度在加加速階段（</w:t>
      </w:r>
      <w:r>
        <w:rPr>
          <w:rFonts w:ascii="Google Sans" w:eastAsia="Google Sans" w:hAnsi="Google Sans" w:cs="Google Sans"/>
          <w:noProof/>
          <w:color w:val="1F1F1F"/>
        </w:rPr>
        <w:drawing>
          <wp:inline distT="19050" distB="19050" distL="19050" distR="19050" wp14:anchorId="30ABC13D" wp14:editId="48211FCB">
            <wp:extent cx="181485" cy="239819"/>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color w:val="1F1F1F"/>
        </w:rPr>
        <w:t>）結束前就必須立即啟動減速程序，此時系統甚至無法達到機台的最大加速度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9CD9865" wp14:editId="1F5C38E1">
            <wp:extent cx="362381" cy="235230"/>
            <wp:effectExtent l="0" t="0" r="0" b="0"/>
            <wp:docPr id="1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362381" cy="235230"/>
                    </a:xfrm>
                    <a:prstGeom prst="rect">
                      <a:avLst/>
                    </a:prstGeom>
                    <a:ln/>
                  </pic:spPr>
                </pic:pic>
              </a:graphicData>
            </a:graphic>
          </wp:inline>
        </w:drawing>
      </w:r>
      <w:r>
        <w:rPr>
          <w:rFonts w:ascii="Google Sans" w:eastAsia="Google Sans" w:hAnsi="Google Sans" w:cs="Google Sans"/>
          <w:color w:val="1F1F1F"/>
        </w:rPr>
        <w:t>。演算法需根據位移與抖動的關係，重新計算實際能達到的峰值加速度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2FFECF94" wp14:editId="5D6E3150">
            <wp:extent cx="1639043" cy="232355"/>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6"/>
                    <a:srcRect/>
                    <a:stretch>
                      <a:fillRect/>
                    </a:stretch>
                  </pic:blipFill>
                  <pic:spPr>
                    <a:xfrm>
                      <a:off x="0" y="0"/>
                      <a:ext cx="1639043" cy="232355"/>
                    </a:xfrm>
                    <a:prstGeom prst="rect">
                      <a:avLst/>
                    </a:prstGeom>
                    <a:ln/>
                  </pic:spPr>
                </pic:pic>
              </a:graphicData>
            </a:graphic>
          </wp:inline>
        </w:drawing>
      </w:r>
      <w:r>
        <w:rPr>
          <w:rFonts w:ascii="Google Sans" w:eastAsia="Google Sans" w:hAnsi="Google Sans" w:cs="Google Sans"/>
          <w:color w:val="1F1F1F"/>
        </w:rPr>
        <w:t>，並將曲線進一步退化，省略</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6766AE04" wp14:editId="692EB521">
            <wp:extent cx="181485" cy="239819"/>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與</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FE79F7C" wp14:editId="33DE327D">
            <wp:extent cx="181485" cy="239819"/>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181485" cy="239819"/>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階段</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w:t>
      </w:r>
    </w:p>
    <w:p w14:paraId="160B5DE1" w14:textId="77777777" w:rsidR="00002BDB" w:rsidRDefault="003B7874">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透過對每一插補週期內上述七個階段的精密積分與退化判定，數位雙生模組能夠精確求得在物理約束下的實際耗時（</w:t>
      </w:r>
      <w:r>
        <w:rPr>
          <w:rFonts w:ascii="Google Sans" w:eastAsia="Google Sans" w:hAnsi="Google Sans" w:cs="Google Sans"/>
          <w:noProof/>
          <w:color w:val="1F1F1F"/>
        </w:rPr>
        <w:drawing>
          <wp:inline distT="19050" distB="19050" distL="19050" distR="19050" wp14:anchorId="6E43A219" wp14:editId="33AE9E3B">
            <wp:extent cx="386880" cy="23088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386880" cy="230880"/>
                    </a:xfrm>
                    <a:prstGeom prst="rect">
                      <a:avLst/>
                    </a:prstGeom>
                    <a:ln/>
                  </pic:spPr>
                </pic:pic>
              </a:graphicData>
            </a:graphic>
          </wp:inline>
        </w:drawing>
      </w:r>
      <w:r>
        <w:rPr>
          <w:rFonts w:ascii="Google Sans" w:eastAsia="Google Sans" w:hAnsi="Google Sans" w:cs="Google Sans"/>
          <w:color w:val="1F1F1F"/>
        </w:rPr>
        <w:t>），從根本上解決了傳統幾何求和法所產生的樂觀偏見問題。</w:t>
      </w:r>
    </w:p>
    <w:p w14:paraId="4D1D3842" w14:textId="77777777" w:rsidR="00002BDB" w:rsidRDefault="00002BDB">
      <w:pPr>
        <w:pBdr>
          <w:top w:val="nil"/>
          <w:left w:val="nil"/>
          <w:bottom w:val="nil"/>
          <w:right w:val="nil"/>
          <w:between w:val="nil"/>
        </w:pBdr>
        <w:spacing w:before="240" w:after="150" w:line="275" w:lineRule="auto"/>
        <w:rPr>
          <w:rFonts w:ascii="Google Sans" w:eastAsia="Google Sans" w:hAnsi="Google Sans" w:cs="Google Sans"/>
          <w:color w:val="1F1F1F"/>
        </w:rPr>
        <w:sectPr w:rsidR="00002BDB">
          <w:pgSz w:w="12240" w:h="15840"/>
          <w:pgMar w:top="1440" w:right="1440" w:bottom="1440" w:left="1440" w:header="0" w:footer="720" w:gutter="0"/>
          <w:cols w:space="720"/>
        </w:sectPr>
      </w:pPr>
    </w:p>
    <w:p w14:paraId="75042CAA" w14:textId="77777777" w:rsidR="00002BDB" w:rsidRDefault="00002BDB">
      <w:pPr>
        <w:pBdr>
          <w:top w:val="nil"/>
          <w:left w:val="nil"/>
          <w:bottom w:val="nil"/>
          <w:right w:val="nil"/>
          <w:between w:val="nil"/>
        </w:pBdr>
        <w:spacing w:before="240" w:after="150" w:line="275" w:lineRule="auto"/>
        <w:rPr>
          <w:rFonts w:ascii="Google Sans" w:eastAsia="Google Sans" w:hAnsi="Google Sans" w:cs="Google Sans"/>
          <w:color w:val="1F1F1F"/>
        </w:rPr>
      </w:pPr>
    </w:p>
    <w:p w14:paraId="3C327D27"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第五章：核心技術</w:t>
      </w:r>
      <w:r>
        <w:rPr>
          <w:rFonts w:ascii="Google Sans" w:eastAsia="Google Sans" w:hAnsi="Google Sans" w:cs="Google Sans"/>
          <w:color w:val="1F1F1F"/>
        </w:rPr>
        <w:t xml:space="preserve"> II ─ </w:t>
      </w:r>
      <w:r>
        <w:rPr>
          <w:rFonts w:ascii="Google Sans" w:eastAsia="Google Sans" w:hAnsi="Google Sans" w:cs="Google Sans"/>
          <w:color w:val="1F1F1F"/>
        </w:rPr>
        <w:t>雙向掃描前瞻控制與轉角約束</w:t>
      </w:r>
    </w:p>
    <w:p w14:paraId="77F823B2"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在處理自由曲面加工時，大量的微小線段（</w:t>
      </w:r>
      <w:r>
        <w:rPr>
          <w:rFonts w:ascii="Google Sans" w:eastAsia="Google Sans" w:hAnsi="Google Sans" w:cs="Google Sans"/>
          <w:color w:val="1F1F1F"/>
        </w:rPr>
        <w:t>G01</w:t>
      </w:r>
      <w:r>
        <w:rPr>
          <w:rFonts w:ascii="Google Sans" w:eastAsia="Google Sans" w:hAnsi="Google Sans" w:cs="Google Sans"/>
          <w:color w:val="1F1F1F"/>
        </w:rPr>
        <w:t>）以不同的空間角度相連接。在真實加工中，若機台以高速衝過這些轉角，方向的突變將引發巨大的向心加速度與機械慣性衝擊，導致馬達失步、機台劇烈振動，甚至造成加工軌跡嚴重偏離（即加工超差）。為了防止這種現象，現代高階</w:t>
      </w:r>
      <w:r>
        <w:rPr>
          <w:rFonts w:ascii="Google Sans" w:eastAsia="Google Sans" w:hAnsi="Google Sans" w:cs="Google Sans"/>
          <w:color w:val="1F1F1F"/>
        </w:rPr>
        <w:t xml:space="preserve"> CNC </w:t>
      </w:r>
      <w:r>
        <w:rPr>
          <w:rFonts w:ascii="Google Sans" w:eastAsia="Google Sans" w:hAnsi="Google Sans" w:cs="Google Sans"/>
          <w:color w:val="1F1F1F"/>
        </w:rPr>
        <w:t>控制器內部皆搭載</w:t>
      </w:r>
      <w:r>
        <w:rPr>
          <w:rFonts w:ascii="Google Sans" w:eastAsia="Google Sans" w:hAnsi="Google Sans" w:cs="Google Sans"/>
          <w:color w:val="1F1F1F"/>
        </w:rPr>
        <w:t>了前瞻控制（</w:t>
      </w:r>
      <w:r>
        <w:rPr>
          <w:rFonts w:ascii="Google Sans" w:eastAsia="Google Sans" w:hAnsi="Google Sans" w:cs="Google Sans"/>
          <w:color w:val="1F1F1F"/>
        </w:rPr>
        <w:t>Look-ahead</w:t>
      </w:r>
      <w:r>
        <w:rPr>
          <w:rFonts w:ascii="Google Sans" w:eastAsia="Google Sans" w:hAnsi="Google Sans" w:cs="Google Sans"/>
          <w:color w:val="1F1F1F"/>
        </w:rPr>
        <w:t>）模組，強制機台在接近轉角前主動減速。如果數位雙生模組未能精確模擬這套邏輯，其時間預測的誤差將難以控制</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057E5E67"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轉角向心加速度與幾何誤差約束公式</w:t>
      </w:r>
    </w:p>
    <w:p w14:paraId="5BF836E9"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當刀具路徑從一個向量方向急遽過渡到另一個向量時，兩線段間會形成一個空間夾角</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4CF90EBB" wp14:editId="09B6F8D9">
            <wp:extent cx="91624" cy="226006"/>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91624" cy="226006"/>
                    </a:xfrm>
                    <a:prstGeom prst="rect">
                      <a:avLst/>
                    </a:prstGeom>
                    <a:ln/>
                  </pic:spPr>
                </pic:pic>
              </a:graphicData>
            </a:graphic>
          </wp:inline>
        </w:drawing>
      </w:r>
      <w:r>
        <w:rPr>
          <w:rFonts w:ascii="Google Sans" w:eastAsia="Google Sans" w:hAnsi="Google Sans" w:cs="Google Sans"/>
          <w:color w:val="1F1F1F"/>
        </w:rPr>
        <w:t>。為了實現平滑過渡，控制器內部會依據允許的軌跡誤差範圍，虛擬出一個轉角過渡圓弧</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1F1F1F"/>
        </w:rPr>
        <w:t>系統在計算該交點的物理臨界連接速度（</w:t>
      </w:r>
      <w:r>
        <w:rPr>
          <w:rFonts w:ascii="Google Sans" w:eastAsia="Google Sans" w:hAnsi="Google Sans" w:cs="Google Sans"/>
          <w:color w:val="1F1F1F"/>
        </w:rPr>
        <w:t xml:space="preserve">Junction Velocity, </w:t>
      </w:r>
      <w:r>
        <w:rPr>
          <w:rFonts w:ascii="Google Sans" w:eastAsia="Google Sans" w:hAnsi="Google Sans" w:cs="Google Sans"/>
          <w:noProof/>
          <w:color w:val="1F1F1F"/>
        </w:rPr>
        <w:drawing>
          <wp:inline distT="19050" distB="19050" distL="19050" distR="19050" wp14:anchorId="4B75594C" wp14:editId="6FEFA8D9">
            <wp:extent cx="615989" cy="232567"/>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9"/>
                    <a:srcRect/>
                    <a:stretch>
                      <a:fillRect/>
                    </a:stretch>
                  </pic:blipFill>
                  <pic:spPr>
                    <a:xfrm>
                      <a:off x="0" y="0"/>
                      <a:ext cx="615989" cy="232567"/>
                    </a:xfrm>
                    <a:prstGeom prst="rect">
                      <a:avLst/>
                    </a:prstGeom>
                    <a:ln/>
                  </pic:spPr>
                </pic:pic>
              </a:graphicData>
            </a:graphic>
          </wp:inline>
        </w:drawing>
      </w:r>
      <w:r>
        <w:rPr>
          <w:rFonts w:ascii="Google Sans" w:eastAsia="Google Sans" w:hAnsi="Google Sans" w:cs="Google Sans"/>
          <w:color w:val="1F1F1F"/>
        </w:rPr>
        <w:t>）時，必須同時滿足機台的動力學能力與加工精度要求。其核心物理約束公式如下</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5C5F69E6" w14:textId="77777777" w:rsidR="00002BDB" w:rsidRDefault="003B7874">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582D90C8" wp14:editId="67181D8C">
            <wp:extent cx="5620921" cy="746529"/>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5620921" cy="746529"/>
                    </a:xfrm>
                    <a:prstGeom prst="rect">
                      <a:avLst/>
                    </a:prstGeom>
                    <a:ln/>
                  </pic:spPr>
                </pic:pic>
              </a:graphicData>
            </a:graphic>
          </wp:inline>
        </w:drawing>
      </w:r>
    </w:p>
    <w:p w14:paraId="536E93EA"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此公式揭示了轉角速度的物理依賴性：</w:t>
      </w:r>
    </w:p>
    <w:p w14:paraId="542D5F68" w14:textId="77777777" w:rsidR="00002BDB" w:rsidRDefault="003B7874">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機台最大加速度</w:t>
      </w:r>
      <w:r>
        <w:rPr>
          <w:rFonts w:ascii="Google Sans" w:eastAsia="Google Sans" w:hAnsi="Google Sans" w:cs="Google Sans"/>
          <w:b/>
          <w:bCs/>
          <w:color w:val="1F1F1F"/>
        </w:rPr>
        <w:t xml:space="preserve"> (</w:t>
      </w:r>
      <w:r>
        <w:rPr>
          <w:rFonts w:ascii="Google Sans" w:eastAsia="Google Sans" w:hAnsi="Google Sans" w:cs="Google Sans"/>
          <w:b/>
          <w:bCs/>
          <w:noProof/>
          <w:color w:val="1F1F1F"/>
        </w:rPr>
        <w:drawing>
          <wp:inline distT="19050" distB="19050" distL="19050" distR="19050" wp14:anchorId="23327C59" wp14:editId="62D918CE">
            <wp:extent cx="362381" cy="235230"/>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362381" cy="235230"/>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：機台馬達能提供的制動力越強，允許的過彎速度越高。</w:t>
      </w:r>
    </w:p>
    <w:p w14:paraId="6BB20C18" w14:textId="77777777" w:rsidR="00002BDB" w:rsidRDefault="003B7874">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循跡公差極限</w:t>
      </w:r>
      <w:r>
        <w:rPr>
          <w:rFonts w:ascii="Google Sans" w:eastAsia="Google Sans" w:hAnsi="Google Sans" w:cs="Google Sans"/>
          <w:b/>
          <w:bCs/>
          <w:color w:val="1F1F1F"/>
        </w:rPr>
        <w:t xml:space="preserve"> (</w:t>
      </w:r>
      <w:r>
        <w:rPr>
          <w:rFonts w:ascii="Google Sans" w:eastAsia="Google Sans" w:hAnsi="Google Sans" w:cs="Google Sans"/>
          <w:b/>
          <w:bCs/>
          <w:noProof/>
          <w:color w:val="1F1F1F"/>
        </w:rPr>
        <w:drawing>
          <wp:inline distT="19050" distB="19050" distL="19050" distR="19050" wp14:anchorId="3D9972B3" wp14:editId="42D20B07">
            <wp:extent cx="74867" cy="230841"/>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74867" cy="230841"/>
                    </a:xfrm>
                    <a:prstGeom prst="rect">
                      <a:avLst/>
                    </a:prstGeom>
                    <a:ln/>
                  </pic:spPr>
                </pic:pic>
              </a:graphicData>
            </a:graphic>
          </wp:inline>
        </w:drawing>
      </w:r>
      <w:r>
        <w:rPr>
          <w:rFonts w:ascii="Google Sans" w:eastAsia="Google Sans" w:hAnsi="Google Sans" w:cs="Google Sans"/>
          <w:b/>
          <w:bCs/>
          <w:color w:val="1F1F1F"/>
        </w:rPr>
        <w:t>, Tracking Tolerance)</w:t>
      </w:r>
      <w:r>
        <w:rPr>
          <w:rFonts w:ascii="Google Sans" w:eastAsia="Google Sans" w:hAnsi="Google Sans" w:cs="Google Sans"/>
          <w:color w:val="1F1F1F"/>
        </w:rPr>
        <w:t>：若使用者要求的加工精度越高（即</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0EFDE8C2" wp14:editId="3DD70C74">
            <wp:extent cx="74867" cy="230841"/>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74867" cy="230841"/>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越小，不允許刀具路徑偏離指令軌跡），機台就必須以更慢的速度通過轉角以抑制向心偏離。</w:t>
      </w:r>
    </w:p>
    <w:p w14:paraId="2886E377" w14:textId="77777777" w:rsidR="00002BDB" w:rsidRDefault="003B7874">
      <w:pPr>
        <w:numPr>
          <w:ilvl w:val="0"/>
          <w:numId w:val="6"/>
        </w:numPr>
        <w:pBdr>
          <w:top w:val="nil"/>
          <w:left w:val="nil"/>
          <w:bottom w:val="nil"/>
          <w:right w:val="nil"/>
          <w:between w:val="nil"/>
        </w:pBdr>
        <w:spacing w:after="120" w:line="275" w:lineRule="auto"/>
      </w:pPr>
      <w:r>
        <w:rPr>
          <w:rFonts w:ascii="Google Sans" w:eastAsia="Google Sans" w:hAnsi="Google Sans" w:cs="Google Sans"/>
          <w:b/>
          <w:bCs/>
          <w:color w:val="1F1F1F"/>
        </w:rPr>
        <w:t>路徑夾角</w:t>
      </w:r>
      <w:r>
        <w:rPr>
          <w:rFonts w:ascii="Google Sans" w:eastAsia="Google Sans" w:hAnsi="Google Sans" w:cs="Google Sans"/>
          <w:b/>
          <w:bCs/>
          <w:color w:val="1F1F1F"/>
        </w:rPr>
        <w:t xml:space="preserve"> (</w:t>
      </w:r>
      <w:r>
        <w:rPr>
          <w:rFonts w:ascii="Google Sans" w:eastAsia="Google Sans" w:hAnsi="Google Sans" w:cs="Google Sans"/>
          <w:b/>
          <w:bCs/>
          <w:noProof/>
          <w:color w:val="1F1F1F"/>
        </w:rPr>
        <w:drawing>
          <wp:inline distT="19050" distB="19050" distL="19050" distR="19050" wp14:anchorId="7E059DE5" wp14:editId="38875FA4">
            <wp:extent cx="91624" cy="226006"/>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91624" cy="226006"/>
                    </a:xfrm>
                    <a:prstGeom prst="rect">
                      <a:avLst/>
                    </a:prstGeom>
                    <a:ln/>
                  </pic:spPr>
                </pic:pic>
              </a:graphicData>
            </a:graphic>
          </wp:inline>
        </w:drawing>
      </w:r>
      <w:r>
        <w:rPr>
          <w:rFonts w:ascii="Google Sans" w:eastAsia="Google Sans" w:hAnsi="Google Sans" w:cs="Google Sans"/>
          <w:b/>
          <w:bCs/>
          <w:color w:val="1F1F1F"/>
        </w:rPr>
        <w:t>)</w:t>
      </w:r>
      <w:r>
        <w:rPr>
          <w:rFonts w:ascii="Google Sans" w:eastAsia="Google Sans" w:hAnsi="Google Sans" w:cs="Google Sans"/>
          <w:color w:val="1F1F1F"/>
        </w:rPr>
        <w:t>：夾角越尖銳（</w:t>
      </w:r>
      <w:r>
        <w:rPr>
          <w:rFonts w:ascii="Google Sans" w:eastAsia="Google Sans" w:hAnsi="Google Sans" w:cs="Google Sans"/>
          <w:noProof/>
          <w:color w:val="1F1F1F"/>
        </w:rPr>
        <w:drawing>
          <wp:inline distT="19050" distB="19050" distL="19050" distR="19050" wp14:anchorId="3C6CDD63" wp14:editId="3775EB64">
            <wp:extent cx="91624" cy="226006"/>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91624" cy="226006"/>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越大），方向變換越劇烈，允許的過彎速度便呈非線性下降。</w:t>
      </w:r>
      <w:r>
        <w:rPr>
          <w:rFonts w:eastAsia="Arial"/>
          <w:color w:val="000000"/>
        </w:rPr>
        <w:br/>
      </w:r>
      <w:r>
        <w:rPr>
          <w:rFonts w:ascii="Google Sans" w:eastAsia="Google Sans" w:hAnsi="Google Sans" w:cs="Google Sans"/>
          <w:color w:val="1F1F1F"/>
        </w:rPr>
        <w:t>演算法必須針對</w:t>
      </w:r>
      <w:r>
        <w:rPr>
          <w:rFonts w:ascii="Google Sans" w:eastAsia="Google Sans" w:hAnsi="Google Sans" w:cs="Google Sans"/>
          <w:color w:val="1F1F1F"/>
        </w:rPr>
        <w:t xml:space="preserve"> NC-Code </w:t>
      </w:r>
      <w:r>
        <w:rPr>
          <w:rFonts w:ascii="Google Sans" w:eastAsia="Google Sans" w:hAnsi="Google Sans" w:cs="Google Sans"/>
          <w:color w:val="1F1F1F"/>
        </w:rPr>
        <w:t>中的每一個接點計算其專屬的</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41D43FA8" wp14:editId="069AF231">
            <wp:extent cx="615989" cy="232567"/>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9"/>
                    <a:srcRect/>
                    <a:stretch>
                      <a:fillRect/>
                    </a:stretch>
                  </pic:blipFill>
                  <pic:spPr>
                    <a:xfrm>
                      <a:off x="0" y="0"/>
                      <a:ext cx="615989" cy="232567"/>
                    </a:xfrm>
                    <a:prstGeom prst="rect">
                      <a:avLst/>
                    </a:prstGeom>
                    <a:ln/>
                  </pic:spPr>
                </pic:pic>
              </a:graphicData>
            </a:graphic>
          </wp:inline>
        </w:drawing>
      </w:r>
      <w:r>
        <w:rPr>
          <w:rFonts w:ascii="Google Sans" w:eastAsia="Google Sans" w:hAnsi="Google Sans" w:cs="Google Sans"/>
          <w:color w:val="1F1F1F"/>
        </w:rPr>
        <w:t>，確保速度的設定具備嚴謹的物理合理性。</w:t>
      </w:r>
    </w:p>
    <w:p w14:paraId="59D111B0" w14:textId="77777777" w:rsidR="00002BDB" w:rsidRDefault="00002BDB">
      <w:pPr>
        <w:pBdr>
          <w:top w:val="nil"/>
          <w:left w:val="nil"/>
          <w:bottom w:val="nil"/>
          <w:right w:val="nil"/>
          <w:between w:val="nil"/>
        </w:pBdr>
        <w:spacing w:before="120" w:after="120" w:line="275" w:lineRule="auto"/>
        <w:rPr>
          <w:rFonts w:ascii="Google Sans" w:eastAsia="Google Sans" w:hAnsi="Google Sans" w:cs="Google Sans"/>
          <w:color w:val="1F1F1F"/>
        </w:rPr>
      </w:pPr>
    </w:p>
    <w:p w14:paraId="44A07563" w14:textId="77777777" w:rsidR="00002BDB" w:rsidRDefault="003B7874">
      <w:pPr>
        <w:pStyle w:val="3"/>
        <w:spacing w:after="120" w:line="275" w:lineRule="auto"/>
        <w:rPr>
          <w:rFonts w:ascii="Google Sans" w:eastAsia="Google Sans" w:hAnsi="Google Sans" w:cs="Google Sans"/>
          <w:color w:val="1F1F1F"/>
        </w:rPr>
      </w:pPr>
      <w:r>
        <w:rPr>
          <w:rFonts w:ascii="Google Sans" w:eastAsia="Google Sans" w:hAnsi="Google Sans" w:cs="Google Sans"/>
          <w:color w:val="1F1F1F"/>
        </w:rPr>
        <w:t>雙向掃描緩衝區模擬機制</w:t>
      </w:r>
      <w:r>
        <w:rPr>
          <w:rFonts w:ascii="Google Sans" w:eastAsia="Google Sans" w:hAnsi="Google Sans" w:cs="Google Sans"/>
          <w:color w:val="1F1F1F"/>
        </w:rPr>
        <w:t xml:space="preserve"> (Bidirectional Scanning Strategy)</w:t>
      </w:r>
    </w:p>
    <w:p w14:paraId="5AC438BF"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由於轉角減速點的出現位置與程度是未知的，傳統逐行讀取指令的方式無法在遇到轉角時瞬間將速度降下（會違反上述的抖動與加速度限制）。因此，數位雙生模組必須模擬控制器的資料緩衝區（</w:t>
      </w:r>
      <w:r>
        <w:rPr>
          <w:rFonts w:ascii="Google Sans" w:eastAsia="Google Sans" w:hAnsi="Google Sans" w:cs="Google Sans"/>
          <w:color w:val="1F1F1F"/>
        </w:rPr>
        <w:t>Buffer</w:t>
      </w:r>
      <w:r>
        <w:rPr>
          <w:rFonts w:ascii="Google Sans" w:eastAsia="Google Sans" w:hAnsi="Google Sans" w:cs="Google Sans"/>
          <w:color w:val="1F1F1F"/>
        </w:rPr>
        <w:t>）機制，執行雙向掃描前瞻演算法</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34C1D2CD" w14:textId="77777777" w:rsidR="00002BDB" w:rsidRDefault="003B7874">
      <w:pPr>
        <w:numPr>
          <w:ilvl w:val="0"/>
          <w:numId w:val="7"/>
        </w:numPr>
        <w:pBdr>
          <w:top w:val="nil"/>
          <w:left w:val="nil"/>
          <w:bottom w:val="nil"/>
          <w:right w:val="nil"/>
          <w:between w:val="nil"/>
        </w:pBdr>
        <w:spacing w:line="275" w:lineRule="auto"/>
      </w:pPr>
      <w:r>
        <w:rPr>
          <w:rFonts w:ascii="Google Sans" w:eastAsia="Google Sans" w:hAnsi="Google Sans" w:cs="Google Sans"/>
          <w:b/>
          <w:bCs/>
          <w:color w:val="1F1F1F"/>
        </w:rPr>
        <w:t>前瞻緩衝區建立（</w:t>
      </w:r>
      <w:r>
        <w:rPr>
          <w:rFonts w:ascii="Google Sans" w:eastAsia="Google Sans" w:hAnsi="Google Sans" w:cs="Google Sans"/>
          <w:b/>
          <w:bCs/>
          <w:color w:val="1F1F1F"/>
        </w:rPr>
        <w:t>Look-ahead Window</w:t>
      </w:r>
      <w:r>
        <w:rPr>
          <w:rFonts w:ascii="Google Sans" w:eastAsia="Google Sans" w:hAnsi="Google Sans" w:cs="Google Sans"/>
          <w:b/>
          <w:bCs/>
          <w:color w:val="1F1F1F"/>
        </w:rPr>
        <w:t>）</w:t>
      </w:r>
      <w:r>
        <w:rPr>
          <w:rFonts w:ascii="Google Sans" w:eastAsia="Google Sans" w:hAnsi="Google Sans" w:cs="Google Sans"/>
          <w:color w:val="1F1F1F"/>
        </w:rPr>
        <w:t>：系統在處理當前指令時，會預先將</w:t>
      </w:r>
      <w:r>
        <w:rPr>
          <w:rFonts w:ascii="Google Sans" w:eastAsia="Google Sans" w:hAnsi="Google Sans" w:cs="Google Sans"/>
          <w:color w:val="1F1F1F"/>
        </w:rPr>
        <w:t xml:space="preserve"> IR </w:t>
      </w:r>
      <w:r>
        <w:rPr>
          <w:rFonts w:ascii="Google Sans" w:eastAsia="Google Sans" w:hAnsi="Google Sans" w:cs="Google Sans"/>
          <w:color w:val="1F1F1F"/>
        </w:rPr>
        <w:t>鏈結串</w:t>
      </w:r>
      <w:r>
        <w:rPr>
          <w:rFonts w:ascii="Google Sans" w:eastAsia="Google Sans" w:hAnsi="Google Sans" w:cs="Google Sans"/>
          <w:color w:val="1F1F1F"/>
        </w:rPr>
        <w:lastRenderedPageBreak/>
        <w:t>列中未來的數十至數百行指令（通常為</w:t>
      </w:r>
      <w:r>
        <w:rPr>
          <w:rFonts w:ascii="Google Sans" w:eastAsia="Google Sans" w:hAnsi="Google Sans" w:cs="Google Sans"/>
          <w:color w:val="1F1F1F"/>
        </w:rPr>
        <w:t xml:space="preserve"> 100 </w:t>
      </w:r>
      <w:r>
        <w:rPr>
          <w:rFonts w:ascii="Google Sans" w:eastAsia="Google Sans" w:hAnsi="Google Sans" w:cs="Google Sans"/>
          <w:color w:val="1F1F1F"/>
        </w:rPr>
        <w:t>至</w:t>
      </w:r>
      <w:r>
        <w:rPr>
          <w:rFonts w:ascii="Google Sans" w:eastAsia="Google Sans" w:hAnsi="Google Sans" w:cs="Google Sans"/>
          <w:color w:val="1F1F1F"/>
        </w:rPr>
        <w:t xml:space="preserve"> 200 </w:t>
      </w:r>
      <w:r>
        <w:rPr>
          <w:rFonts w:ascii="Google Sans" w:eastAsia="Google Sans" w:hAnsi="Google Sans" w:cs="Google Sans"/>
          <w:color w:val="1F1F1F"/>
        </w:rPr>
        <w:t>行，模擬如</w:t>
      </w:r>
      <w:r>
        <w:rPr>
          <w:rFonts w:ascii="Google Sans" w:eastAsia="Google Sans" w:hAnsi="Google Sans" w:cs="Google Sans"/>
          <w:color w:val="1F1F1F"/>
        </w:rPr>
        <w:t xml:space="preserve"> Siemens Look-ahe</w:t>
      </w:r>
      <w:r>
        <w:rPr>
          <w:rFonts w:ascii="Google Sans" w:eastAsia="Google Sans" w:hAnsi="Google Sans" w:cs="Google Sans"/>
          <w:color w:val="1F1F1F"/>
        </w:rPr>
        <w:t xml:space="preserve">ad </w:t>
      </w:r>
      <w:r>
        <w:rPr>
          <w:rFonts w:ascii="Google Sans" w:eastAsia="Google Sans" w:hAnsi="Google Sans" w:cs="Google Sans"/>
          <w:color w:val="1F1F1F"/>
        </w:rPr>
        <w:t>或</w:t>
      </w:r>
      <w:r>
        <w:rPr>
          <w:rFonts w:ascii="Google Sans" w:eastAsia="Google Sans" w:hAnsi="Google Sans" w:cs="Google Sans"/>
          <w:color w:val="1F1F1F"/>
        </w:rPr>
        <w:t xml:space="preserve"> Fanuc AICC </w:t>
      </w:r>
      <w:r>
        <w:rPr>
          <w:rFonts w:ascii="Google Sans" w:eastAsia="Google Sans" w:hAnsi="Google Sans" w:cs="Google Sans"/>
          <w:color w:val="1F1F1F"/>
        </w:rPr>
        <w:t>的緩衝區規模）載入記憶體視窗中</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0AC0CD08" w14:textId="77777777" w:rsidR="00002BDB" w:rsidRDefault="003B7874">
      <w:pPr>
        <w:numPr>
          <w:ilvl w:val="0"/>
          <w:numId w:val="7"/>
        </w:numPr>
        <w:pBdr>
          <w:top w:val="nil"/>
          <w:left w:val="nil"/>
          <w:bottom w:val="nil"/>
          <w:right w:val="nil"/>
          <w:between w:val="nil"/>
        </w:pBdr>
        <w:spacing w:line="275" w:lineRule="auto"/>
      </w:pPr>
      <w:r>
        <w:rPr>
          <w:rFonts w:ascii="Google Sans" w:eastAsia="Google Sans" w:hAnsi="Google Sans" w:cs="Google Sans"/>
          <w:b/>
          <w:bCs/>
          <w:color w:val="1F1F1F"/>
        </w:rPr>
        <w:t>向後掃描規劃（</w:t>
      </w:r>
      <w:r>
        <w:rPr>
          <w:rFonts w:ascii="Google Sans" w:eastAsia="Google Sans" w:hAnsi="Google Sans" w:cs="Google Sans"/>
          <w:b/>
          <w:bCs/>
          <w:color w:val="1F1F1F"/>
        </w:rPr>
        <w:t>Backward Scanning for Deceleration</w:t>
      </w:r>
      <w:r>
        <w:rPr>
          <w:rFonts w:ascii="Google Sans" w:eastAsia="Google Sans" w:hAnsi="Google Sans" w:cs="Google Sans"/>
          <w:b/>
          <w:bCs/>
          <w:color w:val="1F1F1F"/>
        </w:rPr>
        <w:t>）</w:t>
      </w:r>
      <w:r>
        <w:rPr>
          <w:rFonts w:ascii="Google Sans" w:eastAsia="Google Sans" w:hAnsi="Google Sans" w:cs="Google Sans"/>
          <w:color w:val="1F1F1F"/>
        </w:rPr>
        <w:t>：演算法從緩衝區的最末端節點開始，向當前節點進行逆向掃描。系統評估每一個節點的臨界速度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0149F355" wp14:editId="0D08B9D5">
            <wp:extent cx="615989" cy="232567"/>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9"/>
                    <a:srcRect/>
                    <a:stretch>
                      <a:fillRect/>
                    </a:stretch>
                  </pic:blipFill>
                  <pic:spPr>
                    <a:xfrm>
                      <a:off x="0" y="0"/>
                      <a:ext cx="615989" cy="232567"/>
                    </a:xfrm>
                    <a:prstGeom prst="rect">
                      <a:avLst/>
                    </a:prstGeom>
                    <a:ln/>
                  </pic:spPr>
                </pic:pic>
              </a:graphicData>
            </a:graphic>
          </wp:inline>
        </w:drawing>
      </w:r>
      <w:r>
        <w:rPr>
          <w:rFonts w:ascii="Google Sans" w:eastAsia="Google Sans" w:hAnsi="Google Sans" w:cs="Google Sans"/>
          <w:color w:val="1F1F1F"/>
        </w:rPr>
        <w:t>。若發現某節點</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22CDCB77" wp14:editId="4C036437">
            <wp:extent cx="63696" cy="23567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63696" cy="235675"/>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的限制速度極低（例如遇到銳角轉彎），系統會基於</w:t>
      </w:r>
      <w:r>
        <w:rPr>
          <w:rFonts w:ascii="Google Sans" w:eastAsia="Google Sans" w:hAnsi="Google Sans" w:cs="Google Sans"/>
          <w:color w:val="1F1F1F"/>
        </w:rPr>
        <w:t xml:space="preserve"> S </w:t>
      </w:r>
      <w:r>
        <w:rPr>
          <w:rFonts w:ascii="Google Sans" w:eastAsia="Google Sans" w:hAnsi="Google Sans" w:cs="Google Sans"/>
          <w:color w:val="1F1F1F"/>
        </w:rPr>
        <w:t>型減速曲線的物理能力進行逆推，計算出為了安全通過節點</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9287B38" wp14:editId="610BDE6C">
            <wp:extent cx="63696" cy="235675"/>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63696" cy="235675"/>
                    </a:xfrm>
                    <a:prstGeom prst="rect">
                      <a:avLst/>
                    </a:prstGeom>
                    <a:ln/>
                  </pic:spPr>
                </pic:pic>
              </a:graphicData>
            </a:graphic>
          </wp:inline>
        </w:drawing>
      </w:r>
      <w:r>
        <w:rPr>
          <w:rFonts w:ascii="Google Sans" w:eastAsia="Google Sans" w:hAnsi="Google Sans" w:cs="Google Sans"/>
          <w:color w:val="1F1F1F"/>
        </w:rPr>
        <w:t>，機台在到達節點</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1F60AF3A" wp14:editId="5B2EFD50">
            <wp:extent cx="381294" cy="235131"/>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381294" cy="235131"/>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時所允許的最高安全速度。這個逆向傳遞過程確保了在任何急轉彎發生前，機台都擁有充足的空間與時間進行平穩的煞車，避免因煞車距離不足而引發超差</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2186551E" w14:textId="77777777" w:rsidR="00002BDB" w:rsidRDefault="003B7874">
      <w:pPr>
        <w:numPr>
          <w:ilvl w:val="0"/>
          <w:numId w:val="7"/>
        </w:numPr>
        <w:pBdr>
          <w:top w:val="nil"/>
          <w:left w:val="nil"/>
          <w:bottom w:val="nil"/>
          <w:right w:val="nil"/>
          <w:between w:val="nil"/>
        </w:pBdr>
        <w:spacing w:after="120" w:line="275" w:lineRule="auto"/>
      </w:pPr>
      <w:r>
        <w:rPr>
          <w:rFonts w:ascii="Google Sans" w:eastAsia="Google Sans" w:hAnsi="Google Sans" w:cs="Google Sans"/>
          <w:b/>
          <w:bCs/>
          <w:color w:val="1F1F1F"/>
        </w:rPr>
        <w:t>向前掃描規劃（</w:t>
      </w:r>
      <w:r>
        <w:rPr>
          <w:rFonts w:ascii="Google Sans" w:eastAsia="Google Sans" w:hAnsi="Google Sans" w:cs="Google Sans"/>
          <w:b/>
          <w:bCs/>
          <w:color w:val="1F1F1F"/>
        </w:rPr>
        <w:t>Forward Scanning for Acceleration</w:t>
      </w:r>
      <w:r>
        <w:rPr>
          <w:rFonts w:ascii="Google Sans" w:eastAsia="Google Sans" w:hAnsi="Google Sans" w:cs="Google Sans"/>
          <w:b/>
          <w:bCs/>
          <w:color w:val="1F1F1F"/>
        </w:rPr>
        <w:t>）</w:t>
      </w:r>
      <w:r>
        <w:rPr>
          <w:rFonts w:ascii="Google Sans" w:eastAsia="Google Sans" w:hAnsi="Google Sans" w:cs="Google Sans"/>
          <w:color w:val="1F1F1F"/>
        </w:rPr>
        <w:t>：在完成向後減速規劃後，系統再次從當前節點向前掃描。在絕對不違反「向後掃描所建立的最高安全速度限制」的前提下，利用機台的加速能力，盡可能將路徑速度提升至</w:t>
      </w:r>
      <w:r>
        <w:rPr>
          <w:rFonts w:ascii="Google Sans" w:eastAsia="Google Sans" w:hAnsi="Google Sans" w:cs="Google Sans"/>
          <w:color w:val="1F1F1F"/>
        </w:rPr>
        <w:t xml:space="preserve"> NC-Code </w:t>
      </w:r>
      <w:r>
        <w:rPr>
          <w:rFonts w:ascii="Google Sans" w:eastAsia="Google Sans" w:hAnsi="Google Sans" w:cs="Google Sans"/>
          <w:color w:val="1F1F1F"/>
        </w:rPr>
        <w:t>設定的切削進給率</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15</w:t>
      </w:r>
      <w:r>
        <w:rPr>
          <w:rFonts w:ascii="Google Sans" w:eastAsia="Google Sans" w:hAnsi="Google Sans" w:cs="Google Sans"/>
          <w:color w:val="1F1F1F"/>
        </w:rPr>
        <w:t>。</w:t>
      </w:r>
    </w:p>
    <w:p w14:paraId="397C35FE" w14:textId="77777777" w:rsidR="00002BDB" w:rsidRDefault="003B7874">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透過這種反覆的雙向滑動掃描運算，數位雙生虛擬插補器能夠在複雜的連續微小線段中，求解出全局最優且完全符合物理動力學限制的速度分佈剖面</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15</w:t>
      </w:r>
      <w:r>
        <w:rPr>
          <w:rFonts w:ascii="Google Sans" w:eastAsia="Google Sans" w:hAnsi="Google Sans" w:cs="Google Sans"/>
          <w:color w:val="1F1F1F"/>
        </w:rPr>
        <w:t>。這套演算法是消除加減速延遲誤差，使加工時間預測達到工業級高精度的關鍵核心</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15</w:t>
      </w:r>
      <w:r>
        <w:rPr>
          <w:rFonts w:ascii="Google Sans" w:eastAsia="Google Sans" w:hAnsi="Google Sans" w:cs="Google Sans"/>
          <w:color w:val="1F1F1F"/>
        </w:rPr>
        <w:t>。</w:t>
      </w:r>
    </w:p>
    <w:p w14:paraId="6D301FCC" w14:textId="77777777" w:rsidR="00002BDB" w:rsidRDefault="00002BDB">
      <w:pPr>
        <w:pBdr>
          <w:top w:val="nil"/>
          <w:left w:val="nil"/>
          <w:bottom w:val="nil"/>
          <w:right w:val="nil"/>
          <w:between w:val="nil"/>
        </w:pBdr>
        <w:spacing w:before="240" w:after="150" w:line="275" w:lineRule="auto"/>
        <w:rPr>
          <w:rFonts w:ascii="Google Sans" w:eastAsia="Google Sans" w:hAnsi="Google Sans" w:cs="Google Sans"/>
          <w:color w:val="1F1F1F"/>
        </w:rPr>
      </w:pPr>
    </w:p>
    <w:p w14:paraId="6A40BCBC"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第六章：環境感知與參數自適應</w:t>
      </w:r>
      <w:r>
        <w:rPr>
          <w:rFonts w:ascii="Google Sans" w:eastAsia="Google Sans" w:hAnsi="Google Sans" w:cs="Google Sans"/>
          <w:color w:val="1F1F1F"/>
        </w:rPr>
        <w:t xml:space="preserve"> ─ </w:t>
      </w:r>
      <w:r>
        <w:rPr>
          <w:rFonts w:ascii="Google Sans" w:eastAsia="Google Sans" w:hAnsi="Google Sans" w:cs="Google Sans"/>
          <w:color w:val="1F1F1F"/>
        </w:rPr>
        <w:t>機台特徵化與自動校準</w:t>
      </w:r>
    </w:p>
    <w:p w14:paraId="50955A3A"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再完美的演算法，若缺乏準確的物理參數輸</w:t>
      </w:r>
      <w:r>
        <w:rPr>
          <w:rFonts w:ascii="Google Sans" w:eastAsia="Google Sans" w:hAnsi="Google Sans" w:cs="Google Sans"/>
          <w:color w:val="1F1F1F"/>
        </w:rPr>
        <w:t>入，亦無法產生可靠的預測。不同廠牌、不同型號、甚至不同使用年限的</w:t>
      </w:r>
      <w:r>
        <w:rPr>
          <w:rFonts w:ascii="Google Sans" w:eastAsia="Google Sans" w:hAnsi="Google Sans" w:cs="Google Sans"/>
          <w:color w:val="1F1F1F"/>
        </w:rPr>
        <w:t xml:space="preserve"> CNC </w:t>
      </w:r>
      <w:r>
        <w:rPr>
          <w:rFonts w:ascii="Google Sans" w:eastAsia="Google Sans" w:hAnsi="Google Sans" w:cs="Google Sans"/>
          <w:color w:val="1F1F1F"/>
        </w:rPr>
        <w:t>工具機，其伺服驅動系統的響應增益、機械結構的質量慣性以及導軌的靜</w:t>
      </w:r>
      <w:r>
        <w:rPr>
          <w:rFonts w:ascii="Google Sans" w:eastAsia="Google Sans" w:hAnsi="Google Sans" w:cs="Google Sans"/>
          <w:color w:val="1F1F1F"/>
        </w:rPr>
        <w:t>/</w:t>
      </w:r>
      <w:r>
        <w:rPr>
          <w:rFonts w:ascii="Google Sans" w:eastAsia="Google Sans" w:hAnsi="Google Sans" w:cs="Google Sans"/>
          <w:color w:val="1F1F1F"/>
        </w:rPr>
        <w:t>動摩擦係數皆存在顯著差異。這意味著單一的靜態數學模型無法適用於所有設備。為賦予數位雙生模組泛用性，必須導入「機台特徵設定檔（</w:t>
      </w:r>
      <w:r>
        <w:rPr>
          <w:rFonts w:ascii="Google Sans" w:eastAsia="Google Sans" w:hAnsi="Google Sans" w:cs="Google Sans"/>
          <w:color w:val="1F1F1F"/>
        </w:rPr>
        <w:t>Machine Profiles</w:t>
      </w:r>
      <w:r>
        <w:rPr>
          <w:rFonts w:ascii="Google Sans" w:eastAsia="Google Sans" w:hAnsi="Google Sans" w:cs="Google Sans"/>
          <w:color w:val="1F1F1F"/>
        </w:rPr>
        <w:t>）」與自動化校準機制</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0CB34C6C"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機台特徵設定檔</w:t>
      </w:r>
      <w:r>
        <w:rPr>
          <w:rFonts w:ascii="Google Sans" w:eastAsia="Google Sans" w:hAnsi="Google Sans" w:cs="Google Sans"/>
          <w:color w:val="1F1F1F"/>
        </w:rPr>
        <w:t xml:space="preserve"> (Machine Profiles) </w:t>
      </w:r>
      <w:r>
        <w:rPr>
          <w:rFonts w:ascii="Google Sans" w:eastAsia="Google Sans" w:hAnsi="Google Sans" w:cs="Google Sans"/>
          <w:color w:val="1F1F1F"/>
        </w:rPr>
        <w:t>之參數結構</w:t>
      </w:r>
    </w:p>
    <w:p w14:paraId="55878D8C"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設定檔是數位雙生模組的環境邊界條件，它將特定機台的物理動力學與控制特徵參數化，並傳遞給虛擬狀態機與逆向運動學層。關鍵的參數</w:t>
      </w:r>
      <w:r>
        <w:rPr>
          <w:rFonts w:ascii="Google Sans" w:eastAsia="Google Sans" w:hAnsi="Google Sans" w:cs="Google Sans"/>
          <w:color w:val="1F1F1F"/>
        </w:rPr>
        <w:t>群組包含：</w:t>
      </w:r>
    </w:p>
    <w:p w14:paraId="4C4E042F" w14:textId="77777777" w:rsidR="00002BDB" w:rsidRDefault="003B7874">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極限運動特徵</w:t>
      </w:r>
      <w:r>
        <w:rPr>
          <w:rFonts w:ascii="Google Sans" w:eastAsia="Google Sans" w:hAnsi="Google Sans" w:cs="Google Sans"/>
          <w:color w:val="1F1F1F"/>
        </w:rPr>
        <w:t>：定義機台在物理上能達到的上限，包含各軸的最大快速位移速度（</w:t>
      </w:r>
      <w:r>
        <w:rPr>
          <w:rFonts w:ascii="Google Sans" w:eastAsia="Google Sans" w:hAnsi="Google Sans" w:cs="Google Sans"/>
          <w:color w:val="1F1F1F"/>
        </w:rPr>
        <w:t xml:space="preserve">G00 </w:t>
      </w:r>
      <w:r>
        <w:rPr>
          <w:rFonts w:ascii="Google Sans" w:eastAsia="Google Sans" w:hAnsi="Google Sans" w:cs="Google Sans"/>
          <w:color w:val="1F1F1F"/>
        </w:rPr>
        <w:t>速度）、最大切削進給率上限、各軸最大加速度極限</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34B8DD93" wp14:editId="33191F61">
            <wp:extent cx="362381" cy="235230"/>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362381" cy="235230"/>
                    </a:xfrm>
                    <a:prstGeom prst="rect">
                      <a:avLst/>
                    </a:prstGeom>
                    <a:ln/>
                  </pic:spPr>
                </pic:pic>
              </a:graphicData>
            </a:graphic>
          </wp:inline>
        </w:drawing>
      </w:r>
      <w:r>
        <w:rPr>
          <w:rFonts w:ascii="Google Sans" w:eastAsia="Google Sans" w:hAnsi="Google Sans" w:cs="Google Sans"/>
          <w:color w:val="1F1F1F"/>
        </w:rPr>
        <w:t>，以及攸關平滑度的最大抖動極限</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65D590F2" wp14:editId="4D268368">
            <wp:extent cx="340823" cy="233527"/>
            <wp:effectExtent l="0" t="0" r="0" b="0"/>
            <wp:docPr id="3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
                    <a:srcRect/>
                    <a:stretch>
                      <a:fillRect/>
                    </a:stretch>
                  </pic:blipFill>
                  <pic:spPr>
                    <a:xfrm>
                      <a:off x="0" y="0"/>
                      <a:ext cx="340823" cy="233527"/>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68034E1F" w14:textId="77777777" w:rsidR="00002BDB" w:rsidRDefault="003B7874">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控制與運算特徵</w:t>
      </w:r>
      <w:r>
        <w:rPr>
          <w:rFonts w:ascii="Google Sans" w:eastAsia="Google Sans" w:hAnsi="Google Sans" w:cs="Google Sans"/>
          <w:color w:val="1F1F1F"/>
        </w:rPr>
        <w:t>：定義控制器的資訊處理能力，包含控制器的插補週期時間（</w:t>
      </w:r>
      <w:r>
        <w:rPr>
          <w:rFonts w:ascii="Google Sans" w:eastAsia="Google Sans" w:hAnsi="Google Sans" w:cs="Google Sans"/>
          <w:color w:val="1F1F1F"/>
        </w:rPr>
        <w:t>Interpolation Time</w:t>
      </w:r>
      <w:r>
        <w:rPr>
          <w:rFonts w:ascii="Google Sans" w:eastAsia="Google Sans" w:hAnsi="Google Sans" w:cs="Google Sans"/>
          <w:color w:val="1F1F1F"/>
        </w:rPr>
        <w:t>）、前瞻緩衝區的最大區塊數（</w:t>
      </w:r>
      <w:r>
        <w:rPr>
          <w:rFonts w:ascii="Google Sans" w:eastAsia="Google Sans" w:hAnsi="Google Sans" w:cs="Google Sans"/>
          <w:color w:val="1F1F1F"/>
        </w:rPr>
        <w:t>Look-ahead Buffer Size</w:t>
      </w:r>
      <w:r>
        <w:rPr>
          <w:rFonts w:ascii="Google Sans" w:eastAsia="Google Sans" w:hAnsi="Google Sans" w:cs="Google Sans"/>
          <w:color w:val="1F1F1F"/>
        </w:rPr>
        <w:t>），以及機台預設的系統循跡公差</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598C1169" wp14:editId="6D84C0CF">
            <wp:extent cx="74867" cy="230841"/>
            <wp:effectExtent l="0" t="0" r="0" b="0"/>
            <wp:docPr id="4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74867" cy="230841"/>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61D8ED4D" w14:textId="77777777" w:rsidR="00002BDB" w:rsidRDefault="003B7874">
      <w:pPr>
        <w:numPr>
          <w:ilvl w:val="0"/>
          <w:numId w:val="8"/>
        </w:numPr>
        <w:pBdr>
          <w:top w:val="nil"/>
          <w:left w:val="nil"/>
          <w:bottom w:val="nil"/>
          <w:right w:val="nil"/>
          <w:between w:val="nil"/>
        </w:pBdr>
        <w:spacing w:after="120" w:line="275" w:lineRule="auto"/>
      </w:pPr>
      <w:r>
        <w:rPr>
          <w:rFonts w:ascii="Google Sans" w:eastAsia="Google Sans" w:hAnsi="Google Sans" w:cs="Google Sans"/>
          <w:b/>
          <w:bCs/>
          <w:color w:val="1F1F1F"/>
        </w:rPr>
        <w:t>幾何與補償特徵</w:t>
      </w:r>
      <w:r>
        <w:rPr>
          <w:rFonts w:ascii="Google Sans" w:eastAsia="Google Sans" w:hAnsi="Google Sans" w:cs="Google Sans"/>
          <w:color w:val="1F1F1F"/>
        </w:rPr>
        <w:t>：特別針對五軸加工機，需定義旋轉軸的偏移量（</w:t>
      </w:r>
      <w:r>
        <w:rPr>
          <w:rFonts w:ascii="Google Sans" w:eastAsia="Google Sans" w:hAnsi="Google Sans" w:cs="Google Sans"/>
          <w:color w:val="1F1F1F"/>
        </w:rPr>
        <w:t>Pivot Length</w:t>
      </w:r>
      <w:r>
        <w:rPr>
          <w:rFonts w:ascii="Google Sans" w:eastAsia="Google Sans" w:hAnsi="Google Sans" w:cs="Google Sans"/>
          <w:color w:val="1F1F1F"/>
        </w:rPr>
        <w:t>）、旋轉中心誤差以及傳動系統的背隙補償值</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61A5AAF8" w14:textId="77777777" w:rsidR="00002BDB" w:rsidRPr="003B7874" w:rsidRDefault="00002BDB">
      <w:pPr>
        <w:pBdr>
          <w:top w:val="nil"/>
          <w:left w:val="nil"/>
          <w:bottom w:val="nil"/>
          <w:right w:val="nil"/>
          <w:between w:val="nil"/>
        </w:pBdr>
        <w:spacing w:before="120" w:after="120" w:line="275" w:lineRule="auto"/>
        <w:rPr>
          <w:rFonts w:ascii="Google Sans" w:hAnsi="Google Sans" w:cs="Google Sans" w:hint="eastAsia"/>
          <w:color w:val="1F1F1F"/>
        </w:rPr>
      </w:pPr>
    </w:p>
    <w:p w14:paraId="2B9CE69A" w14:textId="3EBD34AF" w:rsidR="00002BDB" w:rsidRDefault="003B7874">
      <w:pPr>
        <w:pStyle w:val="3"/>
        <w:spacing w:after="120" w:line="275" w:lineRule="auto"/>
        <w:rPr>
          <w:rFonts w:ascii="Google Sans" w:eastAsia="Google Sans" w:hAnsi="Google Sans" w:cs="Google Sans"/>
          <w:color w:val="1F1F1F"/>
        </w:rPr>
      </w:pPr>
      <w:r>
        <w:rPr>
          <w:rFonts w:ascii="新細明體" w:eastAsia="新細明體" w:hAnsi="新細明體" w:cs="新細明體" w:hint="eastAsia"/>
          <w:color w:val="1F1F1F"/>
        </w:rPr>
        <w:t>七、</w:t>
      </w:r>
      <w:r>
        <w:rPr>
          <w:rFonts w:ascii="Google Sans" w:eastAsia="Google Sans" w:hAnsi="Google Sans" w:cs="Google Sans"/>
          <w:color w:val="1F1F1F"/>
        </w:rPr>
        <w:t>標準測試碼與動態係數自動識別程序</w:t>
      </w:r>
    </w:p>
    <w:p w14:paraId="3D477B1C"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過去，獲取機台的真實</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18E5B2F9" wp14:editId="3F0FB1FB">
            <wp:extent cx="362381" cy="235230"/>
            <wp:effectExtent l="0" t="0" r="0" b="0"/>
            <wp:docPr id="4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362381" cy="235230"/>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與</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582BB483" wp14:editId="1FB8E6A0">
            <wp:extent cx="340823" cy="233527"/>
            <wp:effectExtent l="0" t="0" r="0" b="0"/>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
                    <a:srcRect/>
                    <a:stretch>
                      <a:fillRect/>
                    </a:stretch>
                  </pic:blipFill>
                  <pic:spPr>
                    <a:xfrm>
                      <a:off x="0" y="0"/>
                      <a:ext cx="340823" cy="233527"/>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等參數往往需要依賴原廠提供機密資料或進行複雜的伺服調試。為提升數位雙生模組的部署效率，系統規劃了創新的「動態係數自動識別程序」</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7A4AC0DA" w14:textId="77777777" w:rsidR="00002BDB" w:rsidRDefault="003B7874">
      <w:pPr>
        <w:numPr>
          <w:ilvl w:val="0"/>
          <w:numId w:val="9"/>
        </w:numPr>
        <w:pBdr>
          <w:top w:val="nil"/>
          <w:left w:val="nil"/>
          <w:bottom w:val="nil"/>
          <w:right w:val="nil"/>
          <w:between w:val="nil"/>
        </w:pBdr>
        <w:spacing w:line="275" w:lineRule="auto"/>
      </w:pPr>
      <w:r>
        <w:rPr>
          <w:rFonts w:ascii="Google Sans" w:eastAsia="Google Sans" w:hAnsi="Google Sans" w:cs="Google Sans"/>
          <w:b/>
          <w:bCs/>
          <w:color w:val="1F1F1F"/>
        </w:rPr>
        <w:t>自動生成測試標準碼（</w:t>
      </w:r>
      <w:r>
        <w:rPr>
          <w:rFonts w:ascii="Google Sans" w:eastAsia="Google Sans" w:hAnsi="Google Sans" w:cs="Google Sans"/>
          <w:b/>
          <w:bCs/>
          <w:color w:val="1F1F1F"/>
        </w:rPr>
        <w:t>Benchmark NC-code</w:t>
      </w:r>
      <w:r>
        <w:rPr>
          <w:rFonts w:ascii="Google Sans" w:eastAsia="Google Sans" w:hAnsi="Google Sans" w:cs="Google Sans"/>
          <w:b/>
          <w:bCs/>
          <w:color w:val="1F1F1F"/>
        </w:rPr>
        <w:t>）</w:t>
      </w:r>
      <w:r>
        <w:rPr>
          <w:rFonts w:ascii="Google Sans" w:eastAsia="Google Sans" w:hAnsi="Google Sans" w:cs="Google Sans"/>
          <w:color w:val="1F1F1F"/>
        </w:rPr>
        <w:t>：系統內建演算法可自動產生一段涵蓋多種幾何極端情況的標準測試</w:t>
      </w:r>
      <w:r>
        <w:rPr>
          <w:rFonts w:ascii="Google Sans" w:eastAsia="Google Sans" w:hAnsi="Google Sans" w:cs="Google Sans"/>
          <w:color w:val="1F1F1F"/>
        </w:rPr>
        <w:t xml:space="preserve"> G </w:t>
      </w:r>
      <w:r>
        <w:rPr>
          <w:rFonts w:ascii="Google Sans" w:eastAsia="Google Sans" w:hAnsi="Google Sans" w:cs="Google Sans"/>
          <w:color w:val="1F1F1F"/>
        </w:rPr>
        <w:t>碼。這段程式碼包含不同距離的直線衝刺與急停、各種角度的尖銳轉角，以及半徑連續變化的圓弧插補路徑，旨在全面激發機台的加減速與前瞻控制極限</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20D569AD" w14:textId="77777777" w:rsidR="00002BDB" w:rsidRDefault="003B7874">
      <w:pPr>
        <w:numPr>
          <w:ilvl w:val="0"/>
          <w:numId w:val="9"/>
        </w:numPr>
        <w:pBdr>
          <w:top w:val="nil"/>
          <w:left w:val="nil"/>
          <w:bottom w:val="nil"/>
          <w:right w:val="nil"/>
          <w:between w:val="nil"/>
        </w:pBdr>
        <w:spacing w:line="275" w:lineRule="auto"/>
      </w:pPr>
      <w:r>
        <w:rPr>
          <w:rFonts w:ascii="Google Sans" w:eastAsia="Google Sans" w:hAnsi="Google Sans" w:cs="Google Sans"/>
          <w:b/>
          <w:bCs/>
          <w:color w:val="1F1F1F"/>
        </w:rPr>
        <w:t>實體運行與高頻資料擷取</w:t>
      </w:r>
      <w:r>
        <w:rPr>
          <w:rFonts w:ascii="Google Sans" w:eastAsia="Google Sans" w:hAnsi="Google Sans" w:cs="Google Sans"/>
          <w:color w:val="1F1F1F"/>
        </w:rPr>
        <w:t>：將此測試標準碼載入目標實體機台進行無負載空跑（</w:t>
      </w:r>
      <w:r>
        <w:rPr>
          <w:rFonts w:ascii="Google Sans" w:eastAsia="Google Sans" w:hAnsi="Google Sans" w:cs="Google Sans"/>
          <w:color w:val="1F1F1F"/>
        </w:rPr>
        <w:t>Air-cut</w:t>
      </w:r>
      <w:r>
        <w:rPr>
          <w:rFonts w:ascii="Google Sans" w:eastAsia="Google Sans" w:hAnsi="Google Sans" w:cs="Google Sans"/>
          <w:color w:val="1F1F1F"/>
        </w:rPr>
        <w:t>）。透過機台控制器提供的通訊介面或工業物聯網標準協議（如</w:t>
      </w:r>
      <w:r>
        <w:rPr>
          <w:rFonts w:ascii="Google Sans" w:eastAsia="Google Sans" w:hAnsi="Google Sans" w:cs="Google Sans"/>
          <w:color w:val="1F1F1F"/>
        </w:rPr>
        <w:t xml:space="preserve"> MTConnect </w:t>
      </w:r>
      <w:r>
        <w:rPr>
          <w:rFonts w:ascii="Google Sans" w:eastAsia="Google Sans" w:hAnsi="Google Sans" w:cs="Google Sans"/>
          <w:color w:val="1F1F1F"/>
        </w:rPr>
        <w:t>或</w:t>
      </w:r>
      <w:r>
        <w:rPr>
          <w:rFonts w:ascii="Google Sans" w:eastAsia="Google Sans" w:hAnsi="Google Sans" w:cs="Google Sans"/>
          <w:color w:val="1F1F1F"/>
        </w:rPr>
        <w:t xml:space="preserve"> OPC UA</w:t>
      </w:r>
      <w:r>
        <w:rPr>
          <w:rFonts w:ascii="Google Sans" w:eastAsia="Google Sans" w:hAnsi="Google Sans" w:cs="Google Sans"/>
          <w:color w:val="1F1F1F"/>
        </w:rPr>
        <w:t>），以毫秒級的高採樣率記錄每一段特徵路徑的實際執行耗時與伺服馬達反饋的負載訊號</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5</w:t>
      </w:r>
      <w:r>
        <w:rPr>
          <w:rFonts w:ascii="Google Sans" w:eastAsia="Google Sans" w:hAnsi="Google Sans" w:cs="Google Sans"/>
          <w:color w:val="1F1F1F"/>
        </w:rPr>
        <w:t>。</w:t>
      </w:r>
    </w:p>
    <w:p w14:paraId="3643DCB4" w14:textId="77777777" w:rsidR="00002BDB" w:rsidRDefault="003B7874">
      <w:pPr>
        <w:numPr>
          <w:ilvl w:val="0"/>
          <w:numId w:val="9"/>
        </w:numPr>
        <w:pBdr>
          <w:top w:val="nil"/>
          <w:left w:val="nil"/>
          <w:bottom w:val="nil"/>
          <w:right w:val="nil"/>
          <w:between w:val="nil"/>
        </w:pBdr>
        <w:spacing w:after="120" w:line="275" w:lineRule="auto"/>
      </w:pPr>
      <w:r>
        <w:rPr>
          <w:rFonts w:ascii="Google Sans" w:eastAsia="Google Sans" w:hAnsi="Google Sans" w:cs="Google Sans"/>
          <w:b/>
          <w:bCs/>
          <w:color w:val="1F1F1F"/>
        </w:rPr>
        <w:t>逆向最佳化校準（</w:t>
      </w:r>
      <w:r>
        <w:rPr>
          <w:rFonts w:ascii="Google Sans" w:eastAsia="Google Sans" w:hAnsi="Google Sans" w:cs="Google Sans"/>
          <w:b/>
          <w:bCs/>
          <w:color w:val="1F1F1F"/>
        </w:rPr>
        <w:t>Reverse Cali</w:t>
      </w:r>
      <w:r>
        <w:rPr>
          <w:rFonts w:ascii="Google Sans" w:eastAsia="Google Sans" w:hAnsi="Google Sans" w:cs="Google Sans"/>
          <w:b/>
          <w:bCs/>
          <w:color w:val="1F1F1F"/>
        </w:rPr>
        <w:t>bration</w:t>
      </w:r>
      <w:r>
        <w:rPr>
          <w:rFonts w:ascii="Google Sans" w:eastAsia="Google Sans" w:hAnsi="Google Sans" w:cs="Google Sans"/>
          <w:b/>
          <w:bCs/>
          <w:color w:val="1F1F1F"/>
        </w:rPr>
        <w:t>）</w:t>
      </w:r>
      <w:r>
        <w:rPr>
          <w:rFonts w:ascii="Google Sans" w:eastAsia="Google Sans" w:hAnsi="Google Sans" w:cs="Google Sans"/>
          <w:color w:val="1F1F1F"/>
        </w:rPr>
        <w:t>：將實測獲得的時間與動態矩陣回傳至數位雙生系統。系統利用最佳化演算法（如梯度下降法或啟發式演算法），以最小化「虛擬模擬時間」與「實體測量時間」之間的誤差為目標函數，自動反向迭代求解出虛擬模型中的</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13744438" wp14:editId="6E69E5BE">
            <wp:extent cx="362381" cy="235230"/>
            <wp:effectExtent l="0" t="0" r="0" b="0"/>
            <wp:docPr id="4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362381" cy="235230"/>
                    </a:xfrm>
                    <a:prstGeom prst="rect">
                      <a:avLst/>
                    </a:prstGeom>
                    <a:ln/>
                  </pic:spPr>
                </pic:pic>
              </a:graphicData>
            </a:graphic>
          </wp:inline>
        </w:drawing>
      </w:r>
      <w:r>
        <w:rPr>
          <w:rFonts w:ascii="Google Sans" w:eastAsia="Google Sans" w:hAnsi="Google Sans" w:cs="Google Sans"/>
          <w:color w:val="1F1F1F"/>
        </w:rPr>
        <w:t>、</w:t>
      </w:r>
      <w:r>
        <w:rPr>
          <w:rFonts w:ascii="Google Sans" w:eastAsia="Google Sans" w:hAnsi="Google Sans" w:cs="Google Sans"/>
          <w:noProof/>
          <w:color w:val="1F1F1F"/>
        </w:rPr>
        <w:drawing>
          <wp:inline distT="19050" distB="19050" distL="19050" distR="19050" wp14:anchorId="6F9F9C36" wp14:editId="5938BCED">
            <wp:extent cx="340823" cy="233527"/>
            <wp:effectExtent l="0" t="0" r="0" b="0"/>
            <wp:docPr id="5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
                    <a:srcRect/>
                    <a:stretch>
                      <a:fillRect/>
                    </a:stretch>
                  </pic:blipFill>
                  <pic:spPr>
                    <a:xfrm>
                      <a:off x="0" y="0"/>
                      <a:ext cx="340823" cy="233527"/>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與</w:t>
      </w:r>
      <w:r>
        <w:rPr>
          <w:rFonts w:ascii="Google Sans" w:eastAsia="Google Sans" w:hAnsi="Google Sans" w:cs="Google Sans"/>
          <w:color w:val="1F1F1F"/>
        </w:rPr>
        <w:t xml:space="preserve"> </w:t>
      </w:r>
      <w:r>
        <w:rPr>
          <w:rFonts w:ascii="Google Sans" w:eastAsia="Google Sans" w:hAnsi="Google Sans" w:cs="Google Sans"/>
          <w:noProof/>
          <w:color w:val="1F1F1F"/>
        </w:rPr>
        <w:drawing>
          <wp:inline distT="19050" distB="19050" distL="19050" distR="19050" wp14:anchorId="70B4ACEE" wp14:editId="5E5B28AF">
            <wp:extent cx="74867" cy="230841"/>
            <wp:effectExtent l="0" t="0" r="0" b="0"/>
            <wp:docPr id="5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74867" cy="230841"/>
                    </a:xfrm>
                    <a:prstGeom prst="rect">
                      <a:avLst/>
                    </a:prstGeom>
                    <a:ln/>
                  </pic:spPr>
                </pic:pic>
              </a:graphicData>
            </a:graphic>
          </wp:inline>
        </w:drawing>
      </w:r>
      <w:r>
        <w:rPr>
          <w:rFonts w:ascii="Google Sans" w:eastAsia="Google Sans" w:hAnsi="Google Sans" w:cs="Google Sans"/>
          <w:color w:val="1F1F1F"/>
        </w:rPr>
        <w:t xml:space="preserve"> </w:t>
      </w:r>
      <w:r>
        <w:rPr>
          <w:rFonts w:ascii="Google Sans" w:eastAsia="Google Sans" w:hAnsi="Google Sans" w:cs="Google Sans"/>
          <w:color w:val="1F1F1F"/>
        </w:rPr>
        <w:t>最佳適配值。此流程相當於為每台設備萃取獨一無二的「數位指紋」，使得軟體模型能與物理機台進行快速且高精度的配對</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6476AA79" w14:textId="77777777" w:rsidR="00002BDB" w:rsidRDefault="00002BDB">
      <w:pPr>
        <w:pBdr>
          <w:top w:val="nil"/>
          <w:left w:val="nil"/>
          <w:bottom w:val="nil"/>
          <w:right w:val="nil"/>
          <w:between w:val="nil"/>
        </w:pBdr>
        <w:spacing w:before="120" w:after="120" w:line="275" w:lineRule="auto"/>
        <w:rPr>
          <w:rFonts w:ascii="Google Sans" w:eastAsia="Google Sans" w:hAnsi="Google Sans" w:cs="Google Sans"/>
          <w:color w:val="1F1F1F"/>
        </w:rPr>
      </w:pPr>
    </w:p>
    <w:p w14:paraId="7129049D" w14:textId="77777777" w:rsidR="00002BDB" w:rsidRPr="003B7874" w:rsidRDefault="00002BDB">
      <w:pPr>
        <w:pBdr>
          <w:top w:val="nil"/>
          <w:left w:val="nil"/>
          <w:bottom w:val="nil"/>
          <w:right w:val="nil"/>
          <w:between w:val="nil"/>
        </w:pBdr>
        <w:spacing w:before="240" w:after="150" w:line="275" w:lineRule="auto"/>
        <w:rPr>
          <w:rFonts w:ascii="Google Sans" w:hAnsi="Google Sans" w:cs="Google Sans" w:hint="eastAsia"/>
          <w:color w:val="1F1F1F"/>
        </w:rPr>
      </w:pPr>
    </w:p>
    <w:p w14:paraId="4DA2DBEB" w14:textId="77777777" w:rsidR="00002BDB" w:rsidRDefault="003B7874">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結構動態響應與振動診斷之延伸</w:t>
      </w:r>
    </w:p>
    <w:p w14:paraId="7BDB9AF6" w14:textId="30E1C005"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sectPr w:rsidR="00002BDB">
          <w:pgSz w:w="12240" w:h="15840"/>
          <w:pgMar w:top="1440" w:right="1440" w:bottom="1440" w:left="1440" w:header="0" w:footer="720" w:gutter="0"/>
          <w:cols w:space="720"/>
        </w:sectPr>
      </w:pPr>
      <w:r>
        <w:rPr>
          <w:rFonts w:ascii="Google Sans" w:eastAsia="Google Sans" w:hAnsi="Google Sans" w:cs="Google Sans"/>
          <w:color w:val="1F1F1F"/>
        </w:rPr>
        <w:t>除了時間</w:t>
      </w:r>
      <w:r>
        <w:rPr>
          <w:rFonts w:ascii="Google Sans" w:eastAsia="Google Sans" w:hAnsi="Google Sans" w:cs="Google Sans"/>
          <w:color w:val="1F1F1F"/>
        </w:rPr>
        <w:t>，數位雙生架構所建立的動態時間軸，同樣適用於機台的振動預測與加工穩定性分析</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1F1F1F"/>
        </w:rPr>
        <w:t>系統可導入實驗量測所得的機台頻率響應函數（</w:t>
      </w:r>
      <w:r>
        <w:rPr>
          <w:rFonts w:ascii="Google Sans" w:eastAsia="Google Sans" w:hAnsi="Google Sans" w:cs="Google Sans"/>
          <w:color w:val="1F1F1F"/>
        </w:rPr>
        <w:t>Frequency Response Function, FRF</w:t>
      </w:r>
      <w:r>
        <w:rPr>
          <w:rFonts w:ascii="Google Sans" w:eastAsia="Google Sans" w:hAnsi="Google Sans" w:cs="Google Sans"/>
          <w:color w:val="1F1F1F"/>
        </w:rPr>
        <w:t>），利用系統識別（</w:t>
      </w:r>
      <w:r>
        <w:rPr>
          <w:rFonts w:ascii="Google Sans" w:eastAsia="Google Sans" w:hAnsi="Google Sans" w:cs="Google Sans"/>
          <w:color w:val="1F1F1F"/>
        </w:rPr>
        <w:t>System Identification</w:t>
      </w:r>
      <w:r>
        <w:rPr>
          <w:rFonts w:ascii="Google Sans" w:eastAsia="Google Sans" w:hAnsi="Google Sans" w:cs="Google Sans"/>
          <w:color w:val="1F1F1F"/>
        </w:rPr>
        <w:t>）演算法將其轉換為代表機台動態剛性的數學傳遞函數（</w:t>
      </w:r>
      <w:r>
        <w:rPr>
          <w:rFonts w:ascii="Google Sans" w:eastAsia="Google Sans" w:hAnsi="Google Sans" w:cs="Google Sans"/>
          <w:color w:val="1F1F1F"/>
        </w:rPr>
        <w:t xml:space="preserve">Transfer Function, </w:t>
      </w:r>
      <w:r>
        <w:rPr>
          <w:rFonts w:ascii="Google Sans" w:eastAsia="Google Sans" w:hAnsi="Google Sans" w:cs="Google Sans"/>
          <w:noProof/>
          <w:color w:val="1F1F1F"/>
        </w:rPr>
        <w:drawing>
          <wp:inline distT="19050" distB="19050" distL="19050" distR="19050" wp14:anchorId="010B9D14" wp14:editId="3595A8EF">
            <wp:extent cx="398149" cy="233833"/>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4"/>
                    <a:srcRect/>
                    <a:stretch>
                      <a:fillRect/>
                    </a:stretch>
                  </pic:blipFill>
                  <pic:spPr>
                    <a:xfrm>
                      <a:off x="0" y="0"/>
                      <a:ext cx="398149" cy="233833"/>
                    </a:xfrm>
                    <a:prstGeom prst="rect">
                      <a:avLst/>
                    </a:prstGeom>
                    <a:ln/>
                  </pic:spPr>
                </pic:pic>
              </a:graphicData>
            </a:graphic>
          </wp:inline>
        </w:drawing>
      </w:r>
      <w:r>
        <w:rPr>
          <w:rFonts w:ascii="Google Sans" w:eastAsia="Google Sans" w:hAnsi="Google Sans" w:cs="Google Sans"/>
          <w:color w:val="1F1F1F"/>
        </w:rPr>
        <w:t>）</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r>
        <w:rPr>
          <w:rFonts w:ascii="新細明體" w:eastAsia="新細明體" w:hAnsi="新細明體" w:cs="新細明體" w:hint="eastAsia"/>
          <w:color w:val="1F1F1F"/>
        </w:rPr>
        <w:t>將</w:t>
      </w:r>
      <w:r>
        <w:rPr>
          <w:rFonts w:ascii="Google Sans" w:eastAsia="Google Sans" w:hAnsi="Google Sans" w:cs="Google Sans"/>
          <w:color w:val="1F1F1F"/>
        </w:rPr>
        <w:t>估算出的動態切削力作為外部激勵訊號輸入至該傳遞函數，系統便能在虛擬空間中預測出刀尖點隨時間變化的位移與加速度響應</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。結合快速傅立葉轉換（</w:t>
      </w:r>
      <w:r>
        <w:rPr>
          <w:rFonts w:ascii="Google Sans" w:eastAsia="Google Sans" w:hAnsi="Google Sans" w:cs="Google Sans"/>
          <w:color w:val="1F1F1F"/>
        </w:rPr>
        <w:t>FFT</w:t>
      </w:r>
      <w:r>
        <w:rPr>
          <w:rFonts w:ascii="Google Sans" w:eastAsia="Google Sans" w:hAnsi="Google Sans" w:cs="Google Sans"/>
          <w:color w:val="1F1F1F"/>
        </w:rPr>
        <w:t>）與穩定性葉瓣圖（</w:t>
      </w:r>
      <w:r>
        <w:rPr>
          <w:rFonts w:ascii="Google Sans" w:eastAsia="Google Sans" w:hAnsi="Google Sans" w:cs="Google Sans"/>
          <w:color w:val="1F1F1F"/>
        </w:rPr>
        <w:t>Stability Lobes</w:t>
      </w:r>
      <w:r>
        <w:rPr>
          <w:rFonts w:ascii="Google Sans" w:eastAsia="Google Sans" w:hAnsi="Google Sans" w:cs="Google Sans"/>
          <w:color w:val="1F1F1F"/>
        </w:rPr>
        <w:t>）分析，數位雙生系統能在實際動刀前</w:t>
      </w:r>
      <w:r>
        <w:rPr>
          <w:rFonts w:ascii="Google Sans" w:eastAsia="Google Sans" w:hAnsi="Google Sans" w:cs="Google Sans"/>
          <w:color w:val="1F1F1F"/>
        </w:rPr>
        <w:t>，自動偵測出可能引發再生顫振（</w:t>
      </w:r>
      <w:r>
        <w:rPr>
          <w:rFonts w:ascii="Google Sans" w:eastAsia="Google Sans" w:hAnsi="Google Sans" w:cs="Google Sans"/>
          <w:color w:val="1F1F1F"/>
        </w:rPr>
        <w:t>Regenerative Chatter</w:t>
      </w:r>
      <w:r>
        <w:rPr>
          <w:rFonts w:ascii="Google Sans" w:eastAsia="Google Sans" w:hAnsi="Google Sans" w:cs="Google Sans"/>
          <w:color w:val="1F1F1F"/>
        </w:rPr>
        <w:t>）的危險頻段，並透過回溯診斷邏輯，主動建議使用者修改</w:t>
      </w:r>
      <w:r>
        <w:rPr>
          <w:rFonts w:ascii="Google Sans" w:eastAsia="Google Sans" w:hAnsi="Google Sans" w:cs="Google Sans"/>
          <w:color w:val="1F1F1F"/>
        </w:rPr>
        <w:t xml:space="preserve"> NC-Code </w:t>
      </w:r>
      <w:r>
        <w:rPr>
          <w:rFonts w:ascii="Google Sans" w:eastAsia="Google Sans" w:hAnsi="Google Sans" w:cs="Google Sans"/>
          <w:color w:val="1F1F1F"/>
        </w:rPr>
        <w:t>中的特定主軸轉速或進給率設定，實現真正的虛實融合防微杜漸</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3</w:t>
      </w:r>
      <w:r>
        <w:rPr>
          <w:rFonts w:ascii="Google Sans" w:eastAsia="Google Sans" w:hAnsi="Google Sans" w:cs="Google Sans"/>
          <w:color w:val="1F1F1F"/>
        </w:rPr>
        <w:t>。</w:t>
      </w:r>
    </w:p>
    <w:p w14:paraId="32D4D258" w14:textId="77777777" w:rsidR="00002BDB" w:rsidRDefault="00002BDB">
      <w:pPr>
        <w:pBdr>
          <w:top w:val="nil"/>
          <w:left w:val="nil"/>
          <w:bottom w:val="nil"/>
          <w:right w:val="nil"/>
          <w:between w:val="nil"/>
        </w:pBdr>
        <w:spacing w:after="150" w:line="275" w:lineRule="auto"/>
        <w:rPr>
          <w:rFonts w:ascii="Google Sans" w:eastAsia="Google Sans" w:hAnsi="Google Sans" w:cs="Google Sans"/>
          <w:color w:val="1F1F1F"/>
        </w:rPr>
      </w:pPr>
    </w:p>
    <w:p w14:paraId="299640ED"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第八章：系統實施路徑與工業物聯網標準整合</w:t>
      </w:r>
    </w:p>
    <w:p w14:paraId="04459E77"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依據嚴謹的軟體工程與系統工程實務，開發此高度複雜的數位雙生估測模組可依循下列四個漸進式階段穩步實施，確保各層次技術的無縫銜接：</w:t>
      </w:r>
    </w:p>
    <w:tbl>
      <w:tblPr>
        <w:tblStyle w:val="a5"/>
        <w:tblW w:w="969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35"/>
        <w:gridCol w:w="4785"/>
        <w:gridCol w:w="3571"/>
      </w:tblGrid>
      <w:tr w:rsidR="00002BDB" w14:paraId="041BB339" w14:textId="77777777">
        <w:trPr>
          <w:trHeight w:val="690"/>
        </w:trPr>
        <w:tc>
          <w:tcPr>
            <w:tcW w:w="1335"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vAlign w:val="center"/>
          </w:tcPr>
          <w:p w14:paraId="7DDCF0F3"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實施階段</w:t>
            </w:r>
          </w:p>
        </w:tc>
        <w:tc>
          <w:tcPr>
            <w:tcW w:w="4785"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2014A38C"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核心開發重點與工程任務</w:t>
            </w:r>
          </w:p>
        </w:tc>
        <w:tc>
          <w:tcPr>
            <w:tcW w:w="3571"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52D302B5"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預期系統能力與技術產出</w:t>
            </w:r>
          </w:p>
        </w:tc>
      </w:tr>
      <w:tr w:rsidR="00002BDB" w14:paraId="7E0FE0F1" w14:textId="77777777">
        <w:tc>
          <w:tcPr>
            <w:tcW w:w="1335"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35B7408A"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 xml:space="preserve">Phase 1: </w:t>
            </w:r>
            <w:r>
              <w:rPr>
                <w:rFonts w:ascii="Google Sans" w:eastAsia="Google Sans" w:hAnsi="Google Sans" w:cs="Google Sans"/>
                <w:b/>
                <w:bCs/>
                <w:color w:val="1F1F1F"/>
              </w:rPr>
              <w:t>基礎架構與語意解析</w:t>
            </w:r>
          </w:p>
        </w:tc>
        <w:tc>
          <w:tcPr>
            <w:tcW w:w="4785"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5233B5C3"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建構模組化之系統底層架構。開發支援複雜正則表達式之高階</w:t>
            </w:r>
            <w:r>
              <w:rPr>
                <w:rFonts w:ascii="Google Sans" w:eastAsia="Google Sans" w:hAnsi="Google Sans" w:cs="Google Sans"/>
                <w:color w:val="1F1F1F"/>
              </w:rPr>
              <w:t xml:space="preserve"> NC-Code </w:t>
            </w:r>
            <w:r>
              <w:rPr>
                <w:rFonts w:ascii="Google Sans" w:eastAsia="Google Sans" w:hAnsi="Google Sans" w:cs="Google Sans"/>
                <w:color w:val="1F1F1F"/>
              </w:rPr>
              <w:t>解析器。實作</w:t>
            </w:r>
            <w:r>
              <w:rPr>
                <w:rFonts w:ascii="Google Sans" w:eastAsia="Google Sans" w:hAnsi="Google Sans" w:cs="Google Sans"/>
                <w:color w:val="1F1F1F"/>
              </w:rPr>
              <w:t xml:space="preserve"> HTM </w:t>
            </w:r>
            <w:r>
              <w:rPr>
                <w:rFonts w:ascii="Google Sans" w:eastAsia="Google Sans" w:hAnsi="Google Sans" w:cs="Google Sans"/>
                <w:color w:val="1F1F1F"/>
              </w:rPr>
              <w:t>逆向運動學座標轉換矩陣與虛擬模態狀態機追蹤。構建具備製程語意保留能力的</w:t>
            </w:r>
            <w:r>
              <w:rPr>
                <w:rFonts w:ascii="Google Sans" w:eastAsia="Google Sans" w:hAnsi="Google Sans" w:cs="Google Sans"/>
                <w:color w:val="1F1F1F"/>
              </w:rPr>
              <w:t xml:space="preserve"> IR </w:t>
            </w:r>
            <w:r>
              <w:rPr>
                <w:rFonts w:ascii="Google Sans" w:eastAsia="Google Sans" w:hAnsi="Google Sans" w:cs="Google Sans"/>
                <w:color w:val="1F1F1F"/>
              </w:rPr>
              <w:t>中介表示法資料結構。</w:t>
            </w:r>
          </w:p>
        </w:tc>
        <w:tc>
          <w:tcPr>
            <w:tcW w:w="3571"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24D0EC8F"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系統具備將任意格式之</w:t>
            </w:r>
            <w:r>
              <w:rPr>
                <w:rFonts w:ascii="Google Sans" w:eastAsia="Google Sans" w:hAnsi="Google Sans" w:cs="Google Sans"/>
                <w:color w:val="1F1F1F"/>
              </w:rPr>
              <w:t xml:space="preserve"> NC-Code </w:t>
            </w:r>
            <w:r>
              <w:rPr>
                <w:rFonts w:ascii="Google Sans" w:eastAsia="Google Sans" w:hAnsi="Google Sans" w:cs="Google Sans"/>
                <w:color w:val="1F1F1F"/>
              </w:rPr>
              <w:t>準確轉化為結構化幾何路徑與機台實體軸運動數據之能力。</w:t>
            </w:r>
          </w:p>
        </w:tc>
      </w:tr>
      <w:tr w:rsidR="00002BDB" w14:paraId="2F4CE3EC" w14:textId="77777777">
        <w:tc>
          <w:tcPr>
            <w:tcW w:w="1335"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2358A31"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 xml:space="preserve">Phase 2: </w:t>
            </w:r>
            <w:r>
              <w:rPr>
                <w:rFonts w:ascii="Google Sans" w:eastAsia="Google Sans" w:hAnsi="Google Sans" w:cs="Google Sans"/>
                <w:b/>
                <w:bCs/>
                <w:color w:val="1F1F1F"/>
              </w:rPr>
              <w:t>運動學核心引擎實作</w:t>
            </w:r>
          </w:p>
        </w:tc>
        <w:tc>
          <w:tcPr>
            <w:tcW w:w="4785"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1B035165"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深入開發</w:t>
            </w:r>
            <w:r>
              <w:rPr>
                <w:rFonts w:ascii="Google Sans" w:eastAsia="Google Sans" w:hAnsi="Google Sans" w:cs="Google Sans"/>
                <w:color w:val="1F1F1F"/>
              </w:rPr>
              <w:t xml:space="preserve"> L4 </w:t>
            </w:r>
            <w:r>
              <w:rPr>
                <w:rFonts w:ascii="Google Sans" w:eastAsia="Google Sans" w:hAnsi="Google Sans" w:cs="Google Sans"/>
                <w:color w:val="1F1F1F"/>
              </w:rPr>
              <w:t>運動控制層。實作七段式</w:t>
            </w:r>
            <w:r>
              <w:rPr>
                <w:rFonts w:ascii="Google Sans" w:eastAsia="Google Sans" w:hAnsi="Google Sans" w:cs="Google Sans"/>
                <w:color w:val="1F1F1F"/>
              </w:rPr>
              <w:t xml:space="preserve"> S </w:t>
            </w:r>
            <w:r>
              <w:rPr>
                <w:rFonts w:ascii="Google Sans" w:eastAsia="Google Sans" w:hAnsi="Google Sans" w:cs="Google Sans"/>
                <w:color w:val="1F1F1F"/>
              </w:rPr>
              <w:t>型加減速連續數學函數，並完善短線段下的邊界條件檢測與曲線退化邏輯。導入雙向掃描滑動視窗前瞻演算法與轉角向心加速度物理約束。</w:t>
            </w:r>
          </w:p>
        </w:tc>
        <w:tc>
          <w:tcPr>
            <w:tcW w:w="3571"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69565021"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建立高保真度之時間預測核心引擎，證明時間估測誤差可成功縮斂至</w:t>
            </w:r>
            <w:r>
              <w:rPr>
                <w:rFonts w:ascii="Google Sans" w:eastAsia="Google Sans" w:hAnsi="Google Sans" w:cs="Google Sans"/>
                <w:color w:val="1F1F1F"/>
              </w:rPr>
              <w:t xml:space="preserve"> 8% </w:t>
            </w:r>
            <w:r>
              <w:rPr>
                <w:rFonts w:ascii="Google Sans" w:eastAsia="Google Sans" w:hAnsi="Google Sans" w:cs="Google Sans"/>
                <w:color w:val="1F1F1F"/>
              </w:rPr>
              <w:t>甚至</w:t>
            </w:r>
            <w:r>
              <w:rPr>
                <w:rFonts w:ascii="Google Sans" w:eastAsia="Google Sans" w:hAnsi="Google Sans" w:cs="Google Sans"/>
                <w:color w:val="1F1F1F"/>
              </w:rPr>
              <w:t xml:space="preserve"> 1% </w:t>
            </w:r>
            <w:r>
              <w:rPr>
                <w:rFonts w:ascii="Google Sans" w:eastAsia="Google Sans" w:hAnsi="Google Sans" w:cs="Google Sans"/>
                <w:color w:val="1F1F1F"/>
              </w:rPr>
              <w:t>之目標範圍內。</w:t>
            </w:r>
          </w:p>
        </w:tc>
      </w:tr>
      <w:tr w:rsidR="00002BDB" w14:paraId="3AE0EEA1" w14:textId="77777777">
        <w:trPr>
          <w:trHeight w:val="1935"/>
        </w:trPr>
        <w:tc>
          <w:tcPr>
            <w:tcW w:w="1335"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33D097B9"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 xml:space="preserve">Phase 3: </w:t>
            </w:r>
            <w:r>
              <w:rPr>
                <w:rFonts w:ascii="Google Sans" w:eastAsia="Google Sans" w:hAnsi="Google Sans" w:cs="Google Sans"/>
                <w:b/>
                <w:bCs/>
                <w:color w:val="1F1F1F"/>
              </w:rPr>
              <w:t>特徵識別與物聯網整合</w:t>
            </w:r>
          </w:p>
        </w:tc>
        <w:tc>
          <w:tcPr>
            <w:tcW w:w="4785"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64595684"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制定機台特徵設定檔（</w:t>
            </w:r>
            <w:r>
              <w:rPr>
                <w:rFonts w:ascii="Google Sans" w:eastAsia="Google Sans" w:hAnsi="Google Sans" w:cs="Google Sans"/>
                <w:color w:val="1F1F1F"/>
              </w:rPr>
              <w:t>Machine Profiles</w:t>
            </w:r>
            <w:r>
              <w:rPr>
                <w:rFonts w:ascii="Google Sans" w:eastAsia="Google Sans" w:hAnsi="Google Sans" w:cs="Google Sans"/>
                <w:color w:val="1F1F1F"/>
              </w:rPr>
              <w:t>）規格。開發並驗證標準</w:t>
            </w:r>
            <w:r>
              <w:rPr>
                <w:rFonts w:ascii="Google Sans" w:eastAsia="Google Sans" w:hAnsi="Google Sans" w:cs="Google Sans"/>
                <w:color w:val="1F1F1F"/>
              </w:rPr>
              <w:t xml:space="preserve"> Benchmark </w:t>
            </w:r>
            <w:r>
              <w:rPr>
                <w:rFonts w:ascii="Google Sans" w:eastAsia="Google Sans" w:hAnsi="Google Sans" w:cs="Google Sans"/>
                <w:color w:val="1F1F1F"/>
              </w:rPr>
              <w:t>測試碼。整合</w:t>
            </w:r>
            <w:r>
              <w:rPr>
                <w:rFonts w:ascii="Google Sans" w:eastAsia="Google Sans" w:hAnsi="Google Sans" w:cs="Google Sans"/>
                <w:color w:val="1F1F1F"/>
              </w:rPr>
              <w:t xml:space="preserve"> OPC UA </w:t>
            </w:r>
            <w:r>
              <w:rPr>
                <w:rFonts w:ascii="Google Sans" w:eastAsia="Google Sans" w:hAnsi="Google Sans" w:cs="Google Sans"/>
                <w:color w:val="1F1F1F"/>
              </w:rPr>
              <w:t>或</w:t>
            </w:r>
            <w:r>
              <w:rPr>
                <w:rFonts w:ascii="Google Sans" w:eastAsia="Google Sans" w:hAnsi="Google Sans" w:cs="Google Sans"/>
                <w:color w:val="1F1F1F"/>
              </w:rPr>
              <w:t xml:space="preserve"> MTConnect </w:t>
            </w:r>
            <w:r>
              <w:rPr>
                <w:rFonts w:ascii="Google Sans" w:eastAsia="Google Sans" w:hAnsi="Google Sans" w:cs="Google Sans"/>
                <w:color w:val="1F1F1F"/>
              </w:rPr>
              <w:t>等國際通訊標準擷取實體控制器之高頻時序資料，實作反推最佳化</w:t>
            </w:r>
            <w:r>
              <w:rPr>
                <w:rFonts w:ascii="Google Sans" w:eastAsia="Google Sans" w:hAnsi="Google Sans" w:cs="Google Sans"/>
                <w:color w:val="1F1F1F"/>
              </w:rPr>
              <w:t>校準演算法。</w:t>
            </w:r>
          </w:p>
        </w:tc>
        <w:tc>
          <w:tcPr>
            <w:tcW w:w="3571"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5258FCA4"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提供自動化之機台「數位指紋」生成工具，大幅降低數位雙生系統之初次建置與校準門檻。</w:t>
            </w:r>
          </w:p>
        </w:tc>
      </w:tr>
      <w:tr w:rsidR="00002BDB" w14:paraId="66C0D6EA" w14:textId="77777777" w:rsidTr="003B7874">
        <w:trPr>
          <w:trHeight w:val="1302"/>
        </w:trPr>
        <w:tc>
          <w:tcPr>
            <w:tcW w:w="1335"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622F622A" w14:textId="77777777" w:rsidR="00002BDB" w:rsidRDefault="003B7874">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 xml:space="preserve">Phase 4: </w:t>
            </w:r>
            <w:r>
              <w:rPr>
                <w:rFonts w:ascii="Google Sans" w:eastAsia="Google Sans" w:hAnsi="Google Sans" w:cs="Google Sans"/>
                <w:b/>
                <w:bCs/>
                <w:color w:val="1F1F1F"/>
              </w:rPr>
              <w:t>多視角數位雙生擴充</w:t>
            </w:r>
          </w:p>
        </w:tc>
        <w:tc>
          <w:tcPr>
            <w:tcW w:w="4785"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4ED5D0A1" w14:textId="0434C21F"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可選配整合</w:t>
            </w:r>
            <w:r>
              <w:rPr>
                <w:rFonts w:ascii="Google Sans" w:eastAsia="Google Sans" w:hAnsi="Google Sans" w:cs="Google Sans"/>
                <w:color w:val="1F1F1F"/>
              </w:rPr>
              <w:t xml:space="preserve"> FRF </w:t>
            </w:r>
            <w:r>
              <w:rPr>
                <w:rFonts w:ascii="Google Sans" w:eastAsia="Google Sans" w:hAnsi="Google Sans" w:cs="Google Sans"/>
                <w:color w:val="1F1F1F"/>
              </w:rPr>
              <w:t>轉換與時域</w:t>
            </w:r>
            <w:r>
              <w:rPr>
                <w:rFonts w:ascii="Google Sans" w:eastAsia="Google Sans" w:hAnsi="Google Sans" w:cs="Google Sans"/>
                <w:color w:val="1F1F1F"/>
              </w:rPr>
              <w:t>/</w:t>
            </w:r>
            <w:r>
              <w:rPr>
                <w:rFonts w:ascii="Google Sans" w:eastAsia="Google Sans" w:hAnsi="Google Sans" w:cs="Google Sans"/>
                <w:color w:val="1F1F1F"/>
              </w:rPr>
              <w:t>頻域振動響應模擬分析功能。</w:t>
            </w:r>
          </w:p>
        </w:tc>
        <w:tc>
          <w:tcPr>
            <w:tcW w:w="3571" w:type="dxa"/>
            <w:tcBorders>
              <w:top w:val="single" w:sz="6" w:space="0" w:color="000000"/>
              <w:left w:val="single" w:sz="6" w:space="0" w:color="000000"/>
              <w:bottom w:val="single" w:sz="6" w:space="0" w:color="000000"/>
              <w:right w:val="single" w:sz="6" w:space="0" w:color="000000"/>
            </w:tcBorders>
            <w:shd w:val="clear" w:color="auto" w:fill="auto"/>
            <w:tcMar>
              <w:top w:w="113" w:type="dxa"/>
              <w:left w:w="113" w:type="dxa"/>
              <w:bottom w:w="113" w:type="dxa"/>
              <w:right w:w="113" w:type="dxa"/>
            </w:tcMar>
          </w:tcPr>
          <w:p w14:paraId="7BB1957D" w14:textId="02FB6506" w:rsidR="00002BDB" w:rsidRDefault="003B7874">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完成具備高精度加工時間預測</w:t>
            </w:r>
            <w:r>
              <w:rPr>
                <w:rFonts w:ascii="Google Sans" w:eastAsia="Google Sans" w:hAnsi="Google Sans" w:cs="Google Sans"/>
                <w:color w:val="1F1F1F"/>
              </w:rPr>
              <w:t>以及初步振動診斷能力之全視角（</w:t>
            </w:r>
            <w:r>
              <w:rPr>
                <w:rFonts w:ascii="Google Sans" w:eastAsia="Google Sans" w:hAnsi="Google Sans" w:cs="Google Sans"/>
                <w:color w:val="1F1F1F"/>
              </w:rPr>
              <w:t>Multi-view</w:t>
            </w:r>
            <w:r>
              <w:rPr>
                <w:rFonts w:ascii="Google Sans" w:eastAsia="Google Sans" w:hAnsi="Google Sans" w:cs="Google Sans"/>
                <w:color w:val="1F1F1F"/>
              </w:rPr>
              <w:t>）數位雙生系統平</w:t>
            </w:r>
            <w:r>
              <w:rPr>
                <w:rFonts w:ascii="Google Sans" w:eastAsia="Google Sans" w:hAnsi="Google Sans" w:cs="Google Sans"/>
                <w:color w:val="1F1F1F"/>
              </w:rPr>
              <w:lastRenderedPageBreak/>
              <w:t>台。</w:t>
            </w:r>
          </w:p>
        </w:tc>
      </w:tr>
    </w:tbl>
    <w:p w14:paraId="0F01CE9D" w14:textId="77777777" w:rsidR="00002BDB" w:rsidRDefault="003B7874">
      <w:pPr>
        <w:pBdr>
          <w:top w:val="nil"/>
          <w:left w:val="nil"/>
          <w:bottom w:val="nil"/>
          <w:right w:val="nil"/>
          <w:between w:val="nil"/>
        </w:pBdr>
        <w:spacing w:before="480" w:after="150" w:line="275" w:lineRule="auto"/>
        <w:rPr>
          <w:rFonts w:ascii="Google Sans" w:eastAsia="Google Sans" w:hAnsi="Google Sans" w:cs="Google Sans"/>
          <w:color w:val="1F1F1F"/>
        </w:rPr>
      </w:pPr>
      <w:r>
        <w:rPr>
          <w:rFonts w:ascii="Google Sans" w:eastAsia="Google Sans" w:hAnsi="Google Sans" w:cs="Google Sans"/>
          <w:color w:val="1F1F1F"/>
        </w:rPr>
        <w:lastRenderedPageBreak/>
        <w:t>在系統設計上，為確保數位雙生模組能與現代智慧工廠的</w:t>
      </w:r>
      <w:r>
        <w:rPr>
          <w:rFonts w:ascii="Google Sans" w:eastAsia="Google Sans" w:hAnsi="Google Sans" w:cs="Google Sans"/>
          <w:color w:val="1F1F1F"/>
        </w:rPr>
        <w:t xml:space="preserve"> IT/OT </w:t>
      </w:r>
      <w:r>
        <w:rPr>
          <w:rFonts w:ascii="Google Sans" w:eastAsia="Google Sans" w:hAnsi="Google Sans" w:cs="Google Sans"/>
          <w:color w:val="1F1F1F"/>
        </w:rPr>
        <w:t>架構順利融合，系統之資料交換介面應嚴格遵循</w:t>
      </w:r>
      <w:r>
        <w:rPr>
          <w:rFonts w:ascii="Google Sans" w:eastAsia="Google Sans" w:hAnsi="Google Sans" w:cs="Google Sans"/>
          <w:color w:val="1F1F1F"/>
        </w:rPr>
        <w:t xml:space="preserve"> ISO 23247 </w:t>
      </w:r>
      <w:r>
        <w:rPr>
          <w:rFonts w:ascii="Google Sans" w:eastAsia="Google Sans" w:hAnsi="Google Sans" w:cs="Google Sans"/>
          <w:color w:val="1F1F1F"/>
        </w:rPr>
        <w:t>製造業數位雙生框架標準</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5</w:t>
      </w:r>
      <w:r>
        <w:rPr>
          <w:rFonts w:ascii="Google Sans" w:eastAsia="Google Sans" w:hAnsi="Google Sans" w:cs="Google Sans"/>
          <w:color w:val="1F1F1F"/>
        </w:rPr>
        <w:t>。透過標準化的</w:t>
      </w:r>
      <w:r>
        <w:rPr>
          <w:rFonts w:ascii="Google Sans" w:eastAsia="Google Sans" w:hAnsi="Google Sans" w:cs="Google Sans"/>
          <w:color w:val="1F1F1F"/>
        </w:rPr>
        <w:t xml:space="preserve"> OPC UA </w:t>
      </w:r>
      <w:r>
        <w:rPr>
          <w:rFonts w:ascii="Google Sans" w:eastAsia="Google Sans" w:hAnsi="Google Sans" w:cs="Google Sans"/>
          <w:color w:val="1F1F1F"/>
        </w:rPr>
        <w:t>協議與實體</w:t>
      </w:r>
      <w:r>
        <w:rPr>
          <w:rFonts w:ascii="Google Sans" w:eastAsia="Google Sans" w:hAnsi="Google Sans" w:cs="Google Sans"/>
          <w:color w:val="1F1F1F"/>
        </w:rPr>
        <w:t xml:space="preserve"> CNC </w:t>
      </w:r>
      <w:r>
        <w:rPr>
          <w:rFonts w:ascii="Google Sans" w:eastAsia="Google Sans" w:hAnsi="Google Sans" w:cs="Google Sans"/>
          <w:color w:val="1F1F1F"/>
        </w:rPr>
        <w:t>控制器進行底層資料交握，確保虛擬模型與物理實體間資訊同步的高效性與安全性，並支援雲端與邊緣運算（</w:t>
      </w:r>
      <w:r>
        <w:rPr>
          <w:rFonts w:ascii="Google Sans" w:eastAsia="Google Sans" w:hAnsi="Google Sans" w:cs="Google Sans"/>
          <w:color w:val="1F1F1F"/>
        </w:rPr>
        <w:t>Edge Computing</w:t>
      </w:r>
      <w:r>
        <w:rPr>
          <w:rFonts w:ascii="Google Sans" w:eastAsia="Google Sans" w:hAnsi="Google Sans" w:cs="Google Sans"/>
          <w:color w:val="1F1F1F"/>
        </w:rPr>
        <w:t>）混合部署架構，滿足工業現場對低延遲與高可靠度的嚴苛要求</w:t>
      </w:r>
      <w:r>
        <w:rPr>
          <w:rFonts w:ascii="Google Sans" w:eastAsia="Google Sans" w:hAnsi="Google Sans" w:cs="Google Sans"/>
          <w:color w:val="1F1F1F"/>
        </w:rPr>
        <w:t xml:space="preserve"> </w:t>
      </w:r>
      <w:r>
        <w:rPr>
          <w:rFonts w:ascii="Google Sans" w:eastAsia="Google Sans" w:hAnsi="Google Sans" w:cs="Google Sans"/>
          <w:color w:val="444746"/>
          <w:sz w:val="24"/>
          <w:szCs w:val="24"/>
          <w:vertAlign w:val="superscript"/>
        </w:rPr>
        <w:t>5</w:t>
      </w:r>
      <w:r>
        <w:rPr>
          <w:rFonts w:ascii="Google Sans" w:eastAsia="Google Sans" w:hAnsi="Google Sans" w:cs="Google Sans"/>
          <w:color w:val="1F1F1F"/>
        </w:rPr>
        <w:t>。</w:t>
      </w:r>
    </w:p>
    <w:p w14:paraId="53601D53" w14:textId="77777777" w:rsidR="00002BDB" w:rsidRDefault="00002BDB">
      <w:pPr>
        <w:pBdr>
          <w:top w:val="nil"/>
          <w:left w:val="nil"/>
          <w:bottom w:val="nil"/>
          <w:right w:val="nil"/>
          <w:between w:val="nil"/>
        </w:pBdr>
        <w:spacing w:before="480" w:after="150" w:line="275" w:lineRule="auto"/>
        <w:rPr>
          <w:rFonts w:ascii="Google Sans" w:eastAsia="Google Sans" w:hAnsi="Google Sans" w:cs="Google Sans"/>
          <w:color w:val="1F1F1F"/>
        </w:rPr>
      </w:pPr>
    </w:p>
    <w:p w14:paraId="2951CD26" w14:textId="77777777" w:rsidR="00002BDB" w:rsidRDefault="003B7874">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結論</w:t>
      </w:r>
    </w:p>
    <w:p w14:paraId="4237F608" w14:textId="77777777" w:rsidR="00002BDB" w:rsidRDefault="003B7874">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現代精密製造與高速切削領域中，時間與能耗的度量已無法脫離深層的運動力學與物理本質。單純依賴幾何路徑解析與理想定速假設的傳統預測框架，在面對微小線段插補與多軸複雜連動時，已無可避免地顯露出嚴重的樂觀偏見與系統性誤差。</w:t>
      </w:r>
    </w:p>
    <w:p w14:paraId="77E678D4" w14:textId="77777777" w:rsidR="00002BDB" w:rsidRDefault="003B7874">
      <w:pPr>
        <w:pBdr>
          <w:top w:val="nil"/>
          <w:left w:val="nil"/>
          <w:bottom w:val="nil"/>
          <w:right w:val="nil"/>
          <w:between w:val="nil"/>
        </w:pBdr>
        <w:spacing w:after="255" w:line="275" w:lineRule="auto"/>
        <w:rPr>
          <w:rFonts w:ascii="Google Sans" w:eastAsia="Google Sans" w:hAnsi="Google Sans" w:cs="Google Sans"/>
          <w:color w:val="1F1F1F"/>
        </w:rPr>
        <w:sectPr w:rsidR="00002BDB">
          <w:pgSz w:w="12240" w:h="15840"/>
          <w:pgMar w:top="1440" w:right="1440" w:bottom="1440" w:left="1440" w:header="0" w:footer="720" w:gutter="0"/>
          <w:cols w:space="720"/>
        </w:sectPr>
      </w:pPr>
      <w:r>
        <w:rPr>
          <w:rFonts w:ascii="Google Sans" w:eastAsia="Google Sans" w:hAnsi="Google Sans" w:cs="Google Sans"/>
          <w:color w:val="1F1F1F"/>
        </w:rPr>
        <w:t>本報告所規畫之</w:t>
      </w:r>
      <w:r>
        <w:rPr>
          <w:rFonts w:ascii="Google Sans" w:eastAsia="Google Sans" w:hAnsi="Google Sans" w:cs="Google Sans"/>
          <w:color w:val="1F1F1F"/>
        </w:rPr>
        <w:t xml:space="preserve"> NC-Code </w:t>
      </w:r>
      <w:r>
        <w:rPr>
          <w:rFonts w:ascii="Google Sans" w:eastAsia="Google Sans" w:hAnsi="Google Sans" w:cs="Google Sans"/>
          <w:color w:val="1F1F1F"/>
        </w:rPr>
        <w:t>數位雙生加工時間估測模組，從根本上重構了底層的運算邏輯與系統架構。透過建構編譯器級別的中介表示法（</w:t>
      </w:r>
      <w:r>
        <w:rPr>
          <w:rFonts w:ascii="Google Sans" w:eastAsia="Google Sans" w:hAnsi="Google Sans" w:cs="Google Sans"/>
          <w:color w:val="1F1F1F"/>
        </w:rPr>
        <w:t>IR</w:t>
      </w:r>
      <w:r>
        <w:rPr>
          <w:rFonts w:ascii="Google Sans" w:eastAsia="Google Sans" w:hAnsi="Google Sans" w:cs="Google Sans"/>
          <w:color w:val="1F1F1F"/>
        </w:rPr>
        <w:t>）架構，並深度融合涵蓋抖動控制的七段式</w:t>
      </w:r>
      <w:r>
        <w:rPr>
          <w:rFonts w:ascii="Google Sans" w:eastAsia="Google Sans" w:hAnsi="Google Sans" w:cs="Google Sans"/>
          <w:color w:val="1F1F1F"/>
        </w:rPr>
        <w:t xml:space="preserve"> S </w:t>
      </w:r>
      <w:r>
        <w:rPr>
          <w:rFonts w:ascii="Google Sans" w:eastAsia="Google Sans" w:hAnsi="Google Sans" w:cs="Google Sans"/>
          <w:color w:val="1F1F1F"/>
        </w:rPr>
        <w:t>型加減速物理模型與基於雙向掃描的轉角前瞻演算法，讓虛擬環境中的數據流得以嚴格遵循實體伺服系統的動力學極</w:t>
      </w:r>
      <w:r>
        <w:rPr>
          <w:rFonts w:ascii="Google Sans" w:eastAsia="Google Sans" w:hAnsi="Google Sans" w:cs="Google Sans"/>
          <w:color w:val="1F1F1F"/>
        </w:rPr>
        <w:t>限與物理約束。這不僅能將加工時間預測的誤差從</w:t>
      </w:r>
      <w:r>
        <w:rPr>
          <w:rFonts w:ascii="Google Sans" w:eastAsia="Google Sans" w:hAnsi="Google Sans" w:cs="Google Sans"/>
          <w:color w:val="1F1F1F"/>
        </w:rPr>
        <w:t xml:space="preserve"> 40% </w:t>
      </w:r>
      <w:r>
        <w:rPr>
          <w:rFonts w:ascii="Google Sans" w:eastAsia="Google Sans" w:hAnsi="Google Sans" w:cs="Google Sans"/>
          <w:color w:val="1F1F1F"/>
        </w:rPr>
        <w:t>大幅壓縮至</w:t>
      </w:r>
      <w:r>
        <w:rPr>
          <w:rFonts w:ascii="Google Sans" w:eastAsia="Google Sans" w:hAnsi="Google Sans" w:cs="Google Sans"/>
          <w:color w:val="1F1F1F"/>
        </w:rPr>
        <w:t xml:space="preserve"> 8% </w:t>
      </w:r>
      <w:r>
        <w:rPr>
          <w:rFonts w:ascii="Google Sans" w:eastAsia="Google Sans" w:hAnsi="Google Sans" w:cs="Google Sans"/>
          <w:color w:val="1F1F1F"/>
        </w:rPr>
        <w:t>以內，更透過物理資訊機器學習（</w:t>
      </w:r>
      <w:r>
        <w:rPr>
          <w:rFonts w:ascii="Google Sans" w:eastAsia="Google Sans" w:hAnsi="Google Sans" w:cs="Google Sans"/>
          <w:color w:val="1F1F1F"/>
        </w:rPr>
        <w:t>PIML</w:t>
      </w:r>
      <w:r>
        <w:rPr>
          <w:rFonts w:ascii="Google Sans" w:eastAsia="Google Sans" w:hAnsi="Google Sans" w:cs="Google Sans"/>
          <w:color w:val="1F1F1F"/>
        </w:rPr>
        <w:t>）與遷移學習技術的導入，奠定了跨機台、低成本部署能耗與振動診斷模型的堅實基礎。此一高度整合物理機制與數據智能的數位雙生架構，必將成為製造業優化生產排程、推動節能減碳與實踐智慧製造轉型的核心技術利器。</w:t>
      </w:r>
    </w:p>
    <w:p w14:paraId="5FB65ABE" w14:textId="77777777" w:rsidR="00002BDB" w:rsidRDefault="00002BDB">
      <w:pPr>
        <w:pBdr>
          <w:top w:val="nil"/>
          <w:left w:val="nil"/>
          <w:bottom w:val="nil"/>
          <w:right w:val="nil"/>
          <w:between w:val="nil"/>
        </w:pBdr>
        <w:spacing w:after="255" w:line="275" w:lineRule="auto"/>
        <w:rPr>
          <w:rFonts w:ascii="Google Sans" w:eastAsia="Google Sans" w:hAnsi="Google Sans" w:cs="Google Sans"/>
          <w:color w:val="1F1F1F"/>
        </w:rPr>
      </w:pPr>
    </w:p>
    <w:p w14:paraId="71C4236E" w14:textId="77777777" w:rsidR="00002BDB" w:rsidRDefault="003B7874">
      <w:pPr>
        <w:pStyle w:val="4"/>
        <w:spacing w:before="0"/>
        <w:rPr>
          <w:rFonts w:ascii="Google Sans" w:eastAsia="Google Sans" w:hAnsi="Google Sans" w:cs="Google Sans"/>
        </w:rPr>
      </w:pPr>
      <w:r>
        <w:rPr>
          <w:rFonts w:ascii="Google Sans" w:eastAsia="Google Sans" w:hAnsi="Google Sans" w:cs="Google Sans"/>
        </w:rPr>
        <w:t>引用的著作</w:t>
      </w:r>
    </w:p>
    <w:p w14:paraId="0C902F32"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2026 CNC Machining Trends: How Data, Automation and Hybrid Tech Are Reshaping Precision Manufa</w:t>
      </w:r>
      <w:r>
        <w:rPr>
          <w:rFonts w:ascii="Google Sans" w:eastAsia="Google Sans" w:hAnsi="Google Sans" w:cs="Google Sans"/>
          <w:sz w:val="24"/>
          <w:szCs w:val="24"/>
        </w:rPr>
        <w:t xml:space="preserve">cturing,  </w:t>
      </w:r>
      <w:hyperlink r:id="rId35">
        <w:r>
          <w:rPr>
            <w:rFonts w:ascii="Google Sans" w:eastAsia="Google Sans" w:hAnsi="Google Sans" w:cs="Google Sans"/>
            <w:color w:val="0000EE"/>
            <w:sz w:val="24"/>
            <w:szCs w:val="24"/>
            <w:u w:val="single"/>
          </w:rPr>
          <w:t>https://www.automation.com/article/2026-cnc-machining-trends-data-automation-hybrid-tech</w:t>
        </w:r>
      </w:hyperlink>
    </w:p>
    <w:p w14:paraId="126F4AF0"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2026 CNC Machining Trends: 5 Key Shifts Defining Precision Manufacturing - 3DS Blog,  </w:t>
      </w:r>
      <w:hyperlink r:id="rId36">
        <w:r>
          <w:rPr>
            <w:rFonts w:ascii="Google Sans" w:eastAsia="Google Sans" w:hAnsi="Google Sans" w:cs="Google Sans"/>
            <w:color w:val="0000EE"/>
            <w:sz w:val="24"/>
            <w:szCs w:val="24"/>
            <w:u w:val="single"/>
          </w:rPr>
          <w:t>https://blog.3ds.com/brands/delmia/2026-cnc-machining-trends-to-pay-a</w:t>
        </w:r>
        <w:r>
          <w:rPr>
            <w:rFonts w:ascii="Google Sans" w:eastAsia="Google Sans" w:hAnsi="Google Sans" w:cs="Google Sans"/>
            <w:color w:val="0000EE"/>
            <w:sz w:val="24"/>
            <w:szCs w:val="24"/>
            <w:u w:val="single"/>
          </w:rPr>
          <w:t>ttention-to/</w:t>
        </w:r>
      </w:hyperlink>
    </w:p>
    <w:p w14:paraId="529A8E63"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綠智能</w:t>
      </w:r>
    </w:p>
    <w:p w14:paraId="0E554475"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Research Review on Workshop Scheduling for Intelligent Manufacturing: Digital Twin Modeling, Optimization Algorithm, and System Architecture - MDPI,  </w:t>
      </w:r>
      <w:hyperlink r:id="rId37">
        <w:r>
          <w:rPr>
            <w:rFonts w:ascii="Google Sans" w:eastAsia="Google Sans" w:hAnsi="Google Sans" w:cs="Google Sans"/>
            <w:color w:val="0000EE"/>
            <w:sz w:val="24"/>
            <w:szCs w:val="24"/>
            <w:u w:val="single"/>
          </w:rPr>
          <w:t>https://www.mdpi.com/2075-17</w:t>
        </w:r>
        <w:r>
          <w:rPr>
            <w:rFonts w:ascii="Google Sans" w:eastAsia="Google Sans" w:hAnsi="Google Sans" w:cs="Google Sans"/>
            <w:color w:val="0000EE"/>
            <w:sz w:val="24"/>
            <w:szCs w:val="24"/>
            <w:u w:val="single"/>
          </w:rPr>
          <w:t>02/13/11/1021</w:t>
        </w:r>
      </w:hyperlink>
    </w:p>
    <w:p w14:paraId="783003D5"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building a digital twin of a cnc machine tool - National Institute of Standards and Technology,  </w:t>
      </w:r>
      <w:hyperlink r:id="rId38">
        <w:r>
          <w:rPr>
            <w:rFonts w:ascii="Google Sans" w:eastAsia="Google Sans" w:hAnsi="Google Sans" w:cs="Google Sans"/>
            <w:color w:val="0000EE"/>
            <w:sz w:val="24"/>
            <w:szCs w:val="24"/>
            <w:u w:val="single"/>
          </w:rPr>
          <w:t>https://tsapps.nist.gov/publication/get_pdf.cfm?pub_id=957945</w:t>
        </w:r>
      </w:hyperlink>
    </w:p>
    <w:p w14:paraId="650FFF95"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Re</w:t>
      </w:r>
      <w:r>
        <w:rPr>
          <w:rFonts w:ascii="Google Sans" w:eastAsia="Google Sans" w:hAnsi="Google Sans" w:cs="Google Sans"/>
          <w:sz w:val="24"/>
          <w:szCs w:val="24"/>
        </w:rPr>
        <w:t xml:space="preserve">view of Applications of Digital Twins and Industry 4.0 for Machining - MDPI,  </w:t>
      </w:r>
      <w:hyperlink r:id="rId39">
        <w:r>
          <w:rPr>
            <w:rFonts w:ascii="Google Sans" w:eastAsia="Google Sans" w:hAnsi="Google Sans" w:cs="Google Sans"/>
            <w:color w:val="0000EE"/>
            <w:sz w:val="24"/>
            <w:szCs w:val="24"/>
            <w:u w:val="single"/>
          </w:rPr>
          <w:t>https://www.mdpi.com/2504-4494/9/7/211</w:t>
        </w:r>
      </w:hyperlink>
    </w:p>
    <w:p w14:paraId="31CCE50D"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Mathematics of Motion Control Profiles: Optimizing Stepper Motor &amp; Servo Systems </w:t>
      </w:r>
      <w:r>
        <w:rPr>
          <w:rFonts w:ascii="Google Sans" w:eastAsia="Google Sans" w:hAnsi="Google Sans" w:cs="Google Sans"/>
          <w:sz w:val="24"/>
          <w:szCs w:val="24"/>
        </w:rPr>
        <w:t xml:space="preserve">| PMD,  </w:t>
      </w:r>
      <w:hyperlink r:id="rId40">
        <w:r>
          <w:rPr>
            <w:rFonts w:ascii="Google Sans" w:eastAsia="Google Sans" w:hAnsi="Google Sans" w:cs="Google Sans"/>
            <w:color w:val="0000EE"/>
            <w:sz w:val="24"/>
            <w:szCs w:val="24"/>
            <w:u w:val="single"/>
          </w:rPr>
          <w:t>https://www.pmdcorp.com/resources/type/articles/get/mathematics-of-motion-control-profiles-article</w:t>
        </w:r>
      </w:hyperlink>
    </w:p>
    <w:p w14:paraId="1C7BE91C"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Improved Seven-Segment Accelera</w:t>
      </w:r>
      <w:r>
        <w:rPr>
          <w:rFonts w:ascii="Google Sans" w:eastAsia="Google Sans" w:hAnsi="Google Sans" w:cs="Google Sans"/>
          <w:sz w:val="24"/>
          <w:szCs w:val="24"/>
        </w:rPr>
        <w:t xml:space="preserve">tion/Deceleration Algorithms Based on Cosine and Exponential Functions for Vibration Suppression - Clausius Scientific Press,  </w:t>
      </w:r>
      <w:hyperlink r:id="rId41">
        <w:r>
          <w:rPr>
            <w:rFonts w:ascii="Google Sans" w:eastAsia="Google Sans" w:hAnsi="Google Sans" w:cs="Google Sans"/>
            <w:color w:val="0000EE"/>
            <w:sz w:val="24"/>
            <w:szCs w:val="24"/>
            <w:u w:val="single"/>
          </w:rPr>
          <w:t>https://www.clausiuspre</w:t>
        </w:r>
        <w:r>
          <w:rPr>
            <w:rFonts w:ascii="Google Sans" w:eastAsia="Google Sans" w:hAnsi="Google Sans" w:cs="Google Sans"/>
            <w:color w:val="0000EE"/>
            <w:sz w:val="24"/>
            <w:szCs w:val="24"/>
            <w:u w:val="single"/>
          </w:rPr>
          <w:t>ss.com/assets/default/article/2026/01/05/article_1767607606.pdf</w:t>
        </w:r>
      </w:hyperlink>
    </w:p>
    <w:p w14:paraId="58AA924A"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S-Curve Motion Profiles: Optimize Machine Performance | PMD,  </w:t>
      </w:r>
      <w:hyperlink r:id="rId42">
        <w:r>
          <w:rPr>
            <w:rFonts w:ascii="Google Sans" w:eastAsia="Google Sans" w:hAnsi="Google Sans" w:cs="Google Sans"/>
            <w:color w:val="0000EE"/>
            <w:sz w:val="24"/>
            <w:szCs w:val="24"/>
            <w:u w:val="single"/>
          </w:rPr>
          <w:t>https://www.pmdcorp.com/resources/type/articles/get/s-curve-profiles-deep-dive-article</w:t>
        </w:r>
      </w:hyperlink>
    </w:p>
    <w:p w14:paraId="22BB06CA"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Trajectory Planning Point-to-Point Interactive Calculator... - Fi</w:t>
      </w:r>
      <w:r>
        <w:rPr>
          <w:rFonts w:ascii="Google Sans" w:eastAsia="Google Sans" w:hAnsi="Google Sans" w:cs="Google Sans"/>
          <w:sz w:val="24"/>
          <w:szCs w:val="24"/>
        </w:rPr>
        <w:t xml:space="preserve">rgelli Automations,  </w:t>
      </w:r>
      <w:hyperlink r:id="rId43">
        <w:r>
          <w:rPr>
            <w:rFonts w:ascii="Google Sans" w:eastAsia="Google Sans" w:hAnsi="Google Sans" w:cs="Google Sans"/>
            <w:color w:val="0000EE"/>
            <w:sz w:val="24"/>
            <w:szCs w:val="24"/>
            <w:u w:val="single"/>
          </w:rPr>
          <w:t>https://www.firgelliauto.com/blogs/calculators/trajectory-planning-point-to-point-calculator</w:t>
        </w:r>
      </w:hyperlink>
    </w:p>
    <w:p w14:paraId="7C00280E"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A New Seven-Segment Profile Al</w:t>
      </w:r>
      <w:r>
        <w:rPr>
          <w:rFonts w:ascii="Google Sans" w:eastAsia="Google Sans" w:hAnsi="Google Sans" w:cs="Google Sans"/>
          <w:sz w:val="24"/>
          <w:szCs w:val="24"/>
        </w:rPr>
        <w:t xml:space="preserve">gorithm for an Open Source Architecture in a Hybrid Electronic Platform - MDPI,  </w:t>
      </w:r>
      <w:hyperlink r:id="rId44">
        <w:r>
          <w:rPr>
            <w:rFonts w:ascii="Google Sans" w:eastAsia="Google Sans" w:hAnsi="Google Sans" w:cs="Google Sans"/>
            <w:color w:val="0000EE"/>
            <w:sz w:val="24"/>
            <w:szCs w:val="24"/>
            <w:u w:val="single"/>
          </w:rPr>
          <w:t>https://www.mdpi.com/2079-9292/8/6/652</w:t>
        </w:r>
      </w:hyperlink>
    </w:p>
    <w:p w14:paraId="2D0D9587"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Time-Optimal Asymmetric S-Curve Trajectory Planning of Redundant Manipulators </w:t>
      </w:r>
      <w:r>
        <w:rPr>
          <w:rFonts w:ascii="Google Sans" w:eastAsia="Google Sans" w:hAnsi="Google Sans" w:cs="Google Sans"/>
          <w:sz w:val="24"/>
          <w:szCs w:val="24"/>
        </w:rPr>
        <w:t xml:space="preserve">under Kinematic Constraints - PMC,  </w:t>
      </w:r>
      <w:hyperlink r:id="rId45">
        <w:r>
          <w:rPr>
            <w:rFonts w:ascii="Google Sans" w:eastAsia="Google Sans" w:hAnsi="Google Sans" w:cs="Google Sans"/>
            <w:color w:val="0000EE"/>
            <w:sz w:val="24"/>
            <w:szCs w:val="24"/>
            <w:u w:val="single"/>
          </w:rPr>
          <w:t>https://pmc.ncbi.nlm.nih.gov/articles/PMC10052581/</w:t>
        </w:r>
      </w:hyperlink>
    </w:p>
    <w:p w14:paraId="7D2E1A01"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CNC Look Ahead S Shape | PDF | Acceleration | Numerical Control - Scribd,  </w:t>
      </w:r>
      <w:hyperlink r:id="rId46">
        <w:r>
          <w:rPr>
            <w:rFonts w:ascii="Google Sans" w:eastAsia="Google Sans" w:hAnsi="Google Sans" w:cs="Google Sans"/>
            <w:color w:val="0000EE"/>
            <w:sz w:val="24"/>
            <w:szCs w:val="24"/>
            <w:u w:val="single"/>
          </w:rPr>
          <w:t>https://www.scribd.com/document/225504681/CNC-Look-Ahead-s-Shape</w:t>
        </w:r>
      </w:hyperlink>
    </w:p>
    <w:p w14:paraId="6CA8A0E1"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SCIENCE CHINA High speed interpolation for micro-line trajectory and adaptive real-time look-ahead scheme in CNC machining,  </w:t>
      </w:r>
      <w:hyperlink r:id="rId47">
        <w:r>
          <w:rPr>
            <w:rFonts w:ascii="Google Sans" w:eastAsia="Google Sans" w:hAnsi="Google Sans" w:cs="Google Sans"/>
            <w:color w:val="0000EE"/>
            <w:sz w:val="24"/>
            <w:szCs w:val="24"/>
            <w:u w:val="single"/>
          </w:rPr>
          <w:t>http://www.mmrc.iss.ac.cn/~xgao/papernc/2011-scichina-1.pdf</w:t>
        </w:r>
      </w:hyperlink>
    </w:p>
    <w:p w14:paraId="1C30D625"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lastRenderedPageBreak/>
        <w:t xml:space="preserve">A real-time look-ahead interpolation methodology with curvature-continuous B-spline transition scheme for CNC machining of </w:t>
      </w:r>
      <w:r>
        <w:rPr>
          <w:rFonts w:ascii="Google Sans" w:eastAsia="Google Sans" w:hAnsi="Google Sans" w:cs="Google Sans"/>
          <w:sz w:val="24"/>
          <w:szCs w:val="24"/>
        </w:rPr>
        <w:t xml:space="preserve">short line segments - ResearchGate,  </w:t>
      </w:r>
      <w:hyperlink r:id="rId48">
        <w:r>
          <w:rPr>
            <w:rFonts w:ascii="Google Sans" w:eastAsia="Google Sans" w:hAnsi="Google Sans" w:cs="Google Sans"/>
            <w:color w:val="0000EE"/>
            <w:sz w:val="24"/>
            <w:szCs w:val="24"/>
            <w:u w:val="single"/>
          </w:rPr>
          <w:t>https:</w:t>
        </w:r>
        <w:r>
          <w:rPr>
            <w:rFonts w:ascii="Google Sans" w:eastAsia="Google Sans" w:hAnsi="Google Sans" w:cs="Google Sans"/>
            <w:color w:val="0000EE"/>
            <w:sz w:val="24"/>
            <w:szCs w:val="24"/>
            <w:u w:val="single"/>
          </w:rPr>
          <w:t>//www.researchgate.net/publication/271603878_A_real-time_look-ahead_interpolation_methodology_with_curvature-continuous_B-spline_transition_scheme_for_CNC_machining_of_short_line_segments</w:t>
        </w:r>
      </w:hyperlink>
    </w:p>
    <w:p w14:paraId="18940D67"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Optimized continuous small line interpolation algorithm for high end</w:t>
      </w:r>
      <w:r>
        <w:rPr>
          <w:rFonts w:ascii="Google Sans" w:eastAsia="Google Sans" w:hAnsi="Google Sans" w:cs="Google Sans"/>
          <w:sz w:val="24"/>
          <w:szCs w:val="24"/>
        </w:rPr>
        <w:t xml:space="preserve"> CNC machine tools using a cross segment approach - PMC,  </w:t>
      </w:r>
      <w:hyperlink r:id="rId49">
        <w:r>
          <w:rPr>
            <w:rFonts w:ascii="Google Sans" w:eastAsia="Google Sans" w:hAnsi="Google Sans" w:cs="Google Sans"/>
            <w:color w:val="0000EE"/>
            <w:sz w:val="24"/>
            <w:szCs w:val="24"/>
            <w:u w:val="single"/>
          </w:rPr>
          <w:t>https://pmc.ncbi.nlm.nih.gov/articles/PMC12789697/</w:t>
        </w:r>
      </w:hyperlink>
    </w:p>
    <w:p w14:paraId="02D2F898"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Accuracy and efficiency improvements for CNC machines based on advanced toolpath descriptions and motion control algorithms,  </w:t>
      </w:r>
      <w:hyperlink r:id="rId50">
        <w:r>
          <w:rPr>
            <w:rFonts w:ascii="Google Sans" w:eastAsia="Google Sans" w:hAnsi="Google Sans" w:cs="Google Sans"/>
            <w:color w:val="0000EE"/>
            <w:sz w:val="24"/>
            <w:szCs w:val="24"/>
            <w:u w:val="single"/>
          </w:rPr>
          <w:t>https://faculty.engineering.ucdavis.edu/farouki/wp-content/uploads/sites/41/2013/02/Computer-numerical-control-algorithms.pdf</w:t>
        </w:r>
      </w:hyperlink>
    </w:p>
    <w:p w14:paraId="7297A054"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Research on the Digital Twin Architecture and Application of CNC System - </w:t>
      </w:r>
      <w:r>
        <w:rPr>
          <w:rFonts w:ascii="Google Sans" w:eastAsia="Google Sans" w:hAnsi="Google Sans" w:cs="Google Sans"/>
          <w:sz w:val="24"/>
          <w:szCs w:val="24"/>
        </w:rPr>
        <w:t>系统仿真学报</w:t>
      </w:r>
      <w:r>
        <w:rPr>
          <w:rFonts w:ascii="Google Sans" w:eastAsia="Google Sans" w:hAnsi="Google Sans" w:cs="Google Sans"/>
          <w:sz w:val="24"/>
          <w:szCs w:val="24"/>
        </w:rPr>
        <w:t xml:space="preserve">,  </w:t>
      </w:r>
      <w:hyperlink r:id="rId51">
        <w:r>
          <w:rPr>
            <w:rFonts w:ascii="Google Sans" w:eastAsia="Google Sans" w:hAnsi="Google Sans" w:cs="Google Sans"/>
            <w:color w:val="0000EE"/>
            <w:sz w:val="24"/>
            <w:szCs w:val="24"/>
            <w:u w:val="single"/>
          </w:rPr>
          <w:t>https://www.china-simulation.com/EN/10.16182/j.issn1004731x.joss.23-1004</w:t>
        </w:r>
      </w:hyperlink>
    </w:p>
    <w:p w14:paraId="3DEEB0CD"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Full article: Digital twin-based multi-view energy efficiency prediction for machining systems,  </w:t>
      </w:r>
      <w:hyperlink r:id="rId52">
        <w:r>
          <w:rPr>
            <w:rFonts w:ascii="Google Sans" w:eastAsia="Google Sans" w:hAnsi="Google Sans" w:cs="Google Sans"/>
            <w:color w:val="0000EE"/>
            <w:sz w:val="24"/>
            <w:szCs w:val="24"/>
            <w:u w:val="single"/>
          </w:rPr>
          <w:t>https://www.tandfonline.com/doi/full/10.1080/27525783.2026.2634493</w:t>
        </w:r>
      </w:hyperlink>
    </w:p>
    <w:p w14:paraId="090183D0"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Physics-Informed Machine Learning in Machining Process Modeling - ManTech Publications,  </w:t>
      </w:r>
      <w:hyperlink r:id="rId53">
        <w:r>
          <w:rPr>
            <w:rFonts w:ascii="Google Sans" w:eastAsia="Google Sans" w:hAnsi="Google Sans" w:cs="Google Sans"/>
            <w:color w:val="0000EE"/>
            <w:sz w:val="24"/>
            <w:szCs w:val="24"/>
            <w:u w:val="single"/>
          </w:rPr>
          <w:t>https://admin.mantechpublications.com/index.php/JoMMSM/article/viewFile/3062/1660</w:t>
        </w:r>
      </w:hyperlink>
    </w:p>
    <w:p w14:paraId="1A2A8627"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Prediction of Specific Energy Consumption in Sustainable Milling of Ti-6Al-4V with Different Machine Learning Mod</w:t>
      </w:r>
      <w:r>
        <w:rPr>
          <w:rFonts w:ascii="Google Sans" w:eastAsia="Google Sans" w:hAnsi="Google Sans" w:cs="Google Sans"/>
          <w:sz w:val="24"/>
          <w:szCs w:val="24"/>
        </w:rPr>
        <w:t xml:space="preserve">els - MDPI,  </w:t>
      </w:r>
      <w:hyperlink r:id="rId54">
        <w:r>
          <w:rPr>
            <w:rFonts w:ascii="Google Sans" w:eastAsia="Google Sans" w:hAnsi="Google Sans" w:cs="Google Sans"/>
            <w:color w:val="0000EE"/>
            <w:sz w:val="24"/>
            <w:szCs w:val="24"/>
            <w:u w:val="single"/>
          </w:rPr>
          <w:t>https://www.mdpi.com/2075-4701/16/3/266</w:t>
        </w:r>
      </w:hyperlink>
    </w:p>
    <w:p w14:paraId="6C69337F"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Life prediction of NC machine tools based on DT technology and LSTM technology,  </w:t>
      </w:r>
      <w:hyperlink r:id="rId55">
        <w:r>
          <w:rPr>
            <w:rFonts w:ascii="Google Sans" w:eastAsia="Google Sans" w:hAnsi="Google Sans" w:cs="Google Sans"/>
            <w:color w:val="0000EE"/>
            <w:sz w:val="24"/>
            <w:szCs w:val="24"/>
            <w:u w:val="single"/>
          </w:rPr>
          <w:t>https://www.frontiersin.org/journals/mechanical-engineering/articles/10.3389/fmech.2025.1727068/full</w:t>
        </w:r>
      </w:hyperlink>
    </w:p>
    <w:p w14:paraId="1AE98B38"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A bidirectional transfer learning method for tool life prediction in machine tools and robots base</w:t>
      </w:r>
      <w:r>
        <w:rPr>
          <w:rFonts w:ascii="Google Sans" w:eastAsia="Google Sans" w:hAnsi="Google Sans" w:cs="Google Sans"/>
          <w:sz w:val="24"/>
          <w:szCs w:val="24"/>
        </w:rPr>
        <w:t xml:space="preserve">d on the spatio-temporal features of multi-modal sensors and physics-informed constraints | Request PDF - ResearchGate,  </w:t>
      </w:r>
      <w:hyperlink r:id="rId56">
        <w:r>
          <w:rPr>
            <w:rFonts w:ascii="Google Sans" w:eastAsia="Google Sans" w:hAnsi="Google Sans" w:cs="Google Sans"/>
            <w:color w:val="0000EE"/>
            <w:sz w:val="24"/>
            <w:szCs w:val="24"/>
            <w:u w:val="single"/>
          </w:rPr>
          <w:t>https://www.researchgate.net/publication/401640784_A_bidirectional_transfer_learning_method_for_tool_life_prediction_in_machine_tools</w:t>
        </w:r>
        <w:r>
          <w:rPr>
            <w:rFonts w:ascii="Google Sans" w:eastAsia="Google Sans" w:hAnsi="Google Sans" w:cs="Google Sans"/>
            <w:color w:val="0000EE"/>
            <w:sz w:val="24"/>
            <w:szCs w:val="24"/>
            <w:u w:val="single"/>
          </w:rPr>
          <w:t>_and_robots_based_on_the_spatio-temporal_features_of_multi-modal_sensors_and_physics-informed_constraints</w:t>
        </w:r>
      </w:hyperlink>
    </w:p>
    <w:p w14:paraId="0C8EB565"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Data requirements for a digital twin of a CNC machine tool - Winter Simulation Conference,  </w:t>
      </w:r>
      <w:hyperlink r:id="rId57">
        <w:r>
          <w:rPr>
            <w:rFonts w:ascii="Google Sans" w:eastAsia="Google Sans" w:hAnsi="Google Sans" w:cs="Google Sans"/>
            <w:color w:val="0000EE"/>
            <w:sz w:val="24"/>
            <w:szCs w:val="24"/>
            <w:u w:val="single"/>
          </w:rPr>
          <w:t>https://www.informs-sim.org/wsc25papers/inv136.pdf</w:t>
        </w:r>
      </w:hyperlink>
    </w:p>
    <w:p w14:paraId="59D19332" w14:textId="77777777" w:rsidR="00002BDB" w:rsidRDefault="003B7874">
      <w:pPr>
        <w:numPr>
          <w:ilvl w:val="0"/>
          <w:numId w:val="11"/>
        </w:numPr>
        <w:pBdr>
          <w:top w:val="nil"/>
          <w:left w:val="nil"/>
          <w:bottom w:val="nil"/>
          <w:right w:val="nil"/>
          <w:between w:val="nil"/>
        </w:pBdr>
      </w:pPr>
      <w:r>
        <w:rPr>
          <w:rFonts w:ascii="Google Sans" w:eastAsia="Google Sans" w:hAnsi="Google Sans" w:cs="Google Sans"/>
          <w:sz w:val="24"/>
          <w:szCs w:val="24"/>
        </w:rPr>
        <w:t xml:space="preserve">Intelligent Digital Twins for CNC Machining Optimization Using Reinforcement Learning and IoT Data - ResearchGate,  </w:t>
      </w:r>
      <w:hyperlink r:id="rId58">
        <w:r>
          <w:rPr>
            <w:rFonts w:ascii="Google Sans" w:eastAsia="Google Sans" w:hAnsi="Google Sans" w:cs="Google Sans"/>
            <w:color w:val="0000EE"/>
            <w:sz w:val="24"/>
            <w:szCs w:val="24"/>
            <w:u w:val="single"/>
          </w:rPr>
          <w:t>https://www.researchgate.net/publication/402758766_Intelligent_Digital_Twins_for_CNC_Machining_Optimization_Using_Reinforcement_Learning_and_IoT_Data</w:t>
        </w:r>
      </w:hyperlink>
    </w:p>
    <w:sectPr w:rsidR="00002BDB">
      <w:pgSz w:w="12240" w:h="15840"/>
      <w:pgMar w:top="1440" w:right="1440" w:bottom="1440" w:left="1440" w:header="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BA4CA0E-0473-4B7F-87BD-225A8D26DD81}"/>
  </w:font>
  <w:font w:name="Google Sans">
    <w:charset w:val="00"/>
    <w:family w:val="auto"/>
    <w:pitch w:val="default"/>
    <w:embedRegular r:id="rId2" w:fontKey="{AE509142-9B52-4E93-BBC6-E371DBD109E5}"/>
    <w:embedBold r:id="rId3" w:fontKey="{C184D135-53F3-430D-A471-258129D45049}"/>
  </w:font>
  <w:font w:name="Calibri">
    <w:panose1 w:val="020F0502020204030204"/>
    <w:charset w:val="00"/>
    <w:family w:val="swiss"/>
    <w:pitch w:val="variable"/>
    <w:sig w:usb0="E4002EFF" w:usb1="C200247B" w:usb2="00000009" w:usb3="00000000" w:csb0="000001FF" w:csb1="00000000"/>
    <w:embedRegular r:id="rId4" w:fontKey="{83946F53-4F8C-4CA0-A58B-24F5A38AD99A}"/>
  </w:font>
  <w:font w:name="Cambria">
    <w:panose1 w:val="02040503050406030204"/>
    <w:charset w:val="00"/>
    <w:family w:val="roman"/>
    <w:pitch w:val="variable"/>
    <w:sig w:usb0="E00006FF" w:usb1="420024FF" w:usb2="02000000" w:usb3="00000000" w:csb0="0000019F" w:csb1="00000000"/>
    <w:embedRegular r:id="rId5" w:fontKey="{5EAB1F57-0CCF-4E98-897A-B5EEB8D79F7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F6E06"/>
    <w:multiLevelType w:val="multilevel"/>
    <w:tmpl w:val="49B2B96E"/>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6EA761A"/>
    <w:multiLevelType w:val="multilevel"/>
    <w:tmpl w:val="21D09BFE"/>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97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AC1037D"/>
    <w:multiLevelType w:val="multilevel"/>
    <w:tmpl w:val="F244B328"/>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37B85230"/>
    <w:multiLevelType w:val="multilevel"/>
    <w:tmpl w:val="7C2ABA3C"/>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AA32DE2"/>
    <w:multiLevelType w:val="multilevel"/>
    <w:tmpl w:val="D150954A"/>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38D28EB"/>
    <w:multiLevelType w:val="multilevel"/>
    <w:tmpl w:val="F6A258FA"/>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97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505E70A6"/>
    <w:multiLevelType w:val="multilevel"/>
    <w:tmpl w:val="C97C2F56"/>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5C2957EC"/>
    <w:multiLevelType w:val="multilevel"/>
    <w:tmpl w:val="62E0800A"/>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67FD1F31"/>
    <w:multiLevelType w:val="multilevel"/>
    <w:tmpl w:val="8C144154"/>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97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71411F00"/>
    <w:multiLevelType w:val="multilevel"/>
    <w:tmpl w:val="E74AC67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7A975213"/>
    <w:multiLevelType w:val="multilevel"/>
    <w:tmpl w:val="C0A4CABA"/>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97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1"/>
  </w:num>
  <w:num w:numId="2">
    <w:abstractNumId w:val="8"/>
  </w:num>
  <w:num w:numId="3">
    <w:abstractNumId w:val="5"/>
  </w:num>
  <w:num w:numId="4">
    <w:abstractNumId w:val="10"/>
  </w:num>
  <w:num w:numId="5">
    <w:abstractNumId w:val="7"/>
  </w:num>
  <w:num w:numId="6">
    <w:abstractNumId w:val="6"/>
  </w:num>
  <w:num w:numId="7">
    <w:abstractNumId w:val="3"/>
  </w:num>
  <w:num w:numId="8">
    <w:abstractNumId w:val="0"/>
  </w:num>
  <w:num w:numId="9">
    <w:abstractNumId w:val="2"/>
  </w:num>
  <w:num w:numId="10">
    <w:abstractNumId w:val="4"/>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BDB"/>
    <w:rsid w:val="00002BDB"/>
    <w:rsid w:val="003B78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873F7"/>
  <w15:docId w15:val="{FCD7713D-DFF5-4385-BF9E-F440E2D42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www.mdpi.com/2504-4494/9/7/211"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www.pmdcorp.com/resources/type/articles/get/s-curve-profiles-deep-dive-article" TargetMode="External"/><Relationship Id="rId47" Type="http://schemas.openxmlformats.org/officeDocument/2006/relationships/hyperlink" Target="http://www.mmrc.iss.ac.cn/~xgao/papernc/2011-scichina-1.pdf" TargetMode="External"/><Relationship Id="rId50" Type="http://schemas.openxmlformats.org/officeDocument/2006/relationships/hyperlink" Target="https://faculty.engineering.ucdavis.edu/farouki/wp-content/uploads/sites/41/2013/02/Computer-numerical-control-algorithms.pdf" TargetMode="External"/><Relationship Id="rId55" Type="http://schemas.openxmlformats.org/officeDocument/2006/relationships/hyperlink" Target="https://www.frontiersin.org/journals/mechanical-engineering/articles/10.3389/fmech.2025.1727068/full"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www.mdpi.com/2075-1702/13/11/1021" TargetMode="External"/><Relationship Id="rId40" Type="http://schemas.openxmlformats.org/officeDocument/2006/relationships/hyperlink" Target="https://www.pmdcorp.com/resources/type/articles/get/mathematics-of-motion-control-profiles-article" TargetMode="External"/><Relationship Id="rId45" Type="http://schemas.openxmlformats.org/officeDocument/2006/relationships/hyperlink" Target="https://pmc.ncbi.nlm.nih.gov/articles/PMC10052581/" TargetMode="External"/><Relationship Id="rId53" Type="http://schemas.openxmlformats.org/officeDocument/2006/relationships/hyperlink" Target="https://admin.mantechpublications.com/index.php/JoMMSM/article/viewFile/3062/1660" TargetMode="External"/><Relationship Id="rId58" Type="http://schemas.openxmlformats.org/officeDocument/2006/relationships/hyperlink" Target="https://www.researchgate.net/publication/402758766_Intelligent_Digital_Twins_for_CNC_Machining_Optimization_Using_Reinforcement_Learning_and_IoT_Data" TargetMode="Externa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www.automation.com/article/2026-cnc-machining-trends-data-automation-hybrid-tech" TargetMode="External"/><Relationship Id="rId43" Type="http://schemas.openxmlformats.org/officeDocument/2006/relationships/hyperlink" Target="https://www.firgelliauto.com/blogs/calculators/trajectory-planning-point-to-point-calculator" TargetMode="External"/><Relationship Id="rId48" Type="http://schemas.openxmlformats.org/officeDocument/2006/relationships/hyperlink" Target="https://www.researchgate.net/publication/271603878_A_real-time_look-ahead_interpolation_methodology_with_curvature-continuous_B-spline_transition_scheme_for_CNC_machining_of_short_line_segments" TargetMode="External"/><Relationship Id="rId56" Type="http://schemas.openxmlformats.org/officeDocument/2006/relationships/hyperlink" Target="https://www.researchgate.net/publication/401640784_A_bidirectional_transfer_learning_method_for_tool_life_prediction_in_machine_tools_and_robots_based_on_the_spatio-temporal_features_of_multi-modal_sensors_and_physics-informed_constraints" TargetMode="External"/><Relationship Id="rId8" Type="http://schemas.openxmlformats.org/officeDocument/2006/relationships/image" Target="media/image4.png"/><Relationship Id="rId51" Type="http://schemas.openxmlformats.org/officeDocument/2006/relationships/hyperlink" Target="https://www.china-simulation.com/EN/10.16182/j.issn1004731x.joss.23-1004"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tsapps.nist.gov/publication/get_pdf.cfm?pub_id=957945" TargetMode="External"/><Relationship Id="rId46" Type="http://schemas.openxmlformats.org/officeDocument/2006/relationships/hyperlink" Target="https://www.scribd.com/document/225504681/CNC-Look-Ahead-s-Shape" TargetMode="External"/><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hyperlink" Target="https://www.clausiuspress.com/assets/default/article/2026/01/05/article_1767607606.pdf" TargetMode="External"/><Relationship Id="rId54" Type="http://schemas.openxmlformats.org/officeDocument/2006/relationships/hyperlink" Target="https://www.mdpi.com/2075-4701/16/3/266"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blog.3ds.com/brands/delmia/2026-cnc-machining-trends-to-pay-attention-to/" TargetMode="External"/><Relationship Id="rId49" Type="http://schemas.openxmlformats.org/officeDocument/2006/relationships/hyperlink" Target="https://pmc.ncbi.nlm.nih.gov/articles/PMC12789697/" TargetMode="External"/><Relationship Id="rId57" Type="http://schemas.openxmlformats.org/officeDocument/2006/relationships/hyperlink" Target="https://www.informs-sim.org/wsc25papers/inv136.pdf"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hyperlink" Target="https://www.mdpi.com/2079-9292/8/6/652" TargetMode="External"/><Relationship Id="rId52" Type="http://schemas.openxmlformats.org/officeDocument/2006/relationships/hyperlink" Target="https://www.tandfonline.com/doi/full/10.1080/27525783.2026.2634493" TargetMode="External"/><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2538</Words>
  <Characters>14469</Characters>
  <Application>Microsoft Office Word</Application>
  <DocSecurity>0</DocSecurity>
  <Lines>120</Lines>
  <Paragraphs>33</Paragraphs>
  <ScaleCrop>false</ScaleCrop>
  <Company/>
  <LinksUpToDate>false</LinksUpToDate>
  <CharactersWithSpaces>16974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朱其霖</cp:lastModifiedBy>
  <cp:revision>2</cp:revision>
  <dcterms:created xsi:type="dcterms:W3CDTF">2026-04-28T04:43:00Z</dcterms:created>
  <dcterms:modified xsi:type="dcterms:W3CDTF">2026-04-28T04:46:00Z</dcterms:modified>
</cp:coreProperties>
</file>