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5.wmf" ContentType="image/x-wmf"/>
  <Override PartName="/word/media/image4.jpeg" ContentType="image/jpeg"/>
  <Override PartName="/word/media/image3.jpeg" ContentType="image/jpeg"/>
  <Override PartName="/word/media/image1.wmf" ContentType="image/x-wmf"/>
  <Override PartName="/word/media/image9.jpeg" ContentType="image/jpeg"/>
  <Override PartName="/word/media/image10.jpeg" ContentType="image/jpeg"/>
  <Override PartName="/word/media/image2.png" ContentType="image/png"/>
  <Override PartName="/word/media/image6.jpeg" ContentType="image/jpeg"/>
  <Override PartName="/word/media/image8.jpeg" ContentType="image/jpeg"/>
  <Override PartName="/word/media/image7.jpeg" ContentType="image/jpeg"/>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MR12" w:hAnsi="CMR12" w:cs="CMR12"/>
          <w:b/>
          <w:b/>
          <w:sz w:val="24"/>
          <w:szCs w:val="24"/>
          <w:lang w:val="en-US"/>
        </w:rPr>
      </w:pPr>
      <w:r>
        <w:rPr>
          <w:rFonts w:cs="CMR12" w:ascii="CMR12" w:hAnsi="CMR12"/>
          <w:b/>
          <w:sz w:val="24"/>
          <w:szCs w:val="24"/>
          <w:lang w:val="en-US"/>
        </w:rPr>
        <w:t>Electronics</w:t>
      </w:r>
    </w:p>
    <w:p>
      <w:pPr>
        <w:pStyle w:val="Normal"/>
        <w:spacing w:lineRule="auto" w:line="240" w:before="0" w:after="0"/>
        <w:rPr>
          <w:rFonts w:ascii="CMR12" w:hAnsi="CMR12" w:cs="CMR12"/>
          <w:sz w:val="24"/>
          <w:szCs w:val="24"/>
          <w:lang w:val="en-US"/>
        </w:rPr>
      </w:pPr>
      <w:r>
        <w:rPr>
          <w:rFonts w:cs="CMR12" w:ascii="CMR12" w:hAnsi="CMR12"/>
          <w:sz w:val="24"/>
          <w:szCs w:val="24"/>
          <w:lang w:val="en-US"/>
        </w:rPr>
        <w:t>Dedicated electronics has been developed for the SuperNEMO demonstrator. Six</w:t>
      </w:r>
    </w:p>
    <w:p>
      <w:pPr>
        <w:pStyle w:val="Normal"/>
        <w:spacing w:lineRule="auto" w:line="240" w:before="0" w:after="0"/>
        <w:rPr>
          <w:rFonts w:ascii="CMR12" w:hAnsi="CMR12" w:cs="CMR12"/>
          <w:sz w:val="24"/>
          <w:szCs w:val="24"/>
          <w:lang w:val="en-US"/>
        </w:rPr>
      </w:pPr>
      <w:r>
        <w:rPr>
          <w:rFonts w:cs="CMR12" w:ascii="CMR12" w:hAnsi="CMR12"/>
          <w:sz w:val="24"/>
          <w:szCs w:val="24"/>
          <w:lang w:val="en-US"/>
        </w:rPr>
        <w:t>racks arranged on the electronic platform next to the detector contain all the</w:t>
      </w:r>
    </w:p>
    <w:p>
      <w:pPr>
        <w:pStyle w:val="Normal"/>
        <w:spacing w:lineRule="auto" w:line="240" w:before="0" w:after="0"/>
        <w:rPr>
          <w:rFonts w:ascii="CMR12" w:hAnsi="CMR12" w:cs="CMR12"/>
          <w:sz w:val="24"/>
          <w:szCs w:val="24"/>
          <w:lang w:val="en-US"/>
        </w:rPr>
      </w:pPr>
      <w:r>
        <w:rPr>
          <w:rFonts w:cs="CMR12" w:ascii="CMR12" w:hAnsi="CMR12"/>
          <w:sz w:val="24"/>
          <w:szCs w:val="24"/>
          <w:lang w:val="en-US"/>
        </w:rPr>
        <w:t>electronics dedicated to the calorimeter, tracker and calibration systems. The racks are organized into separate crates that handle the High Voltage control and monitoring(</w:t>
      </w:r>
      <w:r>
        <w:rPr>
          <w:rFonts w:cs="CMR12" w:ascii="CMR12" w:hAnsi="CMR12"/>
          <w:sz w:val="24"/>
          <w:szCs w:val="24"/>
          <w:highlight w:val="yellow"/>
          <w:lang w:val="en-US"/>
        </w:rPr>
        <w:t>xx crates</w:t>
      </w:r>
      <w:r>
        <w:rPr>
          <w:rFonts w:cs="CMR12" w:ascii="CMR12" w:hAnsi="CMR12"/>
          <w:sz w:val="24"/>
          <w:szCs w:val="24"/>
          <w:lang w:val="en-US"/>
        </w:rPr>
        <w:t xml:space="preserve">), the readout of the calorimeter and tracker signals (6 crates in total), and the LED calibration system  </w:t>
      </w:r>
      <w:r>
        <w:rPr>
          <w:rFonts w:cs="CMR12" w:ascii="CMR12" w:hAnsi="CMR12"/>
          <w:sz w:val="24"/>
          <w:szCs w:val="24"/>
          <w:highlight w:val="yellow"/>
          <w:lang w:val="en-US"/>
        </w:rPr>
        <w:t>(xx crates).</w:t>
      </w:r>
    </w:p>
    <w:p>
      <w:pPr>
        <w:pStyle w:val="Normal"/>
        <w:spacing w:lineRule="auto" w:line="240" w:before="0" w:after="0"/>
        <w:rPr>
          <w:rFonts w:ascii="CMR12" w:hAnsi="CMR12" w:cs="CMR12"/>
          <w:sz w:val="24"/>
          <w:szCs w:val="24"/>
          <w:lang w:val="en-US"/>
        </w:rPr>
      </w:pPr>
      <w:r>
        <w:rPr>
          <w:rFonts w:cs="CMR12" w:ascii="CMR12" w:hAnsi="CMR12"/>
          <w:sz w:val="24"/>
          <w:szCs w:val="24"/>
          <w:lang w:val="en-US"/>
        </w:rPr>
      </w:r>
    </w:p>
    <w:p>
      <w:pPr>
        <w:pStyle w:val="Normal"/>
        <w:spacing w:lineRule="auto" w:line="240" w:before="0" w:after="0"/>
        <w:rPr>
          <w:rFonts w:ascii="CMR12" w:hAnsi="CMR12" w:cs="CMR12"/>
          <w:sz w:val="24"/>
          <w:szCs w:val="24"/>
          <w:lang w:val="en-US"/>
        </w:rPr>
      </w:pPr>
      <w:r>
        <w:rPr>
          <w:rFonts w:cs="CMR12" w:ascii="CMR12" w:hAnsi="CMR12"/>
          <w:sz w:val="24"/>
          <w:szCs w:val="24"/>
          <w:lang w:val="en-US"/>
        </w:rPr>
        <w:t>The calorimeter electronics was realised at LAL while the tracker</w:t>
      </w:r>
    </w:p>
    <w:p>
      <w:pPr>
        <w:pStyle w:val="Normal"/>
        <w:rPr>
          <w:rFonts w:ascii="CMR12" w:hAnsi="CMR12" w:cs="CMR12"/>
          <w:sz w:val="24"/>
          <w:szCs w:val="24"/>
          <w:lang w:val="en-US"/>
        </w:rPr>
      </w:pPr>
      <w:r>
        <w:rPr>
          <w:rFonts w:cs="CMR12" w:ascii="CMR12" w:hAnsi="CMR12"/>
          <w:sz w:val="24"/>
          <w:szCs w:val="24"/>
          <w:lang w:val="en-US"/>
        </w:rPr>
        <w:t>electronics was developed jointly by the French and English teams.</w:t>
      </w:r>
    </w:p>
    <w:p>
      <w:pPr>
        <w:pStyle w:val="Normal"/>
        <w:rPr>
          <w:rFonts w:ascii="CMR12" w:hAnsi="CMR12" w:cs="CMR12"/>
          <w:sz w:val="24"/>
          <w:szCs w:val="24"/>
          <w:lang w:val="en-US"/>
        </w:rPr>
      </w:pPr>
      <w:r>
        <w:rPr>
          <w:rFonts w:cs="CMR12" w:ascii="CMR12" w:hAnsi="CMR12"/>
          <w:sz w:val="24"/>
          <w:szCs w:val="24"/>
          <w:lang w:val="en-US"/>
        </w:rPr>
      </w:r>
    </w:p>
    <w:p>
      <w:pPr>
        <w:pStyle w:val="Normal"/>
        <w:keepNext w:val="true"/>
        <w:spacing w:lineRule="auto" w:line="240" w:before="0" w:after="0"/>
        <w:rPr/>
      </w:pPr>
      <w:r>
        <w:rPr/>
        <w:drawing>
          <wp:inline distT="0" distB="0" distL="0" distR="0">
            <wp:extent cx="4381500" cy="2964180"/>
            <wp:effectExtent l="0" t="0" r="0" b="0"/>
            <wp:docPr id="1" name="Image 328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2835" descr=""/>
                    <pic:cNvPicPr>
                      <a:picLocks noChangeAspect="1" noChangeArrowheads="1"/>
                    </pic:cNvPicPr>
                  </pic:nvPicPr>
                  <pic:blipFill>
                    <a:blip r:embed="rId2"/>
                    <a:stretch>
                      <a:fillRect/>
                    </a:stretch>
                  </pic:blipFill>
                  <pic:spPr bwMode="auto">
                    <a:xfrm>
                      <a:off x="0" y="0"/>
                      <a:ext cx="4381500" cy="2964180"/>
                    </a:xfrm>
                    <a:prstGeom prst="rect">
                      <a:avLst/>
                    </a:prstGeom>
                  </pic:spPr>
                </pic:pic>
              </a:graphicData>
            </a:graphic>
          </wp:inline>
        </w:drawing>
      </w:r>
    </w:p>
    <w:p>
      <w:pPr>
        <w:pStyle w:val="Normal"/>
        <w:keepNext w:val="true"/>
        <w:spacing w:lineRule="auto" w:line="240" w:before="0" w:after="0"/>
        <w:rPr/>
      </w:pPr>
      <w:r>
        <w:rPr/>
      </w:r>
    </w:p>
    <w:p>
      <w:pPr>
        <w:pStyle w:val="Caption1"/>
        <w:rPr>
          <w:rFonts w:ascii="CMR12" w:hAnsi="CMR12" w:cs="CMR12"/>
          <w:sz w:val="24"/>
          <w:szCs w:val="24"/>
          <w:lang w:val="en-US"/>
        </w:rPr>
      </w:pPr>
      <w:r>
        <w:rPr>
          <w:highlight w:val="yellow"/>
          <w:lang w:val="en-US"/>
        </w:rPr>
        <w:t xml:space="preserve">Figure </w:t>
      </w:r>
      <w:r>
        <w:rPr>
          <w:highlight w:val="yellow"/>
        </w:rPr>
        <w:fldChar w:fldCharType="begin"/>
      </w:r>
      <w:r>
        <w:rPr>
          <w:highlight w:val="yellow"/>
        </w:rPr>
        <w:instrText> SEQ Figure \* ARABIC </w:instrText>
      </w:r>
      <w:r>
        <w:rPr>
          <w:highlight w:val="yellow"/>
        </w:rPr>
        <w:fldChar w:fldCharType="separate"/>
      </w:r>
      <w:r>
        <w:rPr>
          <w:highlight w:val="yellow"/>
        </w:rPr>
        <w:t>1</w:t>
      </w:r>
      <w:r>
        <w:rPr>
          <w:highlight w:val="yellow"/>
        </w:rPr>
        <w:fldChar w:fldCharType="end"/>
      </w:r>
      <w:r>
        <w:rPr>
          <w:lang w:val="en-US"/>
        </w:rPr>
        <w:t xml:space="preserve"> Picture of a Calorimeter crate (for one of the Main Walls) in an electronic rack module.</w:t>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b/>
          <w:b/>
          <w:sz w:val="24"/>
          <w:szCs w:val="24"/>
          <w:lang w:val="en-US"/>
        </w:rPr>
      </w:pPr>
      <w:r>
        <w:rPr>
          <w:rFonts w:cs="CMR12" w:ascii="CMR12" w:hAnsi="CMR12"/>
          <w:b/>
          <w:sz w:val="24"/>
          <w:szCs w:val="24"/>
          <w:lang w:val="en-US"/>
        </w:rPr>
        <w:t>Global architecture of the readout electronics</w:t>
      </w:r>
    </w:p>
    <w:p>
      <w:pPr>
        <w:pStyle w:val="Normal"/>
        <w:rPr>
          <w:rFonts w:ascii="CMR12" w:hAnsi="CMR12" w:cs="CMR12"/>
          <w:sz w:val="24"/>
          <w:szCs w:val="24"/>
          <w:lang w:val="en-US"/>
        </w:rPr>
      </w:pPr>
      <w:r>
        <w:rPr>
          <w:rFonts w:cs="CMR12" w:ascii="CMR12" w:hAnsi="CMR12"/>
          <w:sz w:val="24"/>
          <w:szCs w:val="24"/>
          <w:lang w:val="en-US"/>
        </w:rPr>
        <w:t>The role of the readout electronics is to detect and gather the analogue signals from the 712 optical modules of the Calorimeter and from the 2040 Geiger cells of the Tracker, to convert them into digital signals and to transport them to the computers for data storage and offline analysis.</w:t>
      </w:r>
    </w:p>
    <w:p>
      <w:pPr>
        <w:pStyle w:val="Normal"/>
        <w:rPr>
          <w:rFonts w:ascii="CMR12" w:hAnsi="CMR12" w:cs="CMR12"/>
          <w:sz w:val="24"/>
          <w:szCs w:val="24"/>
          <w:lang w:val="en-US"/>
        </w:rPr>
      </w:pPr>
      <w:r>
        <w:rPr>
          <w:rFonts w:cs="CMR12" w:ascii="CMR12" w:hAnsi="CMR12"/>
          <w:sz w:val="24"/>
          <w:szCs w:val="24"/>
          <w:lang w:val="en-US"/>
        </w:rPr>
        <w:t xml:space="preserve">A smart triggering system is implemented in order to reject the noise from the optical modules (by a factor 100) and spurious events in the tracker. The goal of the trigger system is to keep only physics events that associate energy deposit in the calorimeter and a track in the tracker.  A dedicated trigger strategy is also implemented in the case of a Bi-Po process (permitting to measure </w:t>
      </w:r>
      <w:r>
        <w:rPr>
          <w:rFonts w:cs="CMR12" w:ascii="CMR12" w:hAnsi="CMR12"/>
          <w:b/>
          <w:bCs/>
          <w:sz w:val="24"/>
          <w:szCs w:val="24"/>
          <w:vertAlign w:val="superscript"/>
          <w:lang w:val="en-US"/>
        </w:rPr>
        <w:t>208</w:t>
      </w:r>
      <w:r>
        <w:rPr>
          <w:rFonts w:cs="CMR12" w:ascii="CMR12" w:hAnsi="CMR12"/>
          <w:bCs/>
          <w:sz w:val="24"/>
          <w:szCs w:val="24"/>
          <w:lang w:val="en-US"/>
        </w:rPr>
        <w:t>Tl</w:t>
      </w:r>
      <w:r>
        <w:rPr>
          <w:rFonts w:cs="CMR12" w:ascii="CMR12" w:hAnsi="CMR12"/>
          <w:b/>
          <w:bCs/>
          <w:sz w:val="24"/>
          <w:szCs w:val="24"/>
          <w:lang w:val="en-US"/>
        </w:rPr>
        <w:t xml:space="preserve"> </w:t>
      </w:r>
      <w:r>
        <w:rPr>
          <w:rFonts w:cs="CMR12" w:ascii="CMR12" w:hAnsi="CMR12"/>
          <w:sz w:val="24"/>
          <w:szCs w:val="24"/>
          <w:lang w:val="en-US"/>
        </w:rPr>
        <w:t xml:space="preserve">and </w:t>
      </w:r>
      <w:r>
        <w:rPr>
          <w:rFonts w:cs="CMR12" w:ascii="CMR12" w:hAnsi="CMR12"/>
          <w:b/>
          <w:bCs/>
          <w:sz w:val="24"/>
          <w:szCs w:val="24"/>
          <w:vertAlign w:val="superscript"/>
          <w:lang w:val="en-US"/>
        </w:rPr>
        <w:t>214</w:t>
      </w:r>
      <w:r>
        <w:rPr>
          <w:rFonts w:cs="CMR12" w:ascii="CMR12" w:hAnsi="CMR12"/>
          <w:bCs/>
          <w:sz w:val="24"/>
          <w:szCs w:val="24"/>
          <w:lang w:val="en-US"/>
        </w:rPr>
        <w:t>Bi</w:t>
      </w:r>
      <w:r>
        <w:rPr>
          <w:rFonts w:cs="CMR12" w:ascii="CMR12" w:hAnsi="CMR12"/>
          <w:sz w:val="24"/>
          <w:szCs w:val="24"/>
          <w:lang w:val="en-US"/>
        </w:rPr>
        <w:t xml:space="preserve"> contaminations due to </w:t>
      </w:r>
      <w:r>
        <w:rPr>
          <w:rFonts w:cs="CMR12" w:ascii="CMR12" w:hAnsi="CMR12"/>
          <w:bCs/>
          <w:sz w:val="24"/>
          <w:szCs w:val="24"/>
          <w:lang w:val="en-US"/>
        </w:rPr>
        <w:t>Radon</w:t>
      </w:r>
      <w:r>
        <w:rPr>
          <w:rFonts w:cs="CMR12" w:ascii="CMR12" w:hAnsi="CMR12"/>
          <w:sz w:val="24"/>
          <w:szCs w:val="24"/>
          <w:lang w:val="en-US"/>
        </w:rPr>
        <w:t xml:space="preserve">), which corresponds to the detection of an electron followed by a delayed </w:t>
      </w:r>
      <w:r>
        <w:rPr>
          <w:rFonts w:cs="CMR12" w:ascii="CMR12" w:hAnsi="CMR12"/>
          <w:sz w:val="24"/>
          <w:szCs w:val="24"/>
          <w:lang w:val="el-GR"/>
        </w:rPr>
        <w:t>α</w:t>
      </w:r>
      <w:r>
        <w:rPr>
          <w:rFonts w:cs="CMR12" w:ascii="CMR12" w:hAnsi="CMR12"/>
          <w:sz w:val="24"/>
          <w:szCs w:val="24"/>
          <w:lang w:val="en-US"/>
        </w:rPr>
        <w:t xml:space="preserve"> particle in the tracker without energy deposit in the calorimeter.</w:t>
      </w:r>
    </w:p>
    <w:p>
      <w:pPr>
        <w:pStyle w:val="Normal"/>
        <w:rPr>
          <w:rFonts w:ascii="CMR12" w:hAnsi="CMR12" w:cs="CMR12"/>
          <w:sz w:val="24"/>
          <w:szCs w:val="24"/>
          <w:lang w:val="en-US"/>
        </w:rPr>
      </w:pPr>
      <w:r>
        <w:rPr>
          <w:rFonts w:cs="CMR12" w:ascii="CMR12" w:hAnsi="CMR12"/>
          <w:sz w:val="24"/>
          <w:szCs w:val="24"/>
          <w:lang w:val="en-US"/>
        </w:rPr>
        <w:t xml:space="preserve">The global architecture </w:t>
      </w:r>
      <w:r>
        <w:rPr>
          <w:rFonts w:cs="CMR12" w:ascii="CMR12" w:hAnsi="CMR12"/>
          <w:sz w:val="24"/>
          <w:szCs w:val="24"/>
          <w:highlight w:val="yellow"/>
          <w:lang w:val="en-US"/>
        </w:rPr>
        <w:t>(cf. figure …)</w:t>
      </w:r>
      <w:r>
        <w:rPr>
          <w:rFonts w:cs="CMR12" w:ascii="CMR12" w:hAnsi="CMR12"/>
          <w:sz w:val="24"/>
          <w:szCs w:val="24"/>
          <w:lang w:val="en-US"/>
        </w:rPr>
        <w:t xml:space="preserve"> of the readout electronics is based on different elements: the Frond End Boards (calorimeter and tracker), the Controller boards and the Trigger board.</w:t>
      </w:r>
    </w:p>
    <w:p>
      <w:pPr>
        <w:pStyle w:val="Normal"/>
        <w:rPr>
          <w:rFonts w:ascii="CMR12" w:hAnsi="CMR12" w:cs="CMR12"/>
          <w:sz w:val="24"/>
          <w:szCs w:val="24"/>
          <w:lang w:val="en-US"/>
        </w:rPr>
      </w:pPr>
      <w:r>
        <w:rPr>
          <w:rFonts w:cs="CMR12" w:ascii="CMR12" w:hAnsi="CMR12"/>
          <w:sz w:val="24"/>
          <w:szCs w:val="24"/>
          <w:lang w:val="en-US"/>
        </w:rPr>
        <w:drawing>
          <wp:anchor behindDoc="0" distT="0" distB="0" distL="0" distR="0" simplePos="0" locked="0" layoutInCell="0" allowOverlap="1" relativeHeight="9">
            <wp:simplePos x="0" y="0"/>
            <wp:positionH relativeFrom="margin">
              <wp:posOffset>-225425</wp:posOffset>
            </wp:positionH>
            <wp:positionV relativeFrom="paragraph">
              <wp:posOffset>-282575</wp:posOffset>
            </wp:positionV>
            <wp:extent cx="5653405" cy="3715385"/>
            <wp:effectExtent l="0" t="0" r="0" b="0"/>
            <wp:wrapNone/>
            <wp:docPr id="2" name="Image 328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2834" descr=""/>
                    <pic:cNvPicPr>
                      <a:picLocks noChangeAspect="1" noChangeArrowheads="1"/>
                    </pic:cNvPicPr>
                  </pic:nvPicPr>
                  <pic:blipFill>
                    <a:blip r:embed="rId3"/>
                    <a:stretch>
                      <a:fillRect/>
                    </a:stretch>
                  </pic:blipFill>
                  <pic:spPr bwMode="auto">
                    <a:xfrm>
                      <a:off x="0" y="0"/>
                      <a:ext cx="5653405" cy="3715385"/>
                    </a:xfrm>
                    <a:prstGeom prst="rect">
                      <a:avLst/>
                    </a:prstGeom>
                  </pic:spPr>
                </pic:pic>
              </a:graphicData>
            </a:graphic>
          </wp:anchor>
        </w:drawing>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mc:AlternateContent>
          <mc:Choice Requires="wps">
            <w:drawing>
              <wp:anchor behindDoc="0" distT="0" distB="0" distL="0" distR="0" simplePos="0" locked="0" layoutInCell="0" allowOverlap="1" relativeHeight="10" wp14:anchorId="1C4ED1A9">
                <wp:simplePos x="0" y="0"/>
                <wp:positionH relativeFrom="column">
                  <wp:posOffset>909955</wp:posOffset>
                </wp:positionH>
                <wp:positionV relativeFrom="paragraph">
                  <wp:posOffset>32385</wp:posOffset>
                </wp:positionV>
                <wp:extent cx="3896360" cy="139065"/>
                <wp:effectExtent l="0" t="0" r="9525" b="0"/>
                <wp:wrapNone/>
                <wp:docPr id="3" name="Zone de texte 1"/>
                <a:graphic xmlns:a="http://schemas.openxmlformats.org/drawingml/2006/main">
                  <a:graphicData uri="http://schemas.microsoft.com/office/word/2010/wordprocessingShape">
                    <wps:wsp>
                      <wps:cNvSpPr/>
                      <wps:spPr>
                        <a:xfrm>
                          <a:off x="0" y="0"/>
                          <a:ext cx="3895560" cy="138600"/>
                        </a:xfrm>
                        <a:prstGeom prst="rect">
                          <a:avLst/>
                        </a:prstGeom>
                        <a:solidFill>
                          <a:srgbClr val="ffffff"/>
                        </a:solidFill>
                        <a:ln w="0">
                          <a:noFill/>
                        </a:ln>
                      </wps:spPr>
                      <wps:style>
                        <a:lnRef idx="0"/>
                        <a:fillRef idx="0"/>
                        <a:effectRef idx="0"/>
                        <a:fontRef idx="minor"/>
                      </wps:style>
                      <wps:txbx>
                        <w:txbxContent>
                          <w:p>
                            <w:pPr>
                              <w:pStyle w:val="Caption1"/>
                              <w:spacing w:before="0" w:after="200"/>
                              <w:rPr>
                                <w:lang w:val="en-US"/>
                              </w:rPr>
                            </w:pPr>
                            <w:r>
                              <w:rPr>
                                <w:lang w:val="en-US"/>
                              </w:rPr>
                              <w:t xml:space="preserve">Figure </w:t>
                            </w:r>
                            <w:r>
                              <w:rPr/>
                              <w:fldChar w:fldCharType="begin"/>
                            </w:r>
                            <w:r>
                              <w:rPr/>
                              <w:instrText> SEQ Figure \* ARABIC </w:instrText>
                            </w:r>
                            <w:r>
                              <w:rPr/>
                              <w:fldChar w:fldCharType="separate"/>
                            </w:r>
                            <w:r>
                              <w:rPr/>
                              <w:t>2</w:t>
                            </w:r>
                            <w:r>
                              <w:rPr/>
                              <w:fldChar w:fldCharType="end"/>
                            </w:r>
                            <w:r>
                              <w:rPr>
                                <w:lang w:val="en-US"/>
                              </w:rPr>
                              <w:t>: Global architecture of the control and readout electronics of the Detector</w:t>
                            </w:r>
                          </w:p>
                        </w:txbxContent>
                      </wps:txbx>
                      <wps:bodyPr lIns="0" rIns="0" tIns="0" bIns="0">
                        <a:spAutoFit/>
                      </wps:bodyPr>
                    </wps:wsp>
                  </a:graphicData>
                </a:graphic>
              </wp:anchor>
            </w:drawing>
          </mc:Choice>
          <mc:Fallback>
            <w:pict>
              <v:rect id="shape_0" ID="Zone de texte 1" fillcolor="white" stroked="f" style="position:absolute;margin-left:71.65pt;margin-top:2.55pt;width:306.7pt;height:10.85pt;v-text-anchor:top" wp14:anchorId="1C4ED1A9">
                <w10:wrap type="none"/>
                <v:fill o:detectmouseclick="t" type="solid" color2="black"/>
                <v:stroke color="#3465a4" joinstyle="round" endcap="flat"/>
                <v:textbox>
                  <w:txbxContent>
                    <w:p>
                      <w:pPr>
                        <w:pStyle w:val="Caption1"/>
                        <w:spacing w:before="0" w:after="200"/>
                        <w:rPr>
                          <w:lang w:val="en-US"/>
                        </w:rPr>
                      </w:pPr>
                      <w:r>
                        <w:rPr>
                          <w:lang w:val="en-US"/>
                        </w:rPr>
                        <w:t xml:space="preserve">Figure </w:t>
                      </w:r>
                      <w:r>
                        <w:rPr/>
                        <w:fldChar w:fldCharType="begin"/>
                      </w:r>
                      <w:r>
                        <w:rPr/>
                        <w:instrText> SEQ Figure \* ARABIC </w:instrText>
                      </w:r>
                      <w:r>
                        <w:rPr/>
                        <w:fldChar w:fldCharType="separate"/>
                      </w:r>
                      <w:r>
                        <w:rPr/>
                        <w:t>2</w:t>
                      </w:r>
                      <w:r>
                        <w:rPr/>
                        <w:fldChar w:fldCharType="end"/>
                      </w:r>
                      <w:r>
                        <w:rPr>
                          <w:lang w:val="en-US"/>
                        </w:rPr>
                        <w:t>: Global architecture of the control and readout electronics of the Detector</w:t>
                      </w:r>
                    </w:p>
                  </w:txbxContent>
                </v:textbox>
              </v:rect>
            </w:pict>
          </mc:Fallback>
        </mc:AlternateContent>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b/>
          <w:b/>
          <w:sz w:val="24"/>
          <w:szCs w:val="24"/>
          <w:lang w:val="en-US"/>
        </w:rPr>
      </w:pPr>
      <w:r>
        <w:rPr>
          <w:rFonts w:cs="CMR12" w:ascii="CMR12" w:hAnsi="CMR12"/>
          <w:b/>
          <w:sz w:val="24"/>
          <w:szCs w:val="24"/>
          <w:lang w:val="en-US"/>
        </w:rPr>
        <w:t>Calorimeter Front End electronics</w:t>
      </w:r>
    </w:p>
    <w:p>
      <w:pPr>
        <w:pStyle w:val="Normal"/>
        <w:rPr>
          <w:rFonts w:ascii="CMR12" w:hAnsi="CMR12" w:cs="CMR12"/>
          <w:sz w:val="24"/>
          <w:szCs w:val="24"/>
          <w:lang w:val="en-US"/>
        </w:rPr>
      </w:pPr>
      <w:r>
        <w:rPr>
          <w:rFonts w:cs="CMR12" w:ascii="CMR12" w:hAnsi="CMR12"/>
          <w:sz w:val="24"/>
          <w:szCs w:val="24"/>
          <w:lang w:val="en-US"/>
        </w:rPr>
        <w:t>The Calorimeter Frond End board (developed by LAL) is a 16-channel waveform digitizer based on the SAMLONG analog memory ASIC (developed by LAL/IRFU) running at 2.56 Giga-sample per second. It permits recording a signal depth of 1024 samples (corresponding to 400 ns) and converting data over 12 bits. The signal is time tagged at a few picosecond rms.</w:t>
      </w:r>
    </w:p>
    <w:p>
      <w:pPr>
        <w:pStyle w:val="Normal"/>
        <w:rPr>
          <w:rFonts w:ascii="CMR12" w:hAnsi="CMR12" w:cs="CMR12"/>
          <w:sz w:val="24"/>
          <w:szCs w:val="24"/>
          <w:lang w:val="en-US"/>
        </w:rPr>
      </w:pPr>
      <w:r>
        <w:rPr>
          <w:rFonts w:cs="CMR12" w:ascii="CMR12" w:hAnsi="CMR12"/>
          <w:sz w:val="24"/>
          <w:szCs w:val="24"/>
          <w:lang w:val="en-US"/>
        </w:rPr>
        <w:t>The digitization of the calorimeter pulses for SuperNEMO is an innovation compared to NEMO-3 where only the amplitude and the arrival time of the pulses were digitized and readout by the electronics.</w:t>
      </w:r>
    </w:p>
    <w:p>
      <w:pPr>
        <w:pStyle w:val="Normal"/>
        <w:rPr>
          <w:rFonts w:ascii="CMR12" w:hAnsi="CMR12" w:cs="CMR12"/>
          <w:sz w:val="24"/>
          <w:szCs w:val="24"/>
          <w:lang w:val="en-US"/>
        </w:rPr>
      </w:pPr>
      <w:r>
        <w:rPr>
          <w:rFonts w:cs="CMR12" w:ascii="CMR12" w:hAnsi="CMR12"/>
          <w:sz w:val="24"/>
          <w:szCs w:val="24"/>
          <w:lang w:val="en-US"/>
        </w:rPr>
        <w:t>Thanks to the digitized waveforms, we can perform an exhaustive feature extraction from the signal: baseline, time, amplitude and charge are available. We can also distinguish between successive pulses on the same channel within the 400 ns time window of the waveform.</w:t>
      </w:r>
    </w:p>
    <w:p>
      <w:pPr>
        <w:pStyle w:val="Normal"/>
        <w:rPr>
          <w:rFonts w:ascii="CMR12" w:hAnsi="CMR12" w:cs="CMR12"/>
          <w:sz w:val="24"/>
          <w:szCs w:val="24"/>
          <w:lang w:val="en-US"/>
        </w:rPr>
      </w:pPr>
      <w:r>
        <w:rPr>
          <w:rFonts w:cs="CMR12" w:ascii="CMR12" w:hAnsi="CMR12"/>
          <w:sz w:val="24"/>
          <w:szCs w:val="24"/>
          <w:lang w:val="en-US"/>
        </w:rPr>
        <w:t>There are two different thresholds on each channel (Low Threshold and High Threshold) that are used to open gates for the calorimeter trigger primitives.</w:t>
      </w:r>
    </w:p>
    <w:p>
      <w:pPr>
        <w:pStyle w:val="Normal"/>
        <w:rPr>
          <w:rFonts w:ascii="CMR12" w:hAnsi="CMR12" w:cs="CMR12"/>
          <w:sz w:val="24"/>
          <w:szCs w:val="24"/>
          <w:lang w:val="en-US"/>
        </w:rPr>
      </w:pPr>
      <w:r>
        <w:rPr>
          <w:rFonts w:cs="CMR12" w:ascii="CMR12" w:hAnsi="CMR12"/>
          <w:sz w:val="24"/>
          <w:szCs w:val="24"/>
          <w:lang w:val="en-US"/>
        </w:rPr>
        <w:t>These trigger primitives are then processed by the Trigger board, in association with the Tracker primitives, to build the Trigger decisions.</w:t>
      </w:r>
    </w:p>
    <w:p>
      <w:pPr>
        <w:pStyle w:val="Normal"/>
        <w:rPr>
          <w:rFonts w:ascii="CMR12" w:hAnsi="CMR12" w:cs="CMR12"/>
          <w:sz w:val="24"/>
          <w:szCs w:val="24"/>
          <w:lang w:val="en-US"/>
        </w:rPr>
      </w:pPr>
      <w:r>
        <w:rPr>
          <w:rFonts w:cs="CMR12" w:ascii="CMR12" w:hAnsi="CMR12"/>
          <w:sz w:val="24"/>
          <w:szCs w:val="24"/>
          <w:lang w:val="en-US"/>
        </w:rPr>
        <w:t>There are 52 Calorimeters Front End boards in total, housed in three different crates:</w:t>
      </w:r>
    </w:p>
    <w:p>
      <w:pPr>
        <w:pStyle w:val="ListParagraph"/>
        <w:numPr>
          <w:ilvl w:val="0"/>
          <w:numId w:val="1"/>
        </w:numPr>
        <w:rPr>
          <w:rFonts w:ascii="CMR12" w:hAnsi="CMR12" w:cs="CMR12"/>
          <w:sz w:val="24"/>
          <w:szCs w:val="24"/>
          <w:lang w:val="en-US"/>
        </w:rPr>
      </w:pPr>
      <w:r>
        <w:rPr>
          <w:rFonts w:cs="CMR12" w:ascii="CMR12" w:hAnsi="CMR12"/>
          <w:sz w:val="24"/>
          <w:szCs w:val="24"/>
          <w:lang w:val="en-US"/>
        </w:rPr>
        <w:t>2 crates dedicated to the Main Walls housing 20 FEBs each, connected to 13 PMT signals each.</w:t>
      </w:r>
    </w:p>
    <w:p>
      <w:pPr>
        <w:pStyle w:val="ListParagraph"/>
        <w:rPr>
          <w:rFonts w:ascii="CMR12" w:hAnsi="CMR12" w:cs="CMR12"/>
          <w:sz w:val="24"/>
          <w:szCs w:val="24"/>
          <w:lang w:val="en-US"/>
        </w:rPr>
      </w:pPr>
      <w:r>
        <w:rPr>
          <w:rFonts w:cs="CMR12" w:ascii="CMR12" w:hAnsi="CMR12"/>
          <w:sz w:val="24"/>
          <w:szCs w:val="24"/>
          <w:lang w:val="en-US"/>
        </w:rPr>
      </w:r>
    </w:p>
    <w:p>
      <w:pPr>
        <w:pStyle w:val="ListParagraph"/>
        <w:numPr>
          <w:ilvl w:val="0"/>
          <w:numId w:val="1"/>
        </w:numPr>
        <w:rPr>
          <w:rFonts w:ascii="CMR12" w:hAnsi="CMR12" w:cs="CMR12"/>
          <w:sz w:val="24"/>
          <w:szCs w:val="24"/>
          <w:lang w:val="en-US"/>
        </w:rPr>
      </w:pPr>
      <w:r>
        <w:rPr>
          <w:rFonts w:cs="CMR12" w:ascii="CMR12" w:hAnsi="CMR12"/>
          <w:sz w:val="24"/>
          <w:szCs w:val="24"/>
          <w:lang w:val="en-US"/>
        </w:rPr>
        <w:t>1 crate for the X-Wall and Gamma-Vetos housing 12 FEBs, connected to 16 PMT signals each.</w:t>
      </w:r>
    </w:p>
    <w:p>
      <w:pPr>
        <w:pStyle w:val="ListParagraph"/>
        <w:rPr>
          <w:rFonts w:ascii="CMR12" w:hAnsi="CMR12" w:cs="CMR12"/>
          <w:sz w:val="24"/>
          <w:szCs w:val="24"/>
          <w:lang w:val="en-US"/>
        </w:rPr>
      </w:pPr>
      <w:r>
        <w:rPr>
          <w:rFonts w:cs="CMR12" w:ascii="CMR12" w:hAnsi="CMR12"/>
          <w:sz w:val="24"/>
          <w:szCs w:val="24"/>
          <w:lang w:val="en-US"/>
        </w:rPr>
      </w:r>
    </w:p>
    <w:p>
      <w:pPr>
        <w:pStyle w:val="Normal"/>
        <w:keepNext w:val="true"/>
        <w:rPr>
          <w:lang w:val="en-US"/>
        </w:rPr>
      </w:pPr>
      <w:r>
        <w:rPr>
          <w:lang w:val="en-US"/>
        </w:rPr>
        <w:t xml:space="preserve">    </w:t>
      </w:r>
      <w:r>
        <w:rPr>
          <w:rFonts w:cs="CMR12" w:ascii="CMR12" w:hAnsi="CMR12"/>
          <w:sz w:val="24"/>
          <w:szCs w:val="24"/>
          <w:lang w:val="en-US"/>
        </w:rPr>
        <w:t xml:space="preserve">  </w:t>
      </w:r>
      <w:r>
        <w:rPr/>
        <w:drawing>
          <wp:inline distT="0" distB="0" distL="0" distR="0">
            <wp:extent cx="1958975" cy="2009775"/>
            <wp:effectExtent l="0" t="0" r="0" b="0"/>
            <wp:docPr id="5" name="Image 3" descr="wavecatcher_16vo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 descr="wavecatcher_16voies"/>
                    <pic:cNvPicPr>
                      <a:picLocks noChangeAspect="1" noChangeArrowheads="1"/>
                    </pic:cNvPicPr>
                  </pic:nvPicPr>
                  <pic:blipFill>
                    <a:blip r:embed="rId4"/>
                    <a:stretch>
                      <a:fillRect/>
                    </a:stretch>
                  </pic:blipFill>
                  <pic:spPr bwMode="auto">
                    <a:xfrm>
                      <a:off x="0" y="0"/>
                      <a:ext cx="1958975" cy="2009775"/>
                    </a:xfrm>
                    <a:prstGeom prst="rect">
                      <a:avLst/>
                    </a:prstGeom>
                  </pic:spPr>
                </pic:pic>
              </a:graphicData>
            </a:graphic>
          </wp:inline>
        </w:drawing>
      </w:r>
      <w:r>
        <w:rPr>
          <w:lang w:val="en-US" w:eastAsia="fr-FR"/>
        </w:rPr>
        <w:t xml:space="preserve">      </w:t>
      </w:r>
      <w:r>
        <w:rPr/>
        <w:drawing>
          <wp:inline distT="0" distB="0" distL="0" distR="0">
            <wp:extent cx="1002030" cy="2214245"/>
            <wp:effectExtent l="0" t="0" r="0" b="0"/>
            <wp:docPr id="6" name="Image 32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2837" descr=""/>
                    <pic:cNvPicPr>
                      <a:picLocks noChangeAspect="1" noChangeArrowheads="1"/>
                    </pic:cNvPicPr>
                  </pic:nvPicPr>
                  <pic:blipFill>
                    <a:blip r:embed="rId5"/>
                    <a:stretch>
                      <a:fillRect/>
                    </a:stretch>
                  </pic:blipFill>
                  <pic:spPr bwMode="auto">
                    <a:xfrm>
                      <a:off x="0" y="0"/>
                      <a:ext cx="1002030" cy="2214245"/>
                    </a:xfrm>
                    <a:prstGeom prst="rect">
                      <a:avLst/>
                    </a:prstGeom>
                  </pic:spPr>
                </pic:pic>
              </a:graphicData>
            </a:graphic>
          </wp:inline>
        </w:drawing>
      </w:r>
    </w:p>
    <w:p>
      <w:pPr>
        <w:pStyle w:val="Caption1"/>
        <w:rPr>
          <w:lang w:val="en-US"/>
        </w:rPr>
      </w:pPr>
      <w:r>
        <w:rPr>
          <w:highlight w:val="yellow"/>
          <w:lang w:val="en-US"/>
        </w:rPr>
        <w:t xml:space="preserve">   </w:t>
      </w:r>
      <w:r>
        <w:rPr>
          <w:highlight w:val="yellow"/>
          <w:lang w:val="en-US"/>
        </w:rPr>
        <w:t xml:space="preserve">Figure </w:t>
      </w:r>
      <w:r>
        <w:rPr>
          <w:highlight w:val="yellow"/>
        </w:rPr>
        <w:fldChar w:fldCharType="begin"/>
      </w:r>
      <w:r>
        <w:rPr>
          <w:highlight w:val="yellow"/>
        </w:rPr>
        <w:instrText> SEQ Figure \* ARABIC </w:instrText>
      </w:r>
      <w:r>
        <w:rPr>
          <w:highlight w:val="yellow"/>
        </w:rPr>
        <w:fldChar w:fldCharType="separate"/>
      </w:r>
      <w:r>
        <w:rPr>
          <w:highlight w:val="yellow"/>
        </w:rPr>
        <w:t>3</w:t>
      </w:r>
      <w:r>
        <w:rPr>
          <w:highlight w:val="yellow"/>
        </w:rPr>
        <w:fldChar w:fldCharType="end"/>
      </w:r>
      <w:r>
        <w:rPr>
          <w:lang w:val="en-US"/>
        </w:rPr>
        <w:t xml:space="preserve"> Calorimeter Front End Board</w:t>
      </w:r>
    </w:p>
    <w:p>
      <w:pPr>
        <w:pStyle w:val="Normal"/>
        <w:rPr>
          <w:lang w:val="en-US"/>
        </w:rPr>
      </w:pPr>
      <w:r>
        <w:rPr/>
        <w:drawing>
          <wp:inline distT="0" distB="0" distL="0" distR="0">
            <wp:extent cx="4217035" cy="3274695"/>
            <wp:effectExtent l="0" t="0" r="0" b="0"/>
            <wp:docPr id="7" name="Image 32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2836" descr=""/>
                    <pic:cNvPicPr>
                      <a:picLocks noChangeAspect="1" noChangeArrowheads="1"/>
                    </pic:cNvPicPr>
                  </pic:nvPicPr>
                  <pic:blipFill>
                    <a:blip r:embed="rId6"/>
                    <a:stretch>
                      <a:fillRect/>
                    </a:stretch>
                  </pic:blipFill>
                  <pic:spPr bwMode="auto">
                    <a:xfrm>
                      <a:off x="0" y="0"/>
                      <a:ext cx="4217035" cy="3274695"/>
                    </a:xfrm>
                    <a:prstGeom prst="rect">
                      <a:avLst/>
                    </a:prstGeom>
                  </pic:spPr>
                </pic:pic>
              </a:graphicData>
            </a:graphic>
          </wp:inline>
        </w:drawing>
      </w:r>
    </w:p>
    <w:p>
      <w:pPr>
        <w:pStyle w:val="Normal"/>
        <w:rPr>
          <w:rFonts w:ascii="CMR12" w:hAnsi="CMR12" w:cs="CMR12"/>
          <w:b/>
          <w:b/>
          <w:sz w:val="24"/>
          <w:szCs w:val="24"/>
          <w:lang w:val="en-US"/>
        </w:rPr>
      </w:pPr>
      <w:r>
        <w:rPr>
          <w:rFonts w:cs="CMR12" w:ascii="CMR12" w:hAnsi="CMR12"/>
          <w:b/>
          <w:sz w:val="24"/>
          <w:szCs w:val="24"/>
          <w:lang w:val="en-US"/>
        </w:rPr>
      </w:r>
    </w:p>
    <w:p>
      <w:pPr>
        <w:pStyle w:val="Normal"/>
        <w:rPr>
          <w:rFonts w:ascii="CMR12" w:hAnsi="CMR12" w:cs="CMR12"/>
          <w:b/>
          <w:b/>
          <w:sz w:val="24"/>
          <w:szCs w:val="24"/>
          <w:lang w:val="en-US"/>
        </w:rPr>
      </w:pPr>
      <w:r>
        <w:rPr>
          <w:rFonts w:cs="CMR12" w:ascii="CMR12" w:hAnsi="CMR12"/>
          <w:b/>
          <w:sz w:val="24"/>
          <w:szCs w:val="24"/>
          <w:lang w:val="en-US"/>
        </w:rPr>
        <w:t>Tracker Front End electronics</w:t>
      </w:r>
    </w:p>
    <w:p>
      <w:pPr>
        <w:pStyle w:val="Normal"/>
        <w:rPr>
          <w:rFonts w:ascii="CMR12" w:hAnsi="CMR12" w:cs="CMR12"/>
          <w:sz w:val="24"/>
          <w:szCs w:val="24"/>
          <w:lang w:val="en-US"/>
        </w:rPr>
      </w:pPr>
      <w:r>
        <w:rPr>
          <w:rFonts w:cs="CMR12" w:ascii="CMR12" w:hAnsi="CMR12"/>
          <w:sz w:val="24"/>
          <w:szCs w:val="24"/>
          <w:lang w:val="en-US"/>
        </w:rPr>
        <w:t xml:space="preserve">The Tracker Front End board is based on a pair of custom ASICs called FEAST (developed by LPC Caen) which extract all the timing information from the anode and cathode signals of a Geiger cell. </w:t>
      </w:r>
    </w:p>
    <w:p>
      <w:pPr>
        <w:pStyle w:val="Normal"/>
        <w:rPr>
          <w:rFonts w:ascii="CMR12" w:hAnsi="CMR12" w:cs="CMR12"/>
          <w:sz w:val="24"/>
          <w:szCs w:val="24"/>
          <w:lang w:val="en-US"/>
        </w:rPr>
      </w:pPr>
      <w:r>
        <w:rPr>
          <w:rFonts w:cs="CMR12" w:ascii="CMR12" w:hAnsi="CMR12"/>
          <w:sz w:val="24"/>
          <w:szCs w:val="24"/>
          <w:lang w:val="en-US"/>
        </w:rPr>
        <w:t>Each Tracker FEB houses 108 channels and handles two tracker chamber rows per side, which corresponds to 36 cells in total. In fact each tracker chamber row contains 9 Geiger cells that corresponds to 3 electronic signals (or channels): one Anode signal and two Cathode signals (top and bottom).</w:t>
      </w:r>
    </w:p>
    <w:p>
      <w:pPr>
        <w:pStyle w:val="Normal"/>
        <w:rPr>
          <w:rFonts w:ascii="CMR12" w:hAnsi="CMR12" w:cs="CMR12"/>
          <w:sz w:val="24"/>
          <w:szCs w:val="24"/>
          <w:lang w:val="en-US"/>
        </w:rPr>
      </w:pPr>
      <w:r>
        <w:rPr>
          <w:rFonts w:cs="CMR12" w:ascii="CMR12" w:hAnsi="CMR12"/>
          <w:sz w:val="24"/>
          <w:szCs w:val="24"/>
          <w:lang w:val="en-US"/>
        </w:rPr>
        <w:t>The tracker FEB prepares also the seeds for the tracker Trigger primitives processed by the Trigger board, in association with the calorimeter primitives to build the Trigger decisions.</w:t>
      </w:r>
    </w:p>
    <w:p>
      <w:pPr>
        <w:pStyle w:val="Normal"/>
        <w:rPr>
          <w:rFonts w:ascii="CMR12" w:hAnsi="CMR12" w:cs="CMR12"/>
          <w:sz w:val="24"/>
          <w:szCs w:val="24"/>
          <w:lang w:val="en-US"/>
        </w:rPr>
      </w:pPr>
      <w:r>
        <w:rPr>
          <w:rFonts w:cs="CMR12" w:ascii="CMR12" w:hAnsi="CMR12"/>
          <w:sz w:val="24"/>
          <w:szCs w:val="24"/>
          <w:lang w:val="en-US"/>
        </w:rPr>
        <w:t>There are 3 tracker crates, housing 19 Front End boards each. (57 tracker FEBs in total).</w:t>
      </w:r>
    </w:p>
    <w:p>
      <w:pPr>
        <w:pStyle w:val="Normal"/>
        <w:rPr>
          <w:rFonts w:ascii="CMR12" w:hAnsi="CMR12" w:cs="CMR12"/>
          <w:sz w:val="24"/>
          <w:szCs w:val="24"/>
          <w:lang w:val="en-US"/>
        </w:rPr>
      </w:pPr>
      <w:r>
        <w:rPr/>
        <mc:AlternateContent>
          <mc:Choice Requires="wps">
            <w:drawing>
              <wp:inline distT="0" distB="0" distL="0" distR="0">
                <wp:extent cx="2595880" cy="2594610"/>
                <wp:effectExtent l="635" t="0" r="0" b="0"/>
                <wp:docPr id="8" name="IMG_tracker.JPG"/>
                <a:graphic xmlns:a="http://schemas.openxmlformats.org/drawingml/2006/main">
                  <a:graphicData uri="http://schemas.openxmlformats.org/drawingml/2006/picture">
                    <pic:pic xmlns:pic="http://schemas.openxmlformats.org/drawingml/2006/picture">
                      <pic:nvPicPr>
                        <pic:cNvPr id="0" name="IMG_tracker.JPG" descr=""/>
                        <pic:cNvPicPr/>
                      </pic:nvPicPr>
                      <pic:blipFill>
                        <a:blip r:embed="rId7"/>
                        <a:stretch/>
                      </pic:blipFill>
                      <pic:spPr>
                        <a:xfrm rot="5400000">
                          <a:off x="0" y="0"/>
                          <a:ext cx="2595240" cy="259380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G_tracker.JPG" stroked="f" style="position:absolute;margin-left:0pt;margin-top:-204.35pt;width:204.3pt;height:204.2pt;v-text-anchor:middle;rotation:90;mso-position-vertical:top" type="shapetype_75">
                <v:imagedata r:id="rId8" o:detectmouseclick="t"/>
                <w10:wrap type="none"/>
                <v:stroke color="#3465a4" joinstyle="round" endcap="flat"/>
              </v:shape>
            </w:pict>
          </mc:Fallback>
        </mc:AlternateContent>
      </w:r>
      <w:bookmarkStart w:id="0" w:name="_GoBack"/>
      <w:bookmarkEnd w:id="0"/>
    </w:p>
    <w:p>
      <w:pPr>
        <w:pStyle w:val="Normal"/>
        <w:rPr>
          <w:rFonts w:ascii="CMR12" w:hAnsi="CMR12" w:cs="CMR12"/>
          <w:b/>
          <w:b/>
          <w:sz w:val="24"/>
          <w:szCs w:val="24"/>
          <w:lang w:val="en-US"/>
        </w:rPr>
      </w:pPr>
      <w:r>
        <w:rPr>
          <w:rFonts w:cs="CMR12" w:ascii="CMR12" w:hAnsi="CMR12"/>
          <w:b/>
          <w:sz w:val="24"/>
          <w:szCs w:val="24"/>
          <w:lang w:val="en-US"/>
        </w:rPr>
      </w:r>
    </w:p>
    <w:p>
      <w:pPr>
        <w:pStyle w:val="Normal"/>
        <w:rPr>
          <w:rFonts w:ascii="CMR12" w:hAnsi="CMR12" w:cs="CMR12"/>
          <w:b/>
          <w:b/>
          <w:sz w:val="24"/>
          <w:szCs w:val="24"/>
          <w:lang w:val="en-US"/>
        </w:rPr>
      </w:pPr>
      <w:r>
        <w:rPr>
          <w:rFonts w:cs="CMR12" w:ascii="CMR12" w:hAnsi="CMR12"/>
          <w:b/>
          <w:sz w:val="24"/>
          <w:szCs w:val="24"/>
          <w:lang w:val="en-US"/>
        </w:rPr>
        <w:t>The Controller Boards</w:t>
      </w:r>
    </w:p>
    <w:p>
      <w:pPr>
        <w:pStyle w:val="Normal"/>
        <w:rPr>
          <w:rFonts w:ascii="CMR12" w:hAnsi="CMR12" w:cs="CMR12"/>
          <w:sz w:val="24"/>
          <w:szCs w:val="24"/>
          <w:lang w:val="en-US"/>
        </w:rPr>
      </w:pPr>
      <w:r>
        <w:rPr/>
        <w:drawing>
          <wp:inline distT="0" distB="0" distL="0" distR="0">
            <wp:extent cx="1010285" cy="2597150"/>
            <wp:effectExtent l="0" t="0" r="0" b="0"/>
            <wp:docPr id="9" name="Image 328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2839" descr=""/>
                    <pic:cNvPicPr>
                      <a:picLocks noChangeAspect="1" noChangeArrowheads="1"/>
                    </pic:cNvPicPr>
                  </pic:nvPicPr>
                  <pic:blipFill>
                    <a:blip r:embed="rId9"/>
                    <a:stretch>
                      <a:fillRect/>
                    </a:stretch>
                  </pic:blipFill>
                  <pic:spPr bwMode="auto">
                    <a:xfrm>
                      <a:off x="0" y="0"/>
                      <a:ext cx="1010285" cy="2597150"/>
                    </a:xfrm>
                    <a:prstGeom prst="rect">
                      <a:avLst/>
                    </a:prstGeom>
                  </pic:spPr>
                </pic:pic>
              </a:graphicData>
            </a:graphic>
          </wp:inline>
        </w:drawing>
      </w:r>
      <w:r>
        <w:rPr>
          <w:rFonts w:cs="CMR12" w:ascii="CMR12" w:hAnsi="CMR12"/>
          <w:sz w:val="24"/>
          <w:szCs w:val="24"/>
          <w:lang w:val="en-US"/>
        </w:rPr>
        <w:t xml:space="preserve"> </w:t>
      </w:r>
    </w:p>
    <w:p>
      <w:pPr>
        <w:pStyle w:val="Normal"/>
        <w:rPr>
          <w:rFonts w:ascii="CMR12" w:hAnsi="CMR12" w:cs="CMR12"/>
          <w:b/>
          <w:b/>
          <w:sz w:val="24"/>
          <w:szCs w:val="24"/>
          <w:lang w:val="en-US"/>
        </w:rPr>
      </w:pPr>
      <w:r>
        <w:rPr>
          <w:rFonts w:cs="CMR12" w:ascii="CMR12" w:hAnsi="CMR12"/>
          <w:sz w:val="24"/>
          <w:szCs w:val="24"/>
          <w:lang w:val="en-US"/>
        </w:rPr>
        <w:t xml:space="preserve"> </w:t>
      </w:r>
      <w:r>
        <w:rPr>
          <w:rFonts w:cs="CMR12" w:ascii="CMR12" w:hAnsi="CMR12"/>
          <w:sz w:val="24"/>
          <w:szCs w:val="24"/>
          <w:lang w:val="en-US"/>
        </w:rPr>
        <w:t>Each electronic crate (calorimeter or tracker) is controlled and readout through a Controller board situated at the middle of the crate</w:t>
      </w:r>
      <w:r>
        <w:rPr>
          <w:rFonts w:cs="CMR12" w:ascii="CMR12" w:hAnsi="CMR12"/>
          <w:b/>
          <w:sz w:val="24"/>
          <w:szCs w:val="24"/>
          <w:lang w:val="en-US"/>
        </w:rPr>
        <w:t>.</w:t>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sz w:val="24"/>
          <w:szCs w:val="24"/>
          <w:lang w:val="en-US"/>
        </w:rPr>
      </w:pPr>
      <w:r>
        <w:rPr>
          <w:rFonts w:cs="CMR12" w:ascii="CMR12" w:hAnsi="CMR12"/>
          <w:sz w:val="24"/>
          <w:szCs w:val="24"/>
          <w:lang w:val="en-US"/>
        </w:rPr>
        <w:t>The Controller board distributes over a custom backplane to the Front End boards:</w:t>
      </w:r>
    </w:p>
    <w:p>
      <w:pPr>
        <w:pStyle w:val="ListParagraph"/>
        <w:numPr>
          <w:ilvl w:val="0"/>
          <w:numId w:val="1"/>
        </w:numPr>
        <w:rPr>
          <w:rFonts w:ascii="CMR12" w:hAnsi="CMR12" w:cs="CMR12"/>
          <w:sz w:val="24"/>
          <w:szCs w:val="24"/>
          <w:lang w:val="en-US"/>
        </w:rPr>
      </w:pPr>
      <w:r>
        <w:rPr>
          <w:rFonts w:cs="CMR12" w:ascii="CMR12" w:hAnsi="CMR12"/>
          <w:sz w:val="24"/>
          <w:szCs w:val="24"/>
          <w:lang w:val="en-US"/>
        </w:rPr>
        <w:t>the 40MHz system clock</w:t>
      </w:r>
    </w:p>
    <w:p>
      <w:pPr>
        <w:pStyle w:val="ListParagraph"/>
        <w:numPr>
          <w:ilvl w:val="0"/>
          <w:numId w:val="1"/>
        </w:numPr>
        <w:rPr>
          <w:rFonts w:ascii="CMR12" w:hAnsi="CMR12" w:cs="CMR12"/>
          <w:sz w:val="24"/>
          <w:szCs w:val="24"/>
          <w:lang w:val="en-US"/>
        </w:rPr>
      </w:pPr>
      <w:r>
        <w:rPr>
          <w:rFonts w:cs="CMR12" w:ascii="CMR12" w:hAnsi="CMR12"/>
          <w:sz w:val="24"/>
          <w:szCs w:val="24"/>
          <w:lang w:val="en-US"/>
        </w:rPr>
        <w:t xml:space="preserve">the signals permitting to synchronize the whole crate </w:t>
      </w:r>
    </w:p>
    <w:p>
      <w:pPr>
        <w:pStyle w:val="ListParagraph"/>
        <w:numPr>
          <w:ilvl w:val="0"/>
          <w:numId w:val="1"/>
        </w:numPr>
        <w:rPr>
          <w:rFonts w:ascii="CMR12" w:hAnsi="CMR12" w:cs="CMR12"/>
          <w:sz w:val="24"/>
          <w:szCs w:val="24"/>
          <w:lang w:val="en-US"/>
        </w:rPr>
      </w:pPr>
      <w:r>
        <w:rPr>
          <w:rFonts w:cs="CMR12" w:ascii="CMR12" w:hAnsi="CMR12"/>
          <w:sz w:val="24"/>
          <w:szCs w:val="24"/>
          <w:lang w:val="en-US"/>
        </w:rPr>
        <w:t>the trigger decisions (L1 and L2) coming from the Trigger board.</w:t>
      </w:r>
    </w:p>
    <w:p>
      <w:pPr>
        <w:pStyle w:val="ListParagraph"/>
        <w:numPr>
          <w:ilvl w:val="0"/>
          <w:numId w:val="1"/>
        </w:numPr>
        <w:rPr>
          <w:rFonts w:ascii="CMR12" w:hAnsi="CMR12" w:cs="CMR12"/>
          <w:sz w:val="24"/>
          <w:szCs w:val="24"/>
          <w:lang w:val="en-US"/>
        </w:rPr>
      </w:pPr>
      <w:r>
        <w:rPr>
          <w:rFonts w:cs="CMR12" w:ascii="CMR12" w:hAnsi="CMR12"/>
          <w:sz w:val="24"/>
          <w:szCs w:val="24"/>
          <w:lang w:val="en-US"/>
        </w:rPr>
        <w:t>The serial control links ( for register configuration)</w:t>
      </w:r>
    </w:p>
    <w:p>
      <w:pPr>
        <w:pStyle w:val="ListParagraph"/>
        <w:numPr>
          <w:ilvl w:val="0"/>
          <w:numId w:val="1"/>
        </w:numPr>
        <w:rPr>
          <w:rFonts w:ascii="CMR12" w:hAnsi="CMR12" w:cs="CMR12"/>
          <w:sz w:val="24"/>
          <w:szCs w:val="24"/>
          <w:lang w:val="en-US"/>
        </w:rPr>
      </w:pPr>
      <w:r>
        <w:rPr>
          <w:rFonts w:cs="CMR12" w:ascii="CMR12" w:hAnsi="CMR12"/>
          <w:sz w:val="24"/>
          <w:szCs w:val="24"/>
          <w:lang w:val="en-US"/>
        </w:rPr>
        <w:t>The signals for FPGA firmware re-configuration.</w:t>
      </w:r>
    </w:p>
    <w:p>
      <w:pPr>
        <w:pStyle w:val="Normal"/>
        <w:rPr>
          <w:rFonts w:ascii="CMR12" w:hAnsi="CMR12" w:cs="CMR12"/>
          <w:sz w:val="24"/>
          <w:szCs w:val="24"/>
          <w:lang w:val="en-US"/>
        </w:rPr>
      </w:pPr>
      <w:r>
        <w:rPr>
          <w:rFonts w:cs="CMR12" w:ascii="CMR12" w:hAnsi="CMR12"/>
          <w:sz w:val="24"/>
          <w:szCs w:val="24"/>
          <w:lang w:val="en-US"/>
        </w:rPr>
        <w:t xml:space="preserve"> </w:t>
      </w:r>
      <w:r>
        <w:rPr>
          <w:rFonts w:cs="CMR12" w:ascii="CMR12" w:hAnsi="CMR12"/>
          <w:sz w:val="24"/>
          <w:szCs w:val="24"/>
          <w:lang w:val="en-US"/>
        </w:rPr>
        <w:t>It gathers from the Front end boards:</w:t>
      </w:r>
    </w:p>
    <w:p>
      <w:pPr>
        <w:pStyle w:val="ListParagraph"/>
        <w:numPr>
          <w:ilvl w:val="0"/>
          <w:numId w:val="1"/>
        </w:numPr>
        <w:rPr>
          <w:rFonts w:ascii="CMR12" w:hAnsi="CMR12" w:cs="CMR12"/>
          <w:sz w:val="24"/>
          <w:szCs w:val="24"/>
          <w:lang w:val="en-US"/>
        </w:rPr>
      </w:pPr>
      <w:r>
        <w:rPr>
          <w:rFonts w:cs="CMR12" w:ascii="CMR12" w:hAnsi="CMR12"/>
          <w:sz w:val="24"/>
          <w:szCs w:val="24"/>
          <w:lang w:val="en-US"/>
        </w:rPr>
        <w:t xml:space="preserve">the Trigger Primitives, aggregates them and transmits them to the Trigger board. </w:t>
      </w:r>
    </w:p>
    <w:p>
      <w:pPr>
        <w:pStyle w:val="ListParagraph"/>
        <w:numPr>
          <w:ilvl w:val="0"/>
          <w:numId w:val="1"/>
        </w:numPr>
        <w:rPr>
          <w:rFonts w:ascii="CMR12" w:hAnsi="CMR12" w:cs="CMR12"/>
          <w:sz w:val="24"/>
          <w:szCs w:val="24"/>
          <w:lang w:val="en-US"/>
        </w:rPr>
      </w:pPr>
      <w:r>
        <w:rPr>
          <w:rFonts w:cs="CMR12" w:ascii="CMR12" w:hAnsi="CMR12"/>
          <w:sz w:val="24"/>
          <w:szCs w:val="24"/>
          <w:lang w:val="en-US"/>
        </w:rPr>
        <w:t xml:space="preserve">the serial data links containing ‘physics’ or ‘control’ data,  concentrates and transmits trough a single Giga-bit UDP interface the ‘physics data’ to the Data Acquisition Sytem (DAQ) and the ‘control data’ to the Control and Monitoring System (CMS) </w:t>
      </w:r>
    </w:p>
    <w:p>
      <w:pPr>
        <w:pStyle w:val="Normal"/>
        <w:rPr>
          <w:rFonts w:ascii="CMR12" w:hAnsi="CMR12" w:cs="CMR12"/>
          <w:sz w:val="24"/>
          <w:szCs w:val="24"/>
          <w:lang w:val="en-US"/>
        </w:rPr>
      </w:pPr>
      <w:r>
        <w:rPr>
          <w:rFonts w:cs="CMR12" w:ascii="CMR12" w:hAnsi="CMR12"/>
          <w:sz w:val="24"/>
          <w:szCs w:val="24"/>
          <w:lang w:val="en-US"/>
        </w:rPr>
      </w:r>
    </w:p>
    <w:p>
      <w:pPr>
        <w:pStyle w:val="Normal"/>
        <w:rPr>
          <w:rFonts w:ascii="CMR12" w:hAnsi="CMR12" w:cs="CMR12"/>
          <w:b/>
          <w:b/>
          <w:sz w:val="24"/>
          <w:szCs w:val="24"/>
          <w:lang w:val="en-US"/>
        </w:rPr>
      </w:pPr>
      <w:r>
        <w:rPr>
          <w:rFonts w:cs="CMR12" w:ascii="CMR12" w:hAnsi="CMR12"/>
          <w:b/>
          <w:sz w:val="24"/>
          <w:szCs w:val="24"/>
          <w:lang w:val="en-US"/>
        </w:rPr>
        <w:t>The Trigger Board</w:t>
      </w:r>
    </w:p>
    <w:p>
      <w:pPr>
        <w:pStyle w:val="Normal"/>
        <w:rPr>
          <w:rFonts w:ascii="CMR12" w:hAnsi="CMR12" w:cs="CMR12"/>
          <w:sz w:val="24"/>
          <w:szCs w:val="24"/>
          <w:lang w:val="en-US"/>
        </w:rPr>
      </w:pPr>
      <w:r>
        <w:rPr/>
        <mc:AlternateContent>
          <mc:Choice Requires="wps">
            <w:drawing>
              <wp:inline distT="0" distB="0" distL="0" distR="0">
                <wp:extent cx="2891155" cy="1374140"/>
                <wp:effectExtent l="0" t="3492" r="2222" b="2223"/>
                <wp:docPr id="10" name="IMG_trigger.JPG"/>
                <a:graphic xmlns:a="http://schemas.openxmlformats.org/drawingml/2006/main">
                  <a:graphicData uri="http://schemas.openxmlformats.org/drawingml/2006/picture">
                    <pic:pic xmlns:pic="http://schemas.openxmlformats.org/drawingml/2006/picture">
                      <pic:nvPicPr>
                        <pic:cNvPr id="1" name="IMG_trigger.JPG" descr=""/>
                        <pic:cNvPicPr/>
                      </pic:nvPicPr>
                      <pic:blipFill>
                        <a:blip r:embed="rId10"/>
                        <a:stretch/>
                      </pic:blipFill>
                      <pic:spPr>
                        <a:xfrm rot="5400000">
                          <a:off x="0" y="0"/>
                          <a:ext cx="2890440" cy="1373400"/>
                        </a:xfrm>
                        <a:prstGeom prst="rect">
                          <a:avLst/>
                        </a:prstGeom>
                        <a:ln w="0">
                          <a:noFill/>
                        </a:ln>
                      </pic:spPr>
                    </pic:pic>
                  </a:graphicData>
                </a:graphic>
              </wp:inline>
            </w:drawing>
          </mc:Choice>
          <mc:Fallback>
            <w:pict>
              <v:shape id="shape_0" ID="IMG_trigger.JPG" stroked="f" style="position:absolute;margin-left:-59.7pt;margin-top:-167.95pt;width:227.55pt;height:108.1pt;v-text-anchor:middle;rotation:90;mso-position-vertical:top" type="shapetype_75">
                <v:imagedata r:id="rId11" o:detectmouseclick="t"/>
                <w10:wrap type="none"/>
                <v:stroke color="#3465a4" joinstyle="round" endcap="flat"/>
              </v:shape>
            </w:pict>
          </mc:Fallback>
        </mc:AlternateContent>
      </w:r>
      <w:r>
        <w:rPr>
          <w:rFonts w:cs="CMR12" w:ascii="CMR12" w:hAnsi="CMR12"/>
          <w:sz w:val="24"/>
          <w:szCs w:val="24"/>
          <w:lang w:val="en-US"/>
        </w:rPr>
        <w:t xml:space="preserve">  </w:t>
      </w:r>
    </w:p>
    <w:p>
      <w:pPr>
        <w:pStyle w:val="Normal"/>
        <w:rPr>
          <w:rFonts w:ascii="CMR12" w:hAnsi="CMR12" w:cs="CMR12"/>
          <w:color w:val="000000"/>
          <w:sz w:val="24"/>
          <w:szCs w:val="24"/>
        </w:rPr>
      </w:pPr>
      <w:r>
        <w:rPr>
          <w:rFonts w:cs="CMR12" w:ascii="CMR12" w:hAnsi="CMR12"/>
          <w:color w:val="000000"/>
          <w:sz w:val="24"/>
          <w:szCs w:val="24"/>
        </w:rPr>
      </w:r>
    </w:p>
    <w:p>
      <w:pPr>
        <w:pStyle w:val="Normal"/>
        <w:rPr>
          <w:rFonts w:ascii="CMR12" w:hAnsi="CMR12" w:cs="CMR12"/>
          <w:color w:val="000000"/>
          <w:sz w:val="24"/>
          <w:szCs w:val="24"/>
          <w:lang w:val="en-US"/>
        </w:rPr>
      </w:pPr>
      <w:r>
        <w:rPr>
          <w:rFonts w:cs="CMR12" w:ascii="CMR12" w:hAnsi="CMR12"/>
          <w:color w:val="000000"/>
          <w:sz w:val="24"/>
          <w:szCs w:val="24"/>
          <w:lang w:val="en-US"/>
        </w:rPr>
        <w:t>The Trigger Board is the heart of the Trigger and Timing system.  It is in charge of building the Trigger decisions and of distributing to the Controller Boards via RJ45 CAT7 cables:</w:t>
      </w:r>
    </w:p>
    <w:p>
      <w:pPr>
        <w:pStyle w:val="ListParagraph"/>
        <w:numPr>
          <w:ilvl w:val="0"/>
          <w:numId w:val="1"/>
        </w:numPr>
        <w:rPr>
          <w:rFonts w:ascii="CMR12" w:hAnsi="CMR12" w:cs="CMR12"/>
          <w:color w:val="000000"/>
          <w:sz w:val="24"/>
          <w:szCs w:val="24"/>
          <w:lang w:val="en-US"/>
        </w:rPr>
      </w:pPr>
      <w:r>
        <w:rPr>
          <w:rFonts w:cs="CMR12" w:ascii="CMR12" w:hAnsi="CMR12"/>
          <w:color w:val="000000"/>
          <w:sz w:val="24"/>
          <w:szCs w:val="24"/>
          <w:lang w:val="en-US"/>
        </w:rPr>
        <w:t>the 40 MHz system clock</w:t>
      </w:r>
    </w:p>
    <w:p>
      <w:pPr>
        <w:pStyle w:val="ListParagraph"/>
        <w:numPr>
          <w:ilvl w:val="0"/>
          <w:numId w:val="1"/>
        </w:numPr>
        <w:rPr>
          <w:rFonts w:ascii="CMR12" w:hAnsi="CMR12" w:cs="CMR12"/>
          <w:color w:val="000000"/>
          <w:sz w:val="24"/>
          <w:szCs w:val="24"/>
          <w:lang w:val="en-US"/>
        </w:rPr>
      </w:pPr>
      <w:r>
        <w:rPr>
          <w:rFonts w:cs="CMR12" w:ascii="CMR12" w:hAnsi="CMR12"/>
          <w:color w:val="000000"/>
          <w:sz w:val="24"/>
          <w:szCs w:val="24"/>
          <w:lang w:val="en-US"/>
        </w:rPr>
        <w:t xml:space="preserve">the </w:t>
      </w:r>
      <w:r>
        <w:rPr>
          <w:rFonts w:cs="CMR12" w:ascii="CMR12" w:hAnsi="CMR12"/>
          <w:sz w:val="24"/>
          <w:szCs w:val="24"/>
          <w:lang w:val="en-US"/>
        </w:rPr>
        <w:t>signals permitting to synchronize the whole system (the 6 electronics crates)</w:t>
      </w:r>
    </w:p>
    <w:p>
      <w:pPr>
        <w:pStyle w:val="ListParagraph"/>
        <w:numPr>
          <w:ilvl w:val="0"/>
          <w:numId w:val="1"/>
        </w:numPr>
        <w:rPr>
          <w:rFonts w:ascii="CMR12" w:hAnsi="CMR12" w:cs="CMR12"/>
          <w:color w:val="000000"/>
          <w:sz w:val="24"/>
          <w:szCs w:val="24"/>
          <w:lang w:val="en-US"/>
        </w:rPr>
      </w:pPr>
      <w:r>
        <w:rPr>
          <w:rFonts w:cs="CMR12" w:ascii="CMR12" w:hAnsi="CMR12"/>
          <w:sz w:val="24"/>
          <w:szCs w:val="24"/>
          <w:lang w:val="en-US"/>
        </w:rPr>
        <w:t>the trigger decisions (L1 and L2)</w:t>
      </w:r>
    </w:p>
    <w:p>
      <w:pPr>
        <w:pStyle w:val="Normal"/>
        <w:rPr>
          <w:rFonts w:ascii="CMR12" w:hAnsi="CMR12" w:cs="CMR12"/>
          <w:color w:val="000000"/>
          <w:sz w:val="24"/>
          <w:szCs w:val="24"/>
          <w:lang w:val="en-US"/>
        </w:rPr>
      </w:pPr>
      <w:r>
        <w:rPr>
          <w:rFonts w:cs="CMR12" w:ascii="CMR12" w:hAnsi="CMR12"/>
          <w:color w:val="000000"/>
          <w:sz w:val="24"/>
          <w:szCs w:val="24"/>
          <w:lang w:val="en-US"/>
        </w:rPr>
        <w:t>It gathers from the Controller boards:</w:t>
      </w:r>
    </w:p>
    <w:p>
      <w:pPr>
        <w:pStyle w:val="ListParagraph"/>
        <w:numPr>
          <w:ilvl w:val="0"/>
          <w:numId w:val="1"/>
        </w:numPr>
        <w:rPr>
          <w:rFonts w:ascii="CMR12" w:hAnsi="CMR12" w:cs="CMR12"/>
          <w:color w:val="000000"/>
          <w:sz w:val="24"/>
          <w:szCs w:val="24"/>
          <w:lang w:val="en-US"/>
        </w:rPr>
      </w:pPr>
      <w:r>
        <w:rPr>
          <w:rFonts w:cs="CMR12" w:ascii="CMR12" w:hAnsi="CMR12"/>
          <w:color w:val="000000"/>
          <w:sz w:val="24"/>
          <w:szCs w:val="24"/>
          <w:lang w:val="en-US"/>
        </w:rPr>
        <w:t>the serial links carrying the Trigger Primitives (tracker and calorimeter)</w:t>
      </w:r>
    </w:p>
    <w:p>
      <w:pPr>
        <w:pStyle w:val="Normal"/>
        <w:rPr>
          <w:rFonts w:ascii="CMR12" w:hAnsi="CMR12" w:cs="CMR12"/>
          <w:color w:val="000000"/>
          <w:sz w:val="24"/>
          <w:szCs w:val="24"/>
          <w:lang w:val="en-US"/>
        </w:rPr>
      </w:pPr>
      <w:r>
        <w:rPr>
          <w:rFonts w:cs="CMR12" w:ascii="CMR12" w:hAnsi="CMR12"/>
          <w:color w:val="000000"/>
          <w:sz w:val="24"/>
          <w:szCs w:val="24"/>
          <w:lang w:val="en-US"/>
        </w:rPr>
        <w:t>The Trigger decision strategy is based on multiplicity threshold crossings in the calorimeter associated (in space and time) with track patterns in the Tracker (simple patterns). Special patterns for the delayed alphas (coincidences between events) are also looked for.</w:t>
      </w:r>
    </w:p>
    <w:p>
      <w:pPr>
        <w:pStyle w:val="Normal"/>
        <w:rPr>
          <w:rFonts w:ascii="CMR12" w:hAnsi="CMR12" w:cs="CMR12"/>
          <w:color w:val="000000"/>
          <w:sz w:val="24"/>
          <w:szCs w:val="24"/>
          <w:lang w:val="en-US"/>
        </w:rPr>
      </w:pPr>
      <w:r>
        <w:rPr>
          <w:rFonts w:cs="CMR12" w:ascii="CMR12" w:hAnsi="CMR12"/>
          <w:color w:val="000000"/>
          <w:sz w:val="24"/>
          <w:szCs w:val="24"/>
          <w:lang w:val="en-US"/>
        </w:rPr>
        <w:t>The Trigger board has its own Giga-bit UDP interface connected to the DAQ and CMS systems. It sends to the DAQ an image of the whole detector’s Trigger Primitives at each trigger decision.</w:t>
      </w:r>
    </w:p>
    <w:p>
      <w:pPr>
        <w:pStyle w:val="Normal"/>
        <w:spacing w:lineRule="auto" w:line="240" w:before="0" w:after="0"/>
        <w:rPr>
          <w:rFonts w:ascii="CMBX12" w:hAnsi="CMBX12" w:cs="CMBX12"/>
          <w:b/>
          <w:b/>
          <w:sz w:val="24"/>
          <w:szCs w:val="24"/>
          <w:lang w:val="en-US"/>
        </w:rPr>
      </w:pPr>
      <w:r>
        <w:rPr>
          <w:rFonts w:cs="CMBX12" w:ascii="CMBX12" w:hAnsi="CMBX12"/>
          <w:b/>
          <w:sz w:val="24"/>
          <w:szCs w:val="24"/>
          <w:lang w:val="en-US"/>
        </w:rPr>
      </w:r>
    </w:p>
    <w:p>
      <w:pPr>
        <w:pStyle w:val="Normal"/>
        <w:spacing w:lineRule="auto" w:line="240" w:before="0" w:after="0"/>
        <w:rPr>
          <w:rFonts w:ascii="CMBX12" w:hAnsi="CMBX12" w:cs="CMBX12"/>
          <w:b/>
          <w:b/>
          <w:sz w:val="24"/>
          <w:szCs w:val="24"/>
          <w:lang w:val="en-US"/>
        </w:rPr>
      </w:pPr>
      <w:r>
        <w:rPr>
          <w:rFonts w:cs="CMBX12" w:ascii="CMBX12" w:hAnsi="CMBX12"/>
          <w:b/>
          <w:sz w:val="24"/>
          <w:szCs w:val="24"/>
          <w:lang w:val="en-US"/>
        </w:rPr>
        <w:t>Calibration racks</w:t>
      </w:r>
    </w:p>
    <w:p>
      <w:pPr>
        <w:pStyle w:val="Normal"/>
        <w:spacing w:lineRule="auto" w:line="240" w:before="0" w:after="0"/>
        <w:rPr>
          <w:rFonts w:ascii="CMBX12" w:hAnsi="CMBX12" w:cs="CMBX12"/>
          <w:b/>
          <w:b/>
          <w:sz w:val="24"/>
          <w:szCs w:val="24"/>
          <w:lang w:val="en-US"/>
        </w:rPr>
      </w:pPr>
      <w:r>
        <w:rPr>
          <w:rFonts w:cs="CMBX12" w:ascii="CMBX12" w:hAnsi="CMBX12"/>
          <w:b/>
          <w:sz w:val="24"/>
          <w:szCs w:val="24"/>
          <w:lang w:val="en-US"/>
        </w:rPr>
      </w:r>
    </w:p>
    <w:p>
      <w:pPr>
        <w:pStyle w:val="Normal"/>
        <w:spacing w:lineRule="auto" w:line="240" w:before="0" w:after="0"/>
        <w:rPr>
          <w:rFonts w:ascii="CMR12" w:hAnsi="CMR12" w:cs="CMR12"/>
          <w:sz w:val="24"/>
          <w:szCs w:val="24"/>
          <w:lang w:val="en-US"/>
        </w:rPr>
      </w:pPr>
      <w:r>
        <w:rPr>
          <w:rFonts w:cs="CMR12" w:ascii="CMR12" w:hAnsi="CMR12"/>
          <w:sz w:val="24"/>
          <w:szCs w:val="24"/>
          <w:lang w:val="en-US"/>
        </w:rPr>
        <w:t>Two racks are dedicated to the electronics of the demonstrator's</w:t>
      </w:r>
    </w:p>
    <w:p>
      <w:pPr>
        <w:pStyle w:val="Normal"/>
        <w:spacing w:lineRule="auto" w:line="240" w:before="0" w:after="0"/>
        <w:rPr>
          <w:rFonts w:ascii="CMR12" w:hAnsi="CMR12" w:cs="CMR12"/>
          <w:sz w:val="24"/>
          <w:szCs w:val="24"/>
          <w:lang w:val="en-US"/>
        </w:rPr>
      </w:pPr>
      <w:r>
        <w:rPr>
          <w:rFonts w:cs="CMR12" w:ascii="CMR12" w:hAnsi="CMR12"/>
          <w:sz w:val="24"/>
          <w:szCs w:val="24"/>
          <w:lang w:val="en-US"/>
        </w:rPr>
        <w:t>calibration systems (one for the deployment system and one for the light injection</w:t>
      </w:r>
    </w:p>
    <w:p>
      <w:pPr>
        <w:pStyle w:val="Normal"/>
        <w:rPr>
          <w:rFonts w:ascii="CMR12" w:hAnsi="CMR12" w:cs="CMR12"/>
          <w:sz w:val="24"/>
          <w:szCs w:val="24"/>
        </w:rPr>
      </w:pPr>
      <w:r>
        <w:rPr>
          <w:rFonts w:cs="CMR12" w:ascii="CMR12" w:hAnsi="CMR12"/>
          <w:sz w:val="24"/>
          <w:szCs w:val="24"/>
        </w:rPr>
        <w:t>system).</w:t>
      </w:r>
    </w:p>
    <w:p>
      <w:pPr>
        <w:pStyle w:val="Normal"/>
        <w:spacing w:lineRule="auto" w:line="240" w:before="0" w:after="0"/>
        <w:rPr>
          <w:rFonts w:ascii="CMR12" w:hAnsi="CMR12" w:cs="CMR12"/>
          <w:color w:val="000000"/>
          <w:sz w:val="24"/>
          <w:szCs w:val="24"/>
          <w:highlight w:val="yellow"/>
          <w:lang w:val="en-US"/>
        </w:rPr>
      </w:pPr>
      <w:r>
        <w:rPr>
          <w:rFonts w:cs="CMR12" w:ascii="CMR12" w:hAnsi="CMR12"/>
          <w:color w:val="000000"/>
          <w:sz w:val="24"/>
          <w:szCs w:val="24"/>
          <w:lang w:val="en-US"/>
        </w:rPr>
        <w:t xml:space="preserve">The electronics commissioning has begun in June 2018 at Manchester </w:t>
      </w:r>
      <w:r>
        <w:rPr>
          <w:rFonts w:cs="CMR12" w:ascii="CMR12" w:hAnsi="CMR12"/>
          <w:color w:val="000000"/>
          <w:sz w:val="24"/>
          <w:szCs w:val="24"/>
          <w:highlight w:val="yellow"/>
          <w:lang w:val="en-US"/>
        </w:rPr>
        <w:t>and is fully</w:t>
      </w:r>
    </w:p>
    <w:p>
      <w:pPr>
        <w:pStyle w:val="Normal"/>
        <w:spacing w:lineRule="auto" w:line="240" w:before="0" w:after="0"/>
        <w:rPr>
          <w:rFonts w:ascii="CMR12" w:hAnsi="CMR12" w:cs="CMR12"/>
          <w:color w:val="000000"/>
          <w:sz w:val="24"/>
          <w:szCs w:val="24"/>
          <w:lang w:val="en-US"/>
        </w:rPr>
      </w:pPr>
      <w:r>
        <w:rPr>
          <w:rFonts w:cs="CMR12" w:ascii="CMR12" w:hAnsi="CMR12"/>
          <w:color w:val="000000"/>
          <w:sz w:val="24"/>
          <w:szCs w:val="24"/>
          <w:highlight w:val="yellow"/>
          <w:lang w:val="en-US"/>
        </w:rPr>
        <w:t>completed</w:t>
      </w:r>
      <w:r>
        <w:rPr>
          <w:rFonts w:cs="CMR12" w:ascii="CMR12" w:hAnsi="CMR12"/>
          <w:color w:val="000000"/>
          <w:sz w:val="24"/>
          <w:szCs w:val="24"/>
          <w:lang w:val="en-US"/>
        </w:rPr>
        <w:t>. I participated in the timing calibration of the front-end boards, which</w:t>
      </w:r>
    </w:p>
    <w:p>
      <w:pPr>
        <w:pStyle w:val="Normal"/>
        <w:rPr>
          <w:rFonts w:ascii="CMR12" w:hAnsi="CMR12" w:cs="CMR12"/>
          <w:color w:val="000000"/>
          <w:sz w:val="24"/>
          <w:szCs w:val="24"/>
        </w:rPr>
      </w:pPr>
      <w:r>
        <w:rPr>
          <w:rFonts w:cs="CMR12" w:ascii="CMR12" w:hAnsi="CMR12"/>
          <w:color w:val="000000"/>
          <w:sz w:val="24"/>
          <w:szCs w:val="24"/>
        </w:rPr>
        <w:t xml:space="preserve">I discuss in Chapter </w:t>
      </w:r>
      <w:r>
        <w:rPr>
          <w:rFonts w:cs="CMR12" w:ascii="CMR12" w:hAnsi="CMR12"/>
          <w:color w:val="6D006D"/>
          <w:sz w:val="24"/>
          <w:szCs w:val="24"/>
        </w:rPr>
        <w:t>6</w:t>
      </w:r>
      <w:r>
        <w:rPr>
          <w:rFonts w:cs="CMR12" w:ascii="CMR12" w:hAnsi="CMR12"/>
          <w:color w:val="000000"/>
          <w:sz w:val="24"/>
          <w:szCs w:val="24"/>
        </w:rPr>
        <w:t>.</w:t>
      </w:r>
    </w:p>
    <w:p>
      <w:pPr>
        <w:pStyle w:val="Normal"/>
        <w:spacing w:before="0" w:after="160"/>
        <w:rPr>
          <w:lang w:val="en-US"/>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CMR12">
    <w:charset w:val="01"/>
    <w:family w:val="roman"/>
    <w:pitch w:val="variable"/>
  </w:font>
  <w:font w:name="CMBX12">
    <w:charset w:val="01"/>
    <w:family w:val="roman"/>
    <w:pitch w:val="variable"/>
  </w:font>
  <w:font w:name="CMR12">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CMR12" w:hAnsi="CMR12" w:cs="CMR12"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7c1c97"/>
    <w:pPr>
      <w:spacing w:lineRule="auto" w:line="240" w:beforeAutospacing="1" w:afterAutospacing="1"/>
    </w:pPr>
    <w:rPr>
      <w:rFonts w:ascii="Times New Roman" w:hAnsi="Times New Roman" w:eastAsia="" w:cs="Times New Roman" w:eastAsiaTheme="minorEastAsia"/>
      <w:sz w:val="24"/>
      <w:szCs w:val="24"/>
      <w:lang w:eastAsia="fr-FR"/>
    </w:rPr>
  </w:style>
  <w:style w:type="paragraph" w:styleId="Caption1">
    <w:name w:val="caption"/>
    <w:basedOn w:val="Normal"/>
    <w:next w:val="Normal"/>
    <w:uiPriority w:val="35"/>
    <w:unhideWhenUsed/>
    <w:qFormat/>
    <w:rsid w:val="007c1c97"/>
    <w:pPr>
      <w:spacing w:lineRule="auto" w:line="240" w:before="0" w:after="200"/>
    </w:pPr>
    <w:rPr>
      <w:i/>
      <w:iCs/>
      <w:color w:val="44546A" w:themeColor="text2"/>
      <w:sz w:val="18"/>
      <w:szCs w:val="18"/>
    </w:rPr>
  </w:style>
  <w:style w:type="paragraph" w:styleId="ListParagraph">
    <w:name w:val="List Paragraph"/>
    <w:basedOn w:val="Normal"/>
    <w:uiPriority w:val="34"/>
    <w:qFormat/>
    <w:rsid w:val="00aa58c8"/>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wmf"/><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Application>LibreOffice/7.0.2.2$Linux_X86_64 LibreOffice_project/00$Build-2</Application>
  <Pages>7</Pages>
  <Words>1014</Words>
  <Characters>5287</Characters>
  <CharactersWithSpaces>6262</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2020-10-14T15:18:00Z</dcterms:created>
  <dc:creator>rdp2i rdp2i</dc:creator>
  <dc:description/>
  <dc:language>fr-FR</dc:language>
  <cp:lastModifiedBy>rdp2i rdp2i</cp:lastModifiedBy>
  <dcterms:modified xsi:type="dcterms:W3CDTF">2020-10-15T15:47:00Z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