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TC-1.1.1.a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'Create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Vehicle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be able to create Vehicle successfully.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logged in as Admin.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Vehicle should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User will click on 'Create Vehicle' link.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If user is admin, create Vehicle page will be shown.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User will fill details of Vehicle in the form.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User should fill all the mandatory fields to complete the create Vehicle.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Submit button will be enabled only if all the mandatory fields have values.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Server side validations will be done before create.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On successful create of Vehicle, Admin will be redirected to create page again to create another Vehicle if the wants or he can go to another page.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