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Search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or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or User can search Car from this UI. If search is successful, search result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w:t>
            </w:r>
            <w:r w:rsidDel="00000000" w:rsidR="00000000" w:rsidRPr="00000000">
              <w:rPr>
                <w:rFonts w:ascii="Arial" w:cs="Arial" w:eastAsia="Arial" w:hAnsi="Arial"/>
                <w:sz w:val="20"/>
                <w:szCs w:val="20"/>
                <w:rtl w:val="0"/>
              </w:rPr>
              <w:t xml:space="preserve">enter search query in search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Search can be performed with or without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Search result will show the intended Cars details.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If user is Admin then ‘Edit’ option will also be available and if user is normal user then edit option will not be there.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if user click on record, full complete description of the Vehicle will be shown.</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Admin or user will query in search bar.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Search result will be shown, where user can filter results according to choice.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Submit button will be enabled only if all the required have values.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 Server side validations will be done before search.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 On successful search If user is Admin then ‘Edit’ option will also be available and if user is normal user then edit option will not be there.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 If user click on record then full description of the vehicle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