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caps/>
          <w:color w:val="555555"/>
          <w:spacing w:val="20"/>
          <w:sz w:val="24"/>
          <w:szCs w:val="24"/>
        </w:rPr>
        <w:t xml:space="preserve">Università degli Studi di Pavia</w:t>
      </w:r>
      <w:r>
        <w:br/>
      </w:r>
      <w:r>
        <w:rPr>
          <w:caps/>
          <w:color w:val="555555"/>
          <w:spacing w:val="20"/>
          <w:sz w:val="24"/>
          <w:szCs w:val="24"/>
        </w:rPr>
        <w:t xml:space="preserve">Corso di Ingegneria del Software</w:t>
      </w:r>
    </w:p>
    <w:p>
      <w:pPr>
        <w:spacing w:after="80" w:before="120"/>
        <w:jc w:val="center"/>
      </w:pPr>
      <w:r>
        <w:rPr>
          <w:b/>
          <w:bCs/>
          <w:color w:val="1F3864"/>
          <w:sz w:val="52"/>
          <w:szCs w:val="52"/>
        </w:rPr>
        <w:t xml:space="preserve">Documento di Progettazione</w:t>
      </w:r>
    </w:p>
    <w:p>
      <w:pPr>
        <w:spacing w:after="700"/>
        <w:jc w:val="center"/>
      </w:pPr>
      <w:r>
        <w:rPr>
          <w:color w:val="333333"/>
          <w:sz w:val="28"/>
          <w:szCs w:val="28"/>
        </w:rPr>
        <w:t xml:space="preserve">PM_Collegio v2 : Sistema di gestione prenotazioni camere</w:t>
      </w:r>
      <w:r>
        <w:br/>
      </w:r>
      <w:r>
        <w:rPr>
          <w:color w:val="333333"/>
          <w:sz w:val="28"/>
          <w:szCs w:val="28"/>
        </w:rPr>
        <w:t xml:space="preserve">per collegi universitari</w:t>
      </w:r>
      <w:r>
        <w:br/>
      </w:r>
      <w:r>
        <w:rPr>
          <w:color w:val="333333"/>
          <w:sz w:val="28"/>
          <w:szCs w:val="28"/>
        </w:rPr>
        <w:t xml:space="preserve">Diagrammi UML e diagramma ER del livello di persistenza</w:t>
      </w:r>
    </w:p>
    <w:tbl>
      <w:tblPr>
        <w:tblW w:type="dxa" w:w="710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1"/>
        <w:gridCol w:w="4261"/>
      </w:tblGrid>
      <w:tr>
        <w:tc>
          <w:tcPr>
            <w:tcW w:type="dxa" w:w="2841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Progetto</w:t>
            </w:r>
          </w:p>
        </w:tc>
        <w:tc>
          <w:tcPr>
            <w:tcW w:type="dxa" w:w="4261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PM_Collegio v2</w:t>
            </w:r>
          </w:p>
        </w:tc>
      </w:tr>
      <w:tr>
        <w:tc>
          <w:tcPr>
            <w:tcW w:type="dxa" w:w="2841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Autore</w:t>
            </w:r>
          </w:p>
        </w:tc>
        <w:tc>
          <w:tcPr>
            <w:tcW w:type="dxa" w:w="4261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Giresse Kengne</w:t>
            </w:r>
          </w:p>
        </w:tc>
      </w:tr>
      <w:tr>
        <w:tc>
          <w:tcPr>
            <w:tcW w:type="dxa" w:w="2841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Versione documento</w:t>
            </w:r>
          </w:p>
        </w:tc>
        <w:tc>
          <w:tcPr>
            <w:tcW w:type="dxa" w:w="4261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841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Data</w:t>
            </w:r>
          </w:p>
        </w:tc>
        <w:tc>
          <w:tcPr>
            <w:tcW w:type="dxa" w:w="4261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11 giugno 2026</w:t>
            </w:r>
          </w:p>
        </w:tc>
      </w:tr>
      <w:tr>
        <w:tc>
          <w:tcPr>
            <w:tcW w:type="dxa" w:w="2841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Documenti correlati</w:t>
            </w:r>
          </w:p>
        </w:tc>
        <w:tc>
          <w:tcPr>
            <w:tcW w:type="dxa" w:w="4261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SPECIFICA_REQUISITI.pdf (SRS v1.0)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134" w:right="1021" w:bottom="1134" w:left="1021" w:header="708" w:footer="708" w:gutter="0"/>
          <w:pgNumType/>
          <w:docGrid w:linePitch="360"/>
        </w:sectPr>
      </w:pPr>
    </w:p>
    <w:p>
      <w:pPr>
        <w:pBdr>
          <w:bottom w:val="single" w:color="1F3864" w:sz="18" w:space="3"/>
        </w:pBdr>
        <w:spacing w:after="200" w:before="120"/>
      </w:pPr>
      <w:r>
        <w:rPr>
          <w:b/>
          <w:bCs/>
          <w:color w:val="1F3864"/>
          <w:sz w:val="34"/>
          <w:szCs w:val="34"/>
        </w:rPr>
        <w:t xml:space="preserve">1. Introduzione</w:t>
      </w:r>
    </w:p>
    <w:p>
      <w:pPr>
        <w:spacing w:after="140" w:line="300" w:lineRule="auto"/>
        <w:jc w:val="both"/>
      </w:pPr>
      <w:r>
        <w:t xml:space="preserve">Questo documento raccoglie la </w:t>
      </w:r>
      <w:r>
        <w:rPr>
          <w:b/>
          <w:bCs/>
        </w:rPr>
        <w:t xml:space="preserve">documentazione di progettazione</w:t>
      </w:r>
      <w:r>
        <w:t xml:space="preserve"> del sistema PM_Collegio v2 : l'architettura, i diagrammi UML (casi d'uso, classi, sequenza, stati) e il diagramma ER del livello di persistenza. Completa la Specifica dei Requisiti (SRS) : dove la SRS dice </w:t>
      </w:r>
      <w:r>
        <w:rPr>
          <w:i/>
          <w:iCs/>
        </w:rPr>
        <w:t xml:space="preserve">cosa</w:t>
      </w:r>
      <w:r>
        <w:t xml:space="preserve"> il sistema deve fare, questo documento descrive </w:t>
      </w:r>
      <w:r>
        <w:rPr>
          <w:i/>
          <w:iCs/>
        </w:rPr>
        <w:t xml:space="preserve">come</w:t>
      </w:r>
      <w:r>
        <w:t xml:space="preserve"> è strutturato per farlo.</w:t>
      </w:r>
    </w:p>
    <w:p>
      <w:pPr>
        <w:spacing w:after="140" w:line="300" w:lineRule="auto"/>
        <w:jc w:val="both"/>
      </w:pPr>
      <w:r>
        <w:t xml:space="preserve">I diagrammi sono stati ricavati dal codice sorgente del progetto (package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it.collegio.*</w:t>
      </w:r>
      <w:r>
        <w:t xml:space="preserve">) e dallo schema MySQL di riferimento ; ogni identificativo di requisito citato (RF-n, RNF-n, RI-n) rimanda alla SRS versione 1.0.</w:t>
      </w:r>
    </w:p>
    <w:p>
      <w:pPr>
        <w:spacing w:after="120" w:before="320"/>
      </w:pPr>
      <w:r>
        <w:rPr>
          <w:b/>
          <w:bCs/>
          <w:color w:val="2E5395"/>
          <w:sz w:val="27"/>
          <w:szCs w:val="27"/>
        </w:rPr>
        <w:t xml:space="preserve">1.1 Contenuto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Cap. 2</w:t>
      </w:r>
      <w:r>
        <w:t xml:space="preserve"> : architettura a strati MVC + DAO + DTO (diagramma dei package).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Cap. 3</w:t>
      </w:r>
      <w:r>
        <w:t xml:space="preserve"> : diagramma dei casi d'uso, con attori AS, AC, AR, U.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Cap. 4</w:t>
      </w:r>
      <w:r>
        <w:t xml:space="preserve"> : diagrammi delle classi (modello di dominio compatto + spaccato MVC del sottosistema Fatture).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Cap. 5</w:t>
      </w:r>
      <w:r>
        <w:t xml:space="preserve"> : diagrammi di sequenza dei quattro flussi chiave (login, check-in, check-out, pagamento).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Cap. 6</w:t>
      </w:r>
      <w:r>
        <w:t xml:space="preserve"> : diagrammi di stato di Reservation, Fattura e Room.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Cap. 7</w:t>
      </w:r>
      <w:r>
        <w:t xml:space="preserve"> : progettazione della persistenza, diagramma ER e tabella delle relazioni.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Cap. 8</w:t>
      </w:r>
      <w:r>
        <w:t xml:space="preserve"> : tracciabilità dei diagrammi verso i requisiti.</w:t>
      </w:r>
    </w:p>
    <w:p>
      <w:pPr>
        <w:pageBreakBefore/>
        <w:pBdr>
          <w:bottom w:val="single" w:color="1F3864" w:sz="18" w:space="3"/>
        </w:pBdr>
        <w:spacing w:after="200" w:before="120"/>
      </w:pPr>
      <w:r>
        <w:rPr>
          <w:b/>
          <w:bCs/>
          <w:color w:val="1F3864"/>
          <w:sz w:val="34"/>
          <w:szCs w:val="34"/>
        </w:rPr>
        <w:t xml:space="preserve">2. Architettura del sistema</w:t>
      </w:r>
    </w:p>
    <w:p>
      <w:pPr>
        <w:spacing w:after="140" w:line="300" w:lineRule="auto"/>
        <w:jc w:val="both"/>
      </w:pPr>
      <w:r>
        <w:t xml:space="preserve">PM_Collegio v2 adotta un'architettura a strati ispirata al pattern </w:t>
      </w:r>
      <w:r>
        <w:rPr>
          <w:b/>
          <w:bCs/>
        </w:rPr>
        <w:t xml:space="preserve">MVC</w:t>
      </w:r>
      <w:r>
        <w:t xml:space="preserve">, integrata con </w:t>
      </w:r>
      <w:r>
        <w:rPr>
          <w:b/>
          <w:bCs/>
        </w:rPr>
        <w:t xml:space="preserve">DAO</w:t>
      </w:r>
      <w:r>
        <w:t xml:space="preserve"> per l'accesso ai dati e </w:t>
      </w:r>
      <w:r>
        <w:rPr>
          <w:b/>
          <w:bCs/>
        </w:rPr>
        <w:t xml:space="preserve">DTO</w:t>
      </w:r>
      <w:r>
        <w:t xml:space="preserve"> per il trasporto di dati joinati. La regola fondamentale (RNF-1) è la direzione delle dipendenze : una View non parla mai con il database, ma solo con un Controller ; il Controller orchestra i DAO ; solo i DAO eseguono SQL, prelevando le query da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QueryContainer</w:t>
      </w:r>
      <w:r>
        <w:t xml:space="preserve"> (RNF-2).</w:t>
      </w:r>
    </w:p>
    <w:p>
      <w:pPr>
        <w:spacing w:after="60" w:before="120"/>
        <w:jc w:val="center"/>
      </w:pPr>
      <w:r>
        <w:drawing>
          <wp:inline distT="0" distB="0" distL="0" distR="0">
            <wp:extent cx="626745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color w:val="555555"/>
          <w:sz w:val="18"/>
          <w:szCs w:val="18"/>
        </w:rPr>
        <w:t xml:space="preserve">Fig. 2.1 : diagramma dei package, con la direzione delle dipendenze tra layer.</w:t>
      </w:r>
    </w:p>
    <w:p>
      <w:pPr>
        <w:spacing w:after="140" w:line="300" w:lineRule="auto"/>
        <w:jc w:val="both"/>
      </w:pPr>
      <w:r>
        <w:t xml:space="preserve">I package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utilities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enums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config</w:t>
      </w:r>
      <w:r>
        <w:t xml:space="preserve"> sono trasversali :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QueryContainer</w:t>
      </w:r>
      <w:r>
        <w:t xml:space="preserve"> centralizza le query SQL,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SessionContext</w:t>
      </w:r>
      <w:r>
        <w:t xml:space="preserve"> mantiene lo stato della sessione corrente, i tipi enumerati codificano gli stati del dominio (camera, prenotazione, fattura, utente),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db.properties</w:t>
      </w:r>
      <w:r>
        <w:t xml:space="preserve"> esternalizza le credenziali (RNF-8, letto da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DatabaseConnection</w:t>
      </w:r>
      <w:r>
        <w:t xml:space="preserve"> all'avvio).</w:t>
      </w:r>
    </w:p>
    <w:p>
      <w:pPr>
        <w:sectPr>
          <w:footerReference w:type="default" r:id="rId8"/>
          <w:pgSz w:w="11906" w:h="16838" w:orient="portrait"/>
          <w:pgMar w:top="1134" w:right="1021" w:bottom="1134" w:left="1021" w:header="708" w:footer="708" w:gutter="0"/>
          <w:pgNumType/>
          <w:docGrid w:linePitch="360"/>
        </w:sectPr>
      </w:pPr>
    </w:p>
    <w:p>
      <w:pPr>
        <w:pBdr>
          <w:bottom w:val="single" w:color="1F3864" w:sz="18" w:space="3"/>
        </w:pBdr>
        <w:spacing w:after="200" w:before="120"/>
      </w:pPr>
      <w:r>
        <w:rPr>
          <w:b/>
          <w:bCs/>
          <w:color w:val="1F3864"/>
          <w:sz w:val="34"/>
          <w:szCs w:val="34"/>
        </w:rPr>
        <w:t xml:space="preserve">3. Diagramma dei casi d'uso</w:t>
      </w:r>
    </w:p>
    <w:p>
      <w:pPr>
        <w:spacing w:after="140" w:line="300" w:lineRule="auto"/>
        <w:jc w:val="both"/>
      </w:pPr>
      <w:r>
        <w:t xml:space="preserve">Gli attori sono i quattro ruoli del sistema : Cliente (U), Receptionist (AR), Admin committente (AC), Admin di sistema (AS). La generalizzazione AS → AC indica che l'admin di sistema può svolgere tutte le operazioni dell'admin committente, su qualunque committente.</w:t>
      </w:r>
    </w:p>
    <w:p>
      <w:pPr>
        <w:spacing w:after="60" w:before="120"/>
        <w:jc w:val="center"/>
      </w:pPr>
      <w:r>
        <w:drawing>
          <wp:inline distT="0" distB="0" distL="0" distR="0">
            <wp:extent cx="7096125" cy="628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12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color w:val="555555"/>
          <w:sz w:val="18"/>
          <w:szCs w:val="18"/>
        </w:rPr>
        <w:t xml:space="preserve">Fig. 3.1 : diagramma dei casi d'uso. Il check-in e il check-out includono l'emissione della fattura (RF-21, RF-26).</w:t>
      </w:r>
    </w:p>
    <w:p>
      <w:pPr>
        <w:sectPr>
          <w:footerReference w:type="default" r:id="rId9"/>
          <w:pgSz w:w="16838" w:h="11906" w:orient="landscape"/>
          <w:pgMar w:top="850" w:right="1021" w:bottom="850" w:left="1021" w:header="708" w:footer="708" w:gutter="0"/>
          <w:pgNumType/>
          <w:docGrid w:linePitch="360"/>
        </w:sectPr>
      </w:pPr>
    </w:p>
    <w:p>
      <w:pPr>
        <w:spacing w:after="120" w:before="320"/>
      </w:pPr>
      <w:r>
        <w:rPr>
          <w:b/>
          <w:bCs/>
          <w:color w:val="2E5395"/>
          <w:sz w:val="27"/>
          <w:szCs w:val="27"/>
        </w:rPr>
        <w:t xml:space="preserve">3.1 Matrice attori / casi d'uso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7"/>
        <w:gridCol w:w="2394"/>
        <w:gridCol w:w="700"/>
        <w:gridCol w:w="700"/>
        <w:gridCol w:w="958"/>
        <w:gridCol w:w="1915"/>
      </w:tblGrid>
      <w:tr>
        <w:trPr>
          <w:tblHeader/>
        </w:trPr>
        <w:tc>
          <w:tcPr>
            <w:tcW w:type="dxa" w:w="319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d'uso</w:t>
            </w:r>
          </w:p>
        </w:tc>
        <w:tc>
          <w:tcPr>
            <w:tcW w:type="dxa" w:w="2394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</w:t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</w:t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</w:t>
            </w:r>
          </w:p>
        </w:tc>
        <w:tc>
          <w:tcPr>
            <w:tcW w:type="dxa" w:w="958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</w:t>
            </w:r>
          </w:p>
        </w:tc>
        <w:tc>
          <w:tcPr>
            <w:tcW w:type="dxa" w:w="191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Requisiti</w:t>
            </w:r>
          </w:p>
        </w:tc>
      </w:tr>
      <w:tr>
        <w:trPr>
          <w:tblHeader w:val="false"/>
        </w:trPr>
        <w:tc>
          <w:tcPr>
            <w:tcW w:type="dxa" w:w="319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Autenticarsi (login / logout)</w:t>
            </w:r>
          </w:p>
        </w:tc>
        <w:tc>
          <w:tcPr>
            <w:tcW w:type="dxa" w:w="2394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958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191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RF-1 … RF-6</w:t>
            </w:r>
          </w:p>
        </w:tc>
      </w:tr>
      <w:tr>
        <w:trPr>
          <w:tblHeader w:val="false"/>
        </w:trPr>
        <w:tc>
          <w:tcPr>
            <w:tcW w:type="dxa" w:w="319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Registrarsi</w:t>
            </w:r>
          </w:p>
        </w:tc>
        <w:tc>
          <w:tcPr>
            <w:tcW w:type="dxa" w:w="2394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958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91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RF-7 … RF-10</w:t>
            </w:r>
          </w:p>
        </w:tc>
      </w:tr>
      <w:tr>
        <w:trPr>
          <w:tblHeader w:val="false"/>
        </w:trPr>
        <w:tc>
          <w:tcPr>
            <w:tcW w:type="dxa" w:w="319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Ripristinare password</w:t>
            </w:r>
          </w:p>
        </w:tc>
        <w:tc>
          <w:tcPr>
            <w:tcW w:type="dxa" w:w="2394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958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191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RF-11</w:t>
            </w:r>
          </w:p>
        </w:tc>
      </w:tr>
      <w:tr>
        <w:trPr>
          <w:tblHeader w:val="false"/>
        </w:trPr>
        <w:tc>
          <w:tcPr>
            <w:tcW w:type="dxa" w:w="319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Consultare prenotazioni</w:t>
            </w:r>
          </w:p>
        </w:tc>
        <w:tc>
          <w:tcPr>
            <w:tcW w:type="dxa" w:w="2394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 (proprie, sola lettura)</w:t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958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(✓ via AC)</w:t>
            </w:r>
          </w:p>
        </w:tc>
        <w:tc>
          <w:tcPr>
            <w:tcW w:type="dxa" w:w="191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RF-12 … RF-14, RF-17</w:t>
            </w:r>
          </w:p>
        </w:tc>
      </w:tr>
      <w:tr>
        <w:trPr>
          <w:tblHeader w:val="false"/>
        </w:trPr>
        <w:tc>
          <w:tcPr>
            <w:tcW w:type="dxa" w:w="319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Modificare prenotazione (con storico)</w:t>
            </w:r>
          </w:p>
        </w:tc>
        <w:tc>
          <w:tcPr>
            <w:tcW w:type="dxa" w:w="2394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958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(✓ via AC)</w:t>
            </w:r>
          </w:p>
        </w:tc>
        <w:tc>
          <w:tcPr>
            <w:tcW w:type="dxa" w:w="191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RF-15, RF-16</w:t>
            </w:r>
          </w:p>
        </w:tc>
      </w:tr>
      <w:tr>
        <w:trPr>
          <w:tblHeader w:val="false"/>
        </w:trPr>
        <w:tc>
          <w:tcPr>
            <w:tcW w:type="dxa" w:w="319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Effettuare check-in</w:t>
            </w:r>
          </w:p>
        </w:tc>
        <w:tc>
          <w:tcPr>
            <w:tcW w:type="dxa" w:w="2394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958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91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RF-19 … RF-22</w:t>
            </w:r>
          </w:p>
        </w:tc>
      </w:tr>
      <w:tr>
        <w:trPr>
          <w:tblHeader w:val="false"/>
        </w:trPr>
        <w:tc>
          <w:tcPr>
            <w:tcW w:type="dxa" w:w="319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Effettuare check-out</w:t>
            </w:r>
          </w:p>
        </w:tc>
        <w:tc>
          <w:tcPr>
            <w:tcW w:type="dxa" w:w="2394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958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91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RF-23 … RF-26</w:t>
            </w:r>
          </w:p>
        </w:tc>
      </w:tr>
      <w:tr>
        <w:trPr>
          <w:tblHeader w:val="false"/>
        </w:trPr>
        <w:tc>
          <w:tcPr>
            <w:tcW w:type="dxa" w:w="319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Gestire pagamento fattura (paga / annulla)</w:t>
            </w:r>
          </w:p>
        </w:tc>
        <w:tc>
          <w:tcPr>
            <w:tcW w:type="dxa" w:w="2394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 (proprie)</w:t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958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(✓ via AC)</w:t>
            </w:r>
          </w:p>
        </w:tc>
        <w:tc>
          <w:tcPr>
            <w:tcW w:type="dxa" w:w="191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RF-27 … RF-30</w:t>
            </w:r>
          </w:p>
        </w:tc>
      </w:tr>
      <w:tr>
        <w:trPr>
          <w:tblHeader w:val="false"/>
        </w:trPr>
        <w:tc>
          <w:tcPr>
            <w:tcW w:type="dxa" w:w="319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Gestire camere</w:t>
            </w:r>
          </w:p>
        </w:tc>
        <w:tc>
          <w:tcPr>
            <w:tcW w:type="dxa" w:w="2394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958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(✓ via AC)</w:t>
            </w:r>
          </w:p>
        </w:tc>
        <w:tc>
          <w:tcPr>
            <w:tcW w:type="dxa" w:w="191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RF-31</w:t>
            </w:r>
          </w:p>
        </w:tc>
      </w:tr>
      <w:tr>
        <w:trPr>
          <w:tblHeader w:val="false"/>
        </w:trPr>
        <w:tc>
          <w:tcPr>
            <w:tcW w:type="dxa" w:w="319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Gestire utenti</w:t>
            </w:r>
          </w:p>
        </w:tc>
        <w:tc>
          <w:tcPr>
            <w:tcW w:type="dxa" w:w="2394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958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(✓ via AC)</w:t>
            </w:r>
          </w:p>
        </w:tc>
        <w:tc>
          <w:tcPr>
            <w:tcW w:type="dxa" w:w="191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RF-32</w:t>
            </w:r>
          </w:p>
        </w:tc>
      </w:tr>
      <w:tr>
        <w:trPr>
          <w:tblHeader w:val="false"/>
        </w:trPr>
        <w:tc>
          <w:tcPr>
            <w:tcW w:type="dxa" w:w="319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Gestire committenti</w:t>
            </w:r>
          </w:p>
        </w:tc>
        <w:tc>
          <w:tcPr>
            <w:tcW w:type="dxa" w:w="2394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958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191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RF-33</w:t>
            </w:r>
          </w:p>
        </w:tc>
      </w:tr>
      <w:tr>
        <w:trPr>
          <w:tblHeader w:val="false"/>
        </w:trPr>
        <w:tc>
          <w:tcPr>
            <w:tcW w:type="dxa" w:w="319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Consultare log accessi</w:t>
            </w:r>
          </w:p>
        </w:tc>
        <w:tc>
          <w:tcPr>
            <w:tcW w:type="dxa" w:w="2394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958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191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RF-35</w:t>
            </w:r>
          </w:p>
        </w:tc>
      </w:tr>
    </w:tbl>
    <w:p>
      <w:pPr>
        <w:spacing w:after="140" w:line="300" w:lineRule="auto"/>
        <w:jc w:val="both"/>
      </w:pPr>
      <w:r>
        <w:t xml:space="preserve">La visibilità delle funzioni in interfaccia è governata da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configureButtonsForRole()</w:t>
      </w:r>
      <w:r>
        <w:t xml:space="preserve"> nella HomeView (RF-36) ; i filtri dati per il ruolo U sono applicati server-side nelle query (RNF-7).</w:t>
      </w:r>
    </w:p>
    <w:p>
      <w:pPr>
        <w:sectPr>
          <w:footerReference w:type="default" r:id="rId10"/>
          <w:pgSz w:w="11906" w:h="16838" w:orient="portrait"/>
          <w:pgMar w:top="1134" w:right="1021" w:bottom="1134" w:left="1021" w:header="708" w:footer="708" w:gutter="0"/>
          <w:pgNumType/>
          <w:docGrid w:linePitch="360"/>
        </w:sectPr>
      </w:pPr>
    </w:p>
    <w:p>
      <w:pPr>
        <w:pBdr>
          <w:bottom w:val="single" w:color="1F3864" w:sz="18" w:space="3"/>
        </w:pBdr>
        <w:spacing w:after="200" w:before="120"/>
      </w:pPr>
      <w:r>
        <w:rPr>
          <w:b/>
          <w:bCs/>
          <w:color w:val="1F3864"/>
          <w:sz w:val="34"/>
          <w:szCs w:val="34"/>
        </w:rPr>
        <w:t xml:space="preserve">4. Diagrammi delle classi</w:t>
      </w:r>
    </w:p>
    <w:p>
      <w:pPr>
        <w:spacing w:after="120" w:before="320"/>
      </w:pPr>
      <w:r>
        <w:rPr>
          <w:b/>
          <w:bCs/>
          <w:color w:val="2E5395"/>
          <w:sz w:val="27"/>
          <w:szCs w:val="27"/>
        </w:rPr>
        <w:t xml:space="preserve">4.1 Modello di dominio (vista compatta)</w:t>
      </w:r>
    </w:p>
    <w:p>
      <w:pPr>
        <w:spacing w:after="140" w:line="300" w:lineRule="auto"/>
        <w:jc w:val="both"/>
      </w:pPr>
      <w:r>
        <w:t xml:space="preserve">Le 12 classi del package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it.collegio.models</w:t>
      </w:r>
      <w:r>
        <w:t xml:space="preserve"> sono POJO in corrispondenza 1:1 con le tabelle del database (RNF-3). La vista è compatta : il dettaglio degli attributi è nel diagramma ER del Cap. 7.</w:t>
      </w:r>
    </w:p>
    <w:p>
      <w:pPr>
        <w:spacing w:after="60" w:before="120"/>
        <w:jc w:val="center"/>
      </w:pPr>
      <w:r>
        <w:drawing>
          <wp:inline distT="0" distB="0" distL="0" distR="0">
            <wp:extent cx="9391650" cy="464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color w:val="555555"/>
          <w:sz w:val="18"/>
          <w:szCs w:val="18"/>
        </w:rPr>
        <w:t xml:space="preserve">Fig. 4.1 : modello di dominio. Per leggibilità sono omesse le associazioni multi-committenza di Room, Reservation e Sessions verso Committente, Sessions verso Mansione, StoricoPrenotazioni verso User e il ruolo «gestore» di Committente verso User : sono tutte riportate nel diagramma ER (Fig. 7.1).</w:t>
      </w:r>
    </w:p>
    <w:p>
      <w:pPr>
        <w:spacing w:after="120" w:before="320"/>
      </w:pPr>
      <w:r>
        <w:rPr>
          <w:b/>
          <w:bCs/>
          <w:color w:val="2E5395"/>
          <w:sz w:val="27"/>
          <w:szCs w:val="27"/>
        </w:rPr>
        <w:t xml:space="preserve">4.2 Spaccato MVC : il sottosistema Fatture</w:t>
      </w:r>
    </w:p>
    <w:p>
      <w:pPr>
        <w:spacing w:after="140" w:line="300" w:lineRule="auto"/>
        <w:jc w:val="both"/>
      </w:pPr>
      <w:r>
        <w:t xml:space="preserve">Lo spaccato mostra come un sottosistema attraversa i layer : due view condividono lo stesso controller, che orchestra tre DAO ; i dati joinati viaggiano nel DTO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FatturaDettaglio</w:t>
      </w:r>
      <w:r>
        <w:t xml:space="preserve">, che include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reservationStato</w:t>
      </w:r>
      <w:r>
        <w:t xml:space="preserve"> per la regola di pagabilità combinata (RF-30).</w:t>
      </w:r>
    </w:p>
    <w:p>
      <w:pPr>
        <w:spacing w:after="60" w:before="120"/>
        <w:jc w:val="center"/>
      </w:pPr>
      <w:r>
        <w:drawing>
          <wp:inline distT="0" distB="0" distL="0" distR="0">
            <wp:extent cx="9391650" cy="565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color w:val="555555"/>
          <w:sz w:val="18"/>
          <w:szCs w:val="18"/>
        </w:rPr>
        <w:t xml:space="preserve">Fig. 4.2 : spaccato del sottosistema Fatture. I DAO costruiscono i DTO dai ResultSet delle query joinate ; lo stesso schema (View → Controller → DAO → DTO) si ripete in tutti i sottosistemi.</w:t>
      </w:r>
    </w:p>
    <w:p>
      <w:pPr>
        <w:pageBreakBefore/>
        <w:pBdr>
          <w:bottom w:val="single" w:color="1F3864" w:sz="18" w:space="3"/>
        </w:pBdr>
        <w:spacing w:after="200" w:before="120"/>
      </w:pPr>
      <w:r>
        <w:rPr>
          <w:b/>
          <w:bCs/>
          <w:color w:val="1F3864"/>
          <w:sz w:val="34"/>
          <w:szCs w:val="34"/>
        </w:rPr>
        <w:t xml:space="preserve">5. Diagrammi di sequenza</w:t>
      </w:r>
    </w:p>
    <w:p>
      <w:pPr>
        <w:spacing w:after="120" w:before="320"/>
      </w:pPr>
      <w:r>
        <w:rPr>
          <w:b/>
          <w:bCs/>
          <w:color w:val="2E5395"/>
          <w:sz w:val="27"/>
          <w:szCs w:val="27"/>
        </w:rPr>
        <w:t xml:space="preserve">5.1 Login (RF-1 … RF-5)</w:t>
      </w:r>
    </w:p>
    <w:p>
      <w:pPr>
        <w:spacing w:after="140" w:line="300" w:lineRule="auto"/>
        <w:jc w:val="both"/>
      </w:pPr>
      <w:r>
        <w:t xml:space="preserve">Il login è il flusso più articolato : valida le credenziali, verifica lo stato dell'account, registra l'accesso, crea la sessione con scadenza a 8 ore e popola il contesto applicativo.</w:t>
      </w:r>
    </w:p>
    <w:p>
      <w:pPr>
        <w:spacing w:after="60" w:before="120"/>
        <w:jc w:val="center"/>
      </w:pPr>
      <w:r>
        <w:drawing>
          <wp:inline distT="0" distB="0" distL="0" distR="0">
            <wp:extent cx="9391650" cy="469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color w:val="555555"/>
          <w:sz w:val="18"/>
          <w:szCs w:val="18"/>
        </w:rPr>
        <w:t xml:space="preserve">Fig. 5.1 : sequenza del login (LoginController.login).</w:t>
      </w:r>
    </w:p>
    <w:p>
      <w:pPr>
        <w:spacing w:after="120" w:before="320"/>
      </w:pPr>
      <w:r>
        <w:rPr>
          <w:b/>
          <w:bCs/>
          <w:color w:val="2E5395"/>
          <w:sz w:val="27"/>
          <w:szCs w:val="27"/>
        </w:rPr>
        <w:t xml:space="preserve">5.2 Check-in (RF-19 … RF-22)</w:t>
      </w:r>
    </w:p>
    <w:p>
      <w:pPr>
        <w:spacing w:after="140" w:line="300" w:lineRule="auto"/>
        <w:jc w:val="both"/>
      </w:pPr>
      <w:r>
        <w:t xml:space="preserve">Il check-in è una transazione a tre passi : prenotazione, fattura iniziale a importo zero, occupazione della camera. Il frame indica il confine transazionale (RNF-5).</w:t>
      </w:r>
    </w:p>
    <w:p>
      <w:pPr>
        <w:spacing w:after="60" w:before="120"/>
        <w:jc w:val="center"/>
      </w:pPr>
      <w:r>
        <w:drawing>
          <wp:inline distT="0" distB="0" distL="0" distR="0">
            <wp:extent cx="9391650" cy="464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color w:val="555555"/>
          <w:sz w:val="18"/>
          <w:szCs w:val="18"/>
        </w:rPr>
        <w:t xml:space="preserve">Fig. 5.2 : sequenza del check-in transazionale (CheckInController.prenota).</w:t>
      </w:r>
    </w:p>
    <w:p>
      <w:pPr>
        <w:spacing w:after="120" w:before="320"/>
      </w:pPr>
      <w:r>
        <w:rPr>
          <w:b/>
          <w:bCs/>
          <w:color w:val="2E5395"/>
          <w:sz w:val="27"/>
          <w:szCs w:val="27"/>
        </w:rPr>
        <w:t xml:space="preserve">5.3 Check-out (RF-23 … RF-26)</w:t>
      </w:r>
    </w:p>
    <w:p>
      <w:pPr>
        <w:spacing w:after="140" w:line="300" w:lineRule="auto"/>
        <w:jc w:val="both"/>
      </w:pPr>
      <w:r>
        <w:t xml:space="preserve">Il check-out avviene in due tempi : prima l'anteprima con il calcolo server-side dell'importo, poi la conferma che esegue la transazione di chiusura.</w:t>
      </w:r>
    </w:p>
    <w:p>
      <w:pPr>
        <w:spacing w:after="60" w:before="120"/>
        <w:jc w:val="center"/>
      </w:pPr>
      <w:r>
        <w:drawing>
          <wp:inline distT="0" distB="0" distL="0" distR="0">
            <wp:extent cx="939165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color w:val="555555"/>
          <w:sz w:val="18"/>
          <w:szCs w:val="18"/>
        </w:rPr>
        <w:t xml:space="preserve">Fig. 5.3 : sequenza del check-out (CheckOutController). L'upsert aggiorna la fattura creata al check-in, o ne crea una nuova se assente.</w:t>
      </w:r>
    </w:p>
    <w:p>
      <w:pPr>
        <w:spacing w:after="120" w:before="320"/>
      </w:pPr>
      <w:r>
        <w:rPr>
          <w:b/>
          <w:bCs/>
          <w:color w:val="2E5395"/>
          <w:sz w:val="27"/>
          <w:szCs w:val="27"/>
        </w:rPr>
        <w:t xml:space="preserve">5.4 Pagamento fattura (RF-28, RF-30)</w:t>
      </w:r>
    </w:p>
    <w:p>
      <w:pPr>
        <w:spacing w:after="60" w:before="120"/>
        <w:jc w:val="center"/>
      </w:pPr>
      <w:r>
        <w:drawing>
          <wp:inline distT="0" distB="0" distL="0" distR="0">
            <wp:extent cx="939165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color w:val="555555"/>
          <w:sz w:val="18"/>
          <w:szCs w:val="18"/>
        </w:rPr>
        <w:t xml:space="preserve">Fig. 5.4 : sequenza del pagamento simulato (FatturaController.paga).</w:t>
      </w:r>
    </w:p>
    <w:p>
      <w:pPr>
        <w:sectPr>
          <w:footerReference w:type="default" r:id="rId11"/>
          <w:pgSz w:w="16838" w:h="11906" w:orient="landscape"/>
          <w:pgMar w:top="850" w:right="1021" w:bottom="850" w:left="1021" w:header="708" w:footer="708" w:gutter="0"/>
          <w:pgNumType/>
          <w:docGrid w:linePitch="360"/>
        </w:sectPr>
      </w:pPr>
    </w:p>
    <w:p>
      <w:pPr>
        <w:pBdr>
          <w:bottom w:val="single" w:color="1F3864" w:sz="18" w:space="3"/>
        </w:pBdr>
        <w:spacing w:after="200" w:before="120"/>
      </w:pPr>
      <w:r>
        <w:rPr>
          <w:b/>
          <w:bCs/>
          <w:color w:val="1F3864"/>
          <w:sz w:val="34"/>
          <w:szCs w:val="34"/>
        </w:rPr>
        <w:t xml:space="preserve">6. Diagrammi di stato</w:t>
      </w:r>
    </w:p>
    <w:p>
      <w:pPr>
        <w:spacing w:after="140" w:line="300" w:lineRule="auto"/>
        <w:jc w:val="both"/>
      </w:pPr>
      <w:r>
        <w:t xml:space="preserve">Le tre macchine a stati del dominio corrispondono ai campi ENUM dello schema : sono gli stati che i flussi dei capitoli precedenti leggono e modificano. Nessuna transizione avviene fuori da quelle mostrate.</w:t>
      </w:r>
    </w:p>
    <w:p>
      <w:pPr>
        <w:spacing w:after="100" w:before="260"/>
      </w:pPr>
      <w:r>
        <w:rPr>
          <w:b/>
          <w:bCs/>
          <w:color w:val="1A1A1A"/>
          <w:sz w:val="23"/>
          <w:szCs w:val="23"/>
        </w:rPr>
        <w:t xml:space="preserve">6.1 Reservation (status)</w:t>
      </w:r>
    </w:p>
    <w:p>
      <w:pPr>
        <w:spacing w:after="60" w:before="120"/>
        <w:jc w:val="center"/>
      </w:pPr>
      <w:r>
        <w:drawing>
          <wp:inline distT="0" distB="0" distL="0" distR="0">
            <wp:extent cx="626745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color w:val="555555"/>
          <w:sz w:val="18"/>
          <w:szCs w:val="18"/>
        </w:rPr>
        <w:t xml:space="preserve">Fig. 6.1 : ciclo di vita di una prenotazione. La modifica date (RF-15, RF-16) non cambia lo stato : agisce solo su una prenotazione attiva e traccia in StoricoPrenotazioni.</w:t>
      </w:r>
    </w:p>
    <w:p>
      <w:pPr>
        <w:spacing w:after="100" w:before="260"/>
      </w:pPr>
      <w:r>
        <w:rPr>
          <w:b/>
          <w:bCs/>
          <w:color w:val="1A1A1A"/>
          <w:sz w:val="23"/>
          <w:szCs w:val="23"/>
        </w:rPr>
        <w:t xml:space="preserve">6.2 Fattura (stato)</w:t>
      </w:r>
    </w:p>
    <w:p>
      <w:pPr>
        <w:spacing w:after="60" w:before="120"/>
        <w:jc w:val="center"/>
      </w:pPr>
      <w:r>
        <w:drawing>
          <wp:inline distT="0" distB="0" distL="0" distR="0">
            <wp:extent cx="626745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color w:val="555555"/>
          <w:sz w:val="18"/>
          <w:szCs w:val="18"/>
        </w:rPr>
        <w:t xml:space="preserve">Fig. 6.2 : ciclo di vita di una fattura. Le transizioni paga / annulla sono soggette alla regola combinata RF-30 ; il check-out riporta la fattura a «in attesa» con l'importo ricalcolato.</w:t>
      </w:r>
    </w:p>
    <w:p>
      <w:pPr>
        <w:spacing w:after="100" w:before="260"/>
      </w:pPr>
      <w:r>
        <w:rPr>
          <w:b/>
          <w:bCs/>
          <w:color w:val="1A1A1A"/>
          <w:sz w:val="23"/>
          <w:szCs w:val="23"/>
        </w:rPr>
        <w:t xml:space="preserve">6.3 Room (stato)</w:t>
      </w:r>
    </w:p>
    <w:p>
      <w:pPr>
        <w:spacing w:after="60" w:before="120"/>
        <w:jc w:val="center"/>
      </w:pPr>
      <w:r>
        <w:drawing>
          <wp:inline distT="0" distB="0" distL="0" distR="0">
            <wp:extent cx="626745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color w:val="555555"/>
          <w:sz w:val="18"/>
          <w:szCs w:val="18"/>
        </w:rPr>
        <w:t xml:space="preserve">Fig. 6.3 : stati di una camera. Solo le camere disponibili compaiono nella lista del check-in (RF-19) ; le transizioni di manutenzione avvengono da ManageRoom (RF-31).</w:t>
      </w:r>
    </w:p>
    <w:p>
      <w:pPr>
        <w:sectPr>
          <w:footerReference w:type="default" r:id="rId12"/>
          <w:pgSz w:w="11906" w:h="16838" w:orient="portrait"/>
          <w:pgMar w:top="1134" w:right="1021" w:bottom="1134" w:left="1021" w:header="708" w:footer="708" w:gutter="0"/>
          <w:pgNumType/>
          <w:docGrid w:linePitch="360"/>
        </w:sectPr>
      </w:pPr>
    </w:p>
    <w:p>
      <w:pPr>
        <w:pBdr>
          <w:bottom w:val="single" w:color="1F3864" w:sz="18" w:space="3"/>
        </w:pBdr>
        <w:spacing w:after="200" w:before="120"/>
      </w:pPr>
      <w:r>
        <w:rPr>
          <w:b/>
          <w:bCs/>
          <w:color w:val="1F3864"/>
          <w:sz w:val="34"/>
          <w:szCs w:val="34"/>
        </w:rPr>
        <w:t xml:space="preserve">7. Progettazione della persistenza : diagramma ER</w:t>
      </w:r>
    </w:p>
    <w:p>
      <w:pPr>
        <w:spacing w:after="140" w:line="300" w:lineRule="auto"/>
        <w:jc w:val="both"/>
      </w:pPr>
      <w:r>
        <w:t xml:space="preserve">Il livello di persistenza è un database MySQL con 12 tabelle. Il diagramma riporta tutte le entità con chiavi primarie (sottolineate), chiavi esterne (corsivo, FK) e le relazioni con cardinalità. Le colonne ENUM corrispondono alle macchine a stati del Cap. 6.</w:t>
      </w:r>
    </w:p>
    <w:p>
      <w:pPr>
        <w:spacing w:after="60" w:before="120"/>
        <w:jc w:val="center"/>
      </w:pPr>
      <w:r>
        <w:drawing>
          <wp:inline distT="0" distB="0" distL="0" distR="0">
            <wp:extent cx="8020050" cy="628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40"/>
        <w:jc w:val="center"/>
      </w:pPr>
      <w:r>
        <w:rPr>
          <w:color w:val="555555"/>
          <w:sz w:val="18"/>
          <w:szCs w:val="18"/>
        </w:rPr>
        <w:t xml:space="preserve">Fig. 7.1 : diagramma ER del livello di persistenza (notazione relazionale, PK sottolineate, FK in corsivo).</w:t>
      </w:r>
    </w:p>
    <w:p>
      <w:pPr>
        <w:sectPr>
          <w:footerReference w:type="default" r:id="rId13"/>
          <w:pgSz w:w="16838" w:h="11906" w:orient="landscape"/>
          <w:pgMar w:top="850" w:right="1021" w:bottom="850" w:left="1021" w:header="708" w:footer="708" w:gutter="0"/>
          <w:pgNumType/>
          <w:docGrid w:linePitch="360"/>
        </w:sectPr>
      </w:pPr>
    </w:p>
    <w:p>
      <w:pPr>
        <w:spacing w:after="120" w:before="320"/>
      </w:pPr>
      <w:r>
        <w:rPr>
          <w:b/>
          <w:bCs/>
          <w:color w:val="2E5395"/>
          <w:sz w:val="27"/>
          <w:szCs w:val="27"/>
        </w:rPr>
        <w:t xml:space="preserve">7.1 Tabella delle relazioni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5"/>
        <w:gridCol w:w="2077"/>
        <w:gridCol w:w="5192"/>
      </w:tblGrid>
      <w:tr>
        <w:trPr>
          <w:tblHeader/>
        </w:trPr>
        <w:tc>
          <w:tcPr>
            <w:tcW w:type="dxa" w:w="259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Relazione (N : 1)</w:t>
            </w:r>
          </w:p>
        </w:tc>
        <w:tc>
          <w:tcPr>
            <w:tcW w:type="dxa" w:w="207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Chiave esterna</w:t>
            </w:r>
          </w:p>
        </w:tc>
        <w:tc>
          <w:tcPr>
            <w:tcW w:type="dxa" w:w="519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Significato</w:t>
            </w:r>
          </w:p>
        </w:tc>
      </w:tr>
      <w:tr>
        <w:trPr>
          <w:tblHeader w:val="false"/>
        </w:trPr>
        <w:tc>
          <w:tcPr>
            <w:tcW w:type="dxa" w:w="259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User → Mansione</w:t>
            </w:r>
          </w:p>
        </w:tc>
        <w:tc>
          <w:tcPr>
            <w:tcW w:type="dxa" w:w="207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User.ruolo</w:t>
            </w:r>
          </w:p>
        </w:tc>
        <w:tc>
          <w:tcPr>
            <w:tcW w:type="dxa" w:w="519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Ogni utente ha esattamente un ruolo (AS, AC, AR, U)</w:t>
            </w:r>
          </w:p>
        </w:tc>
      </w:tr>
      <w:tr>
        <w:trPr>
          <w:tblHeader w:val="false"/>
        </w:trPr>
        <w:tc>
          <w:tcPr>
            <w:tcW w:type="dxa" w:w="259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User → Committente</w:t>
            </w:r>
          </w:p>
        </w:tc>
        <w:tc>
          <w:tcPr>
            <w:tcW w:type="dxa" w:w="207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User.committente_id</w:t>
            </w:r>
          </w:p>
        </w:tc>
        <w:tc>
          <w:tcPr>
            <w:tcW w:type="dxa" w:w="519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Ogni utente appartiene a un collegio</w:t>
            </w:r>
          </w:p>
        </w:tc>
      </w:tr>
      <w:tr>
        <w:trPr>
          <w:tblHeader w:val="false"/>
        </w:trPr>
        <w:tc>
          <w:tcPr>
            <w:tcW w:type="dxa" w:w="259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User → Indirizzo</w:t>
            </w:r>
          </w:p>
        </w:tc>
        <w:tc>
          <w:tcPr>
            <w:tcW w:type="dxa" w:w="207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User.indirizzo_id</w:t>
            </w:r>
          </w:p>
        </w:tc>
        <w:tc>
          <w:tcPr>
            <w:tcW w:type="dxa" w:w="519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Indirizzo anagrafico dell'utente</w:t>
            </w:r>
          </w:p>
        </w:tc>
      </w:tr>
      <w:tr>
        <w:trPr>
          <w:tblHeader w:val="false"/>
        </w:trPr>
        <w:tc>
          <w:tcPr>
            <w:tcW w:type="dxa" w:w="259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Committente → Indirizzo</w:t>
            </w:r>
          </w:p>
        </w:tc>
        <w:tc>
          <w:tcPr>
            <w:tcW w:type="dxa" w:w="207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Committente.indirizzo_id</w:t>
            </w:r>
          </w:p>
        </w:tc>
        <w:tc>
          <w:tcPr>
            <w:tcW w:type="dxa" w:w="519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Sede del collegio</w:t>
            </w:r>
          </w:p>
        </w:tc>
      </w:tr>
      <w:tr>
        <w:trPr>
          <w:tblHeader w:val="false"/>
        </w:trPr>
        <w:tc>
          <w:tcPr>
            <w:tcW w:type="dxa" w:w="259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Committente → User</w:t>
            </w:r>
          </w:p>
        </w:tc>
        <w:tc>
          <w:tcPr>
            <w:tcW w:type="dxa" w:w="207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Committente.gestore</w:t>
            </w:r>
          </w:p>
        </w:tc>
        <w:tc>
          <w:tcPr>
            <w:tcW w:type="dxa" w:w="519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Utente gestore del collegio (relazione 1 : N invertita)</w:t>
            </w:r>
          </w:p>
        </w:tc>
      </w:tr>
      <w:tr>
        <w:trPr>
          <w:tblHeader w:val="false"/>
        </w:trPr>
        <w:tc>
          <w:tcPr>
            <w:tcW w:type="dxa" w:w="259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Room → Committente</w:t>
            </w:r>
          </w:p>
        </w:tc>
        <w:tc>
          <w:tcPr>
            <w:tcW w:type="dxa" w:w="207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Room.committente_id</w:t>
            </w:r>
          </w:p>
        </w:tc>
        <w:tc>
          <w:tcPr>
            <w:tcW w:type="dxa" w:w="519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Ogni camera appartiene a un collegio (multi-committenza, RNF-17)</w:t>
            </w:r>
          </w:p>
        </w:tc>
      </w:tr>
      <w:tr>
        <w:trPr>
          <w:tblHeader w:val="false"/>
        </w:trPr>
        <w:tc>
          <w:tcPr>
            <w:tcW w:type="dxa" w:w="259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Reservation → User / Room / Committente</w:t>
            </w:r>
          </w:p>
        </w:tc>
        <w:tc>
          <w:tcPr>
            <w:tcW w:type="dxa" w:w="207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user_id</w:t>
            </w:r>
            <w:r>
              <w:rPr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room_id</w:t>
            </w:r>
            <w:r>
              <w:rPr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committente_id</w:t>
            </w:r>
          </w:p>
        </w:tc>
        <w:tc>
          <w:tcPr>
            <w:tcW w:type="dxa" w:w="519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Una prenotazione lega un cliente a una camera di un collegio</w:t>
            </w:r>
          </w:p>
        </w:tc>
      </w:tr>
      <w:tr>
        <w:trPr>
          <w:tblHeader w:val="false"/>
        </w:trPr>
        <w:tc>
          <w:tcPr>
            <w:tcW w:type="dxa" w:w="259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Fattura → Reservation</w:t>
            </w:r>
          </w:p>
        </w:tc>
        <w:tc>
          <w:tcPr>
            <w:tcW w:type="dxa" w:w="207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Fattura.reservation_id</w:t>
            </w:r>
          </w:p>
        </w:tc>
        <w:tc>
          <w:tcPr>
            <w:tcW w:type="dxa" w:w="519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Una fattura per prenotazione (0..1, creata al check-in, aggiornata al check-out)</w:t>
            </w:r>
          </w:p>
        </w:tc>
      </w:tr>
      <w:tr>
        <w:trPr>
          <w:tblHeader w:val="false"/>
        </w:trPr>
        <w:tc>
          <w:tcPr>
            <w:tcW w:type="dxa" w:w="259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Pagamento → Fattura / MetodoPagamento</w:t>
            </w:r>
          </w:p>
        </w:tc>
        <w:tc>
          <w:tcPr>
            <w:tcW w:type="dxa" w:w="207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fattura_id</w:t>
            </w:r>
            <w:r>
              <w:rPr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metodo_id</w:t>
            </w:r>
          </w:p>
        </w:tc>
        <w:tc>
          <w:tcPr>
            <w:tcW w:type="dxa" w:w="519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Pagamento simulato con metodo scelto (RF-28)</w:t>
            </w:r>
          </w:p>
        </w:tc>
      </w:tr>
      <w:tr>
        <w:trPr>
          <w:tblHeader w:val="false"/>
        </w:trPr>
        <w:tc>
          <w:tcPr>
            <w:tcW w:type="dxa" w:w="259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AccessLog → User</w:t>
            </w:r>
          </w:p>
        </w:tc>
        <w:tc>
          <w:tcPr>
            <w:tcW w:type="dxa" w:w="207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AccessLog.user_id</w:t>
            </w:r>
          </w:p>
        </w:tc>
        <w:tc>
          <w:tcPr>
            <w:tcW w:type="dxa" w:w="519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Audit degli accessi (RF-3, RNF-11)</w:t>
            </w:r>
          </w:p>
        </w:tc>
      </w:tr>
      <w:tr>
        <w:trPr>
          <w:tblHeader w:val="false"/>
        </w:trPr>
        <w:tc>
          <w:tcPr>
            <w:tcW w:type="dxa" w:w="259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sessions → User / Committente / Mansione</w:t>
            </w:r>
          </w:p>
        </w:tc>
        <w:tc>
          <w:tcPr>
            <w:tcW w:type="dxa" w:w="207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user_id</w:t>
            </w:r>
            <w:r>
              <w:rPr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committente_id</w:t>
            </w:r>
            <w:r>
              <w:rPr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role_id</w:t>
            </w:r>
          </w:p>
        </w:tc>
        <w:tc>
          <w:tcPr>
            <w:tcW w:type="dxa" w:w="519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Sessione applicativa con token e scadenza (RF-4, RNF-9)</w:t>
            </w:r>
          </w:p>
        </w:tc>
      </w:tr>
      <w:tr>
        <w:trPr>
          <w:tblHeader w:val="false"/>
        </w:trPr>
        <w:tc>
          <w:tcPr>
            <w:tcW w:type="dxa" w:w="2595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StoricoPrenotazioni → Reservation / User</w:t>
            </w:r>
          </w:p>
        </w:tc>
        <w:tc>
          <w:tcPr>
            <w:tcW w:type="dxa" w:w="2077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reservation_id</w:t>
            </w:r>
            <w:r>
              <w:rPr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user_id</w:t>
            </w:r>
          </w:p>
        </w:tc>
        <w:tc>
          <w:tcPr>
            <w:tcW w:type="dxa" w:w="519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Audit delle modifiche alle prenotazioni (RF-16)</w:t>
            </w:r>
          </w:p>
        </w:tc>
      </w:tr>
    </w:tbl>
    <w:p>
      <w:pPr>
        <w:spacing w:after="120" w:before="320"/>
      </w:pPr>
      <w:r>
        <w:rPr>
          <w:b/>
          <w:bCs/>
          <w:color w:val="2E5395"/>
          <w:sz w:val="27"/>
          <w:szCs w:val="27"/>
        </w:rPr>
        <w:t xml:space="preserve">7.2 Note di progettazione della persistenza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Chiave applicativa</w:t>
      </w:r>
      <w:r>
        <w:t xml:space="preserve"> :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User.user_counter</w:t>
      </w:r>
      <w:r>
        <w:t xml:space="preserve"> è VARCHAR(100) nel formato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XXX{id}{NOME}</w:t>
      </w:r>
      <w:r>
        <w:t xml:space="preserve">, generata da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UserDao.generateUniqueCounter()</w:t>
      </w:r>
      <w:r>
        <w:t xml:space="preserve"> con retry su collisione (RF-10). Non è un AUTO_INCREMENT.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ENUM ↔ enums Java</w:t>
      </w:r>
      <w:r>
        <w:t xml:space="preserve"> : le colonne ENUM di MySQL (stato camera, prenotazione, fattura, utente) sono mappate 1:1 sui tipi del package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it.collegio.enums</w:t>
      </w:r>
      <w:r>
        <w:t xml:space="preserve"> ; la conversione avviene nei DAO.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Vincolo logico fattura</w:t>
      </w:r>
      <w:r>
        <w:t xml:space="preserve"> : la relazione Fattura-Reservation è 0..1 applicativa, garantita dall'upsert del check-out, non da un vincolo UNIQUE sul DB.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Multi-committenza</w:t>
      </w:r>
      <w:r>
        <w:t xml:space="preserve"> :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committente_id</w:t>
      </w:r>
      <w:r>
        <w:t xml:space="preserve"> è presente su User, Room, Reservation e sessions (RNF-17) ; l'esercizio attuale usa il solo committente 1 (VG-4).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Credenziali</w:t>
      </w:r>
      <w:r>
        <w:t xml:space="preserve"> : i parametri di connessione vivono in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db.properties</w:t>
      </w:r>
      <w:r>
        <w:t xml:space="preserve"> fuori dal repository (RNF-8) ;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DatabaseConnection</w:t>
      </w:r>
      <w:r>
        <w:t xml:space="preserve"> li carica dal classpath in un blocco statico.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 xml:space="preserve">Dati di seed</w:t>
      </w:r>
      <w:r>
        <w:t xml:space="preserve"> : lo script DDL include mansioni, indirizzi, committente 1, utenti e metodi di pagamento, presupposti dal sistema al primo avvio (P-2 … P-5 della SRS).</w:t>
      </w:r>
    </w:p>
    <w:p>
      <w:pPr>
        <w:pageBreakBefore/>
        <w:pBdr>
          <w:bottom w:val="single" w:color="1F3864" w:sz="18" w:space="3"/>
        </w:pBdr>
        <w:spacing w:after="200" w:before="120"/>
      </w:pPr>
      <w:r>
        <w:rPr>
          <w:b/>
          <w:bCs/>
          <w:color w:val="1F3864"/>
          <w:sz w:val="34"/>
          <w:szCs w:val="34"/>
        </w:rPr>
        <w:t xml:space="preserve">8. Tracciabilità dei diagrammi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3"/>
        <w:gridCol w:w="2449"/>
        <w:gridCol w:w="5362"/>
      </w:tblGrid>
      <w:tr>
        <w:trPr>
          <w:tblHeader/>
        </w:trPr>
        <w:tc>
          <w:tcPr>
            <w:tcW w:type="dxa" w:w="2053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Diagramma</w:t>
            </w:r>
          </w:p>
        </w:tc>
        <w:tc>
          <w:tcPr>
            <w:tcW w:type="dxa" w:w="2449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Copre i requisiti</w:t>
            </w:r>
          </w:p>
        </w:tc>
        <w:tc>
          <w:tcPr>
            <w:tcW w:type="dxa" w:w="536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Componenti rappresentati</w:t>
            </w:r>
          </w:p>
        </w:tc>
      </w:tr>
      <w:tr>
        <w:trPr>
          <w:tblHeader w:val="false"/>
        </w:trPr>
        <w:tc>
          <w:tcPr>
            <w:tcW w:type="dxa" w:w="2053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Fig. 2.1 Package</w:t>
            </w:r>
          </w:p>
        </w:tc>
        <w:tc>
          <w:tcPr>
            <w:tcW w:type="dxa" w:w="2449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RNF-1 … RNF-4, RNF-8</w:t>
            </w:r>
          </w:p>
        </w:tc>
        <w:tc>
          <w:tcPr>
            <w:tcW w:type="dxa" w:w="536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Struttura dei package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it.collegio.*</w:t>
            </w:r>
          </w:p>
        </w:tc>
      </w:tr>
      <w:tr>
        <w:trPr>
          <w:tblHeader w:val="false"/>
        </w:trPr>
        <w:tc>
          <w:tcPr>
            <w:tcW w:type="dxa" w:w="2053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Fig. 3.1 Casi d'uso</w:t>
            </w:r>
          </w:p>
        </w:tc>
        <w:tc>
          <w:tcPr>
            <w:tcW w:type="dxa" w:w="2449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RF-1 … RF-36 (vista d'insieme), RF-36</w:t>
            </w:r>
          </w:p>
        </w:tc>
        <w:tc>
          <w:tcPr>
            <w:tcW w:type="dxa" w:w="536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Attori e funzionalità</w:t>
            </w:r>
          </w:p>
        </w:tc>
      </w:tr>
      <w:tr>
        <w:trPr>
          <w:tblHeader w:val="false"/>
        </w:trPr>
        <w:tc>
          <w:tcPr>
            <w:tcW w:type="dxa" w:w="2053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Fig. 4.1 Classi (dominio)</w:t>
            </w:r>
          </w:p>
        </w:tc>
        <w:tc>
          <w:tcPr>
            <w:tcW w:type="dxa" w:w="2449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RNF-3</w:t>
            </w:r>
          </w:p>
        </w:tc>
        <w:tc>
          <w:tcPr>
            <w:tcW w:type="dxa" w:w="536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Package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EF1F6" w:val="clear"/>
              </w:rPr>
              <w:t xml:space="preserve">models</w:t>
            </w:r>
          </w:p>
        </w:tc>
      </w:tr>
      <w:tr>
        <w:trPr>
          <w:tblHeader w:val="false"/>
        </w:trPr>
        <w:tc>
          <w:tcPr>
            <w:tcW w:type="dxa" w:w="2053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Fig. 4.2 Classi (slice Fatture)</w:t>
            </w:r>
          </w:p>
        </w:tc>
        <w:tc>
          <w:tcPr>
            <w:tcW w:type="dxa" w:w="2449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RF-27 … RF-30, RNF-1, RNF-2</w:t>
            </w:r>
          </w:p>
        </w:tc>
        <w:tc>
          <w:tcPr>
            <w:tcW w:type="dxa" w:w="536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FatturaController, FatturaDao, PagamentoDao, MetodoPagamentoDao, FatturaDettaglio</w:t>
            </w:r>
          </w:p>
        </w:tc>
      </w:tr>
      <w:tr>
        <w:trPr>
          <w:tblHeader w:val="false"/>
        </w:trPr>
        <w:tc>
          <w:tcPr>
            <w:tcW w:type="dxa" w:w="2053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Fig. 5.1 Sequenza login</w:t>
            </w:r>
          </w:p>
        </w:tc>
        <w:tc>
          <w:tcPr>
            <w:tcW w:type="dxa" w:w="2449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RF-1 … RF-6, RNF-5</w:t>
            </w:r>
          </w:p>
        </w:tc>
        <w:tc>
          <w:tcPr>
            <w:tcW w:type="dxa" w:w="536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LoginController e DAO collegati</w:t>
            </w:r>
          </w:p>
        </w:tc>
      </w:tr>
      <w:tr>
        <w:trPr>
          <w:tblHeader w:val="false"/>
        </w:trPr>
        <w:tc>
          <w:tcPr>
            <w:tcW w:type="dxa" w:w="2053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Fig. 5.2 Sequenza check-in</w:t>
            </w:r>
          </w:p>
        </w:tc>
        <w:tc>
          <w:tcPr>
            <w:tcW w:type="dxa" w:w="2449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RF-19 … RF-22, RNF-5</w:t>
            </w:r>
          </w:p>
        </w:tc>
        <w:tc>
          <w:tcPr>
            <w:tcW w:type="dxa" w:w="536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CheckInController</w:t>
            </w:r>
          </w:p>
        </w:tc>
      </w:tr>
      <w:tr>
        <w:trPr>
          <w:tblHeader w:val="false"/>
        </w:trPr>
        <w:tc>
          <w:tcPr>
            <w:tcW w:type="dxa" w:w="2053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Fig. 5.3 Sequenza check-out</w:t>
            </w:r>
          </w:p>
        </w:tc>
        <w:tc>
          <w:tcPr>
            <w:tcW w:type="dxa" w:w="2449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RF-23 … RF-26, RNF-5, RNF-6</w:t>
            </w:r>
          </w:p>
        </w:tc>
        <w:tc>
          <w:tcPr>
            <w:tcW w:type="dxa" w:w="536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CheckOutController</w:t>
            </w:r>
          </w:p>
        </w:tc>
      </w:tr>
      <w:tr>
        <w:trPr>
          <w:tblHeader w:val="false"/>
        </w:trPr>
        <w:tc>
          <w:tcPr>
            <w:tcW w:type="dxa" w:w="2053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Fig. 5.4 Sequenza pagamento</w:t>
            </w:r>
          </w:p>
        </w:tc>
        <w:tc>
          <w:tcPr>
            <w:tcW w:type="dxa" w:w="2449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RF-28 … RF-30</w:t>
            </w:r>
          </w:p>
        </w:tc>
        <w:tc>
          <w:tcPr>
            <w:tcW w:type="dxa" w:w="536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FatturaController</w:t>
            </w:r>
          </w:p>
        </w:tc>
      </w:tr>
      <w:tr>
        <w:trPr>
          <w:tblHeader w:val="false"/>
        </w:trPr>
        <w:tc>
          <w:tcPr>
            <w:tcW w:type="dxa" w:w="2053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Fig. 6.1 … 6.3 Stati</w:t>
            </w:r>
          </w:p>
        </w:tc>
        <w:tc>
          <w:tcPr>
            <w:tcW w:type="dxa" w:w="2449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RF-21, RF-26, RF-28 … RF-31</w:t>
            </w:r>
          </w:p>
        </w:tc>
        <w:tc>
          <w:tcPr>
            <w:tcW w:type="dxa" w:w="536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4F7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Enums ReservationStatus, FatturaStatus, RoomStatus</w:t>
            </w:r>
          </w:p>
        </w:tc>
      </w:tr>
      <w:tr>
        <w:trPr>
          <w:tblHeader w:val="false"/>
        </w:trPr>
        <w:tc>
          <w:tcPr>
            <w:tcW w:type="dxa" w:w="2053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Fig. 7.1 ER</w:t>
            </w:r>
          </w:p>
        </w:tc>
        <w:tc>
          <w:tcPr>
            <w:tcW w:type="dxa" w:w="2449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RNF-17, RF-3, RF-4, RF-16</w:t>
            </w:r>
          </w:p>
        </w:tc>
        <w:tc>
          <w:tcPr>
            <w:tcW w:type="dxa" w:w="5362"/>
            <w:tcBorders>
              <w:top w:val="single" w:color="B8C2D4" w:sz="4"/>
              <w:left w:val="single" w:color="B8C2D4" w:sz="4"/>
              <w:bottom w:val="single" w:color="B8C2D4" w:sz="4"/>
              <w:right w:val="single" w:color="B8C2D4" w:sz="4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color w:val="1A1A1A"/>
                <w:sz w:val="19"/>
                <w:szCs w:val="19"/>
              </w:rPr>
              <w:t xml:space="preserve">Le 12 tabelle MySQL</w:t>
            </w:r>
          </w:p>
        </w:tc>
      </w:tr>
    </w:tbl>
    <w:p>
      <w:pPr>
        <w:spacing w:after="140" w:line="300" w:lineRule="auto"/>
        <w:jc w:val="both"/>
      </w:pPr>
      <w:r>
        <w:t xml:space="preserve">Il documento di progettazione è coerente con la SRS v1.0 e con il codice del repository </w:t>
      </w:r>
      <w:r>
        <w:rPr>
          <w:rFonts w:ascii="Consolas" w:cs="Consolas" w:eastAsia="Consolas" w:hAnsi="Consolas"/>
          <w:sz w:val="19"/>
          <w:szCs w:val="19"/>
          <w:shd w:fill="EEF1F6" w:val="clear"/>
        </w:rPr>
        <w:t xml:space="preserve">PM_Collegiov2</w:t>
      </w:r>
      <w:r>
        <w:t xml:space="preserve"> alla data dell'11 giugno 2026.</w:t>
      </w:r>
    </w:p>
    <w:sectPr>
      <w:footerReference w:type="default" r:id="rId14"/>
      <w:pgSz w:w="11906" w:h="16838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image" Target="media/014a4fe91b7d07da704b53940d1c0e62bb371981.png"/><Relationship Id="rId16" Type="http://schemas.openxmlformats.org/officeDocument/2006/relationships/image" Target="media/f4c145bec147f550fa72fead1f6ff68fdd7b1b14.png"/><Relationship Id="rId17" Type="http://schemas.openxmlformats.org/officeDocument/2006/relationships/image" Target="media/442e0137287e37dc15b962cdabbf940aeb8c734e.png"/><Relationship Id="rId18" Type="http://schemas.openxmlformats.org/officeDocument/2006/relationships/image" Target="media/b2d39bb526af4a4a39d61702bf967cf7efaa3f7b.png"/><Relationship Id="rId19" Type="http://schemas.openxmlformats.org/officeDocument/2006/relationships/image" Target="media/630574aee911f1c2022253ae5e85f908f414c1a7.png"/><Relationship Id="rId20" Type="http://schemas.openxmlformats.org/officeDocument/2006/relationships/image" Target="media/2b72f242f5934875dd88206225f7f8443e57d095.png"/><Relationship Id="rId21" Type="http://schemas.openxmlformats.org/officeDocument/2006/relationships/image" Target="media/220af484db051697f203bdcf9cb06e3254b71fa2.png"/><Relationship Id="rId22" Type="http://schemas.openxmlformats.org/officeDocument/2006/relationships/image" Target="media/a180be08309f55073feca10f0ef3a8ea5fa9df0b.png"/><Relationship Id="rId23" Type="http://schemas.openxmlformats.org/officeDocument/2006/relationships/image" Target="media/6900b7aa126ce6c9d5f16dca78bb8e3f66b1e47f.png"/><Relationship Id="rId24" Type="http://schemas.openxmlformats.org/officeDocument/2006/relationships/image" Target="media/da7940b6556cd249480b7793a4591aea8bd1e81b.png"/><Relationship Id="rId25" Type="http://schemas.openxmlformats.org/officeDocument/2006/relationships/image" Target="media/7f46f3b179ce14f6c2f8ca8b4d5a5e07b41daac0.png"/><Relationship Id="rId26" Type="http://schemas.openxmlformats.org/officeDocument/2006/relationships/image" Target="media/cd9122cd01238d217cf6f83b57342f13cfb85dfb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di Progettazione - PM_Collegio v2</dc:title>
  <dc:creator>Giresse Kengne</dc:creator>
  <cp:lastModifiedBy>Un-named</cp:lastModifiedBy>
  <cp:revision>1</cp:revision>
  <dcterms:created xsi:type="dcterms:W3CDTF">2026-06-15T13:06:17.882Z</dcterms:created>
  <dcterms:modified xsi:type="dcterms:W3CDTF">2026-06-15T13:06:17.883Z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