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ott-merger-analysis"/>
    <w:p>
      <w:pPr>
        <w:pStyle w:val="Heading1"/>
      </w:pPr>
      <w:r>
        <w:t xml:space="preserve">OTT Merger Analysis</w:t>
      </w:r>
    </w:p>
    <w:bookmarkStart w:id="21" w:name="liocinema-jotstar"/>
    <w:p>
      <w:pPr>
        <w:pStyle w:val="Heading2"/>
      </w:pPr>
      <w:r>
        <w:t xml:space="preserve">LioCinema × Jotstar</w:t>
      </w:r>
    </w:p>
    <w:bookmarkStart w:id="20" w:name="Xd7513c009093ae5d1ab9f912de8a693a8118e76"/>
    <w:p>
      <w:pPr>
        <w:pStyle w:val="Heading3"/>
      </w:pPr>
      <w:r>
        <w:t xml:space="preserve">Strategic Pre‑Merger Assessment (Jan–Nov 2024)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context-objective"/>
    <w:p>
      <w:pPr>
        <w:pStyle w:val="Heading2"/>
      </w:pPr>
      <w:r>
        <w:t xml:space="preserve">1. Business Context &amp; Objective</w:t>
      </w:r>
    </w:p>
    <w:p>
      <w:pPr>
        <w:pStyle w:val="Compact"/>
        <w:numPr>
          <w:ilvl w:val="0"/>
          <w:numId w:val="1001"/>
        </w:numPr>
      </w:pPr>
      <w:r>
        <w:t xml:space="preserve">Lio plans a strategic merger with Jotstar to combine</w:t>
      </w:r>
      <w:r>
        <w:t xml:space="preserve"> </w:t>
      </w:r>
      <w:r>
        <w:rPr>
          <w:b/>
          <w:bCs/>
        </w:rPr>
        <w:t xml:space="preserve">distribution scale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content depth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objective is to evaluate platform performance, user behavior, and monetization patterns before integration.</w:t>
      </w:r>
    </w:p>
    <w:p>
      <w:pPr>
        <w:pStyle w:val="Compact"/>
        <w:numPr>
          <w:ilvl w:val="0"/>
          <w:numId w:val="1001"/>
        </w:numPr>
      </w:pPr>
      <w:r>
        <w:t xml:space="preserve">Insights from this analysis are intended to guide post‑merger decisions around content strategy, pricing, engagement, and growth.</w:t>
      </w:r>
    </w:p>
    <w:p>
      <w:r>
        <w:pict>
          <v:rect style="width:0;height:1.5pt" o:hralign="center" o:hrstd="t" o:hr="t"/>
        </w:pict>
      </w:r>
    </w:p>
    <w:bookmarkEnd w:id="22"/>
    <w:bookmarkStart w:id="23" w:name="analytical-scope"/>
    <w:p>
      <w:pPr>
        <w:pStyle w:val="Heading2"/>
      </w:pPr>
      <w:r>
        <w:t xml:space="preserve">2. Analytical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period:</w:t>
      </w:r>
      <w:r>
        <w:t xml:space="preserve"> </w:t>
      </w:r>
      <w:r>
        <w:t xml:space="preserve">January–November 2024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LioCinema and Jotstar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focus areas:</w:t>
      </w:r>
    </w:p>
    <w:p>
      <w:pPr>
        <w:pStyle w:val="Compact"/>
        <w:numPr>
          <w:ilvl w:val="1"/>
          <w:numId w:val="1003"/>
        </w:numPr>
      </w:pPr>
      <w:r>
        <w:t xml:space="preserve">User growth and demographics</w:t>
      </w:r>
    </w:p>
    <w:p>
      <w:pPr>
        <w:pStyle w:val="Compact"/>
        <w:numPr>
          <w:ilvl w:val="1"/>
          <w:numId w:val="1003"/>
        </w:numPr>
      </w:pPr>
      <w:r>
        <w:t xml:space="preserve">Content library composition</w:t>
      </w:r>
    </w:p>
    <w:p>
      <w:pPr>
        <w:pStyle w:val="Compact"/>
        <w:numPr>
          <w:ilvl w:val="1"/>
          <w:numId w:val="1003"/>
        </w:numPr>
      </w:pPr>
      <w:r>
        <w:t xml:space="preserve">Engagement and inactivity</w:t>
      </w:r>
    </w:p>
    <w:p>
      <w:pPr>
        <w:pStyle w:val="Compact"/>
        <w:numPr>
          <w:ilvl w:val="1"/>
          <w:numId w:val="1003"/>
        </w:numPr>
      </w:pPr>
      <w:r>
        <w:t xml:space="preserve">Upgrade, downgrade, and revenue behavior</w:t>
      </w:r>
    </w:p>
    <w:p>
      <w:r>
        <w:pict>
          <v:rect style="width:0;height:1.5pt" o:hralign="center" o:hrstd="t" o:hr="t"/>
        </w:pict>
      </w:r>
    </w:p>
    <w:bookmarkEnd w:id="23"/>
    <w:bookmarkStart w:id="24" w:name="total-users-growth-trends"/>
    <w:p>
      <w:pPr>
        <w:pStyle w:val="Heading2"/>
      </w:pPr>
      <w:r>
        <w:t xml:space="preserve">3. Total Users &amp; Growth Trends</w:t>
      </w:r>
    </w:p>
    <w:p>
      <w:pPr>
        <w:pStyle w:val="Compact"/>
        <w:numPr>
          <w:ilvl w:val="0"/>
          <w:numId w:val="1004"/>
        </w:numPr>
      </w:pPr>
      <w:r>
        <w:t xml:space="preserve">The combined user base crossed</w:t>
      </w:r>
      <w:r>
        <w:t xml:space="preserve"> </w:t>
      </w:r>
      <w:r>
        <w:rPr>
          <w:b/>
          <w:bCs/>
        </w:rPr>
        <w:t xml:space="preserve">228K users</w:t>
      </w:r>
      <w:r>
        <w:t xml:space="preserve"> </w:t>
      </w:r>
      <w:r>
        <w:t xml:space="preserve">during the analysis period.</w:t>
      </w:r>
    </w:p>
    <w:p>
      <w:pPr>
        <w:pStyle w:val="Compact"/>
        <w:numPr>
          <w:ilvl w:val="0"/>
          <w:numId w:val="1004"/>
        </w:numPr>
      </w:pPr>
      <w:r>
        <w:t xml:space="preserve">Monthly user additions accelerated steadily, with the strongest growth observed in the second half of 2024.</w:t>
      </w:r>
    </w:p>
    <w:p>
      <w:pPr>
        <w:pStyle w:val="Compact"/>
        <w:numPr>
          <w:ilvl w:val="0"/>
          <w:numId w:val="1004"/>
        </w:numPr>
      </w:pPr>
      <w:r>
        <w:t xml:space="preserve">This sustained growth indicates strong market demand and validates the merger’s potential scale advantage.</w:t>
      </w:r>
    </w:p>
    <w:p>
      <w:r>
        <w:pict>
          <v:rect style="width:0;height:1.5pt" o:hralign="center" o:hrstd="t" o:hr="t"/>
        </w:pict>
      </w:r>
    </w:p>
    <w:bookmarkEnd w:id="24"/>
    <w:bookmarkStart w:id="25" w:name="content-library-comparison"/>
    <w:p>
      <w:pPr>
        <w:pStyle w:val="Heading2"/>
      </w:pPr>
      <w:r>
        <w:t xml:space="preserve">4. Content Library Comparison</w:t>
      </w:r>
    </w:p>
    <w:p>
      <w:pPr>
        <w:pStyle w:val="Compact"/>
        <w:numPr>
          <w:ilvl w:val="0"/>
          <w:numId w:val="1005"/>
        </w:numPr>
      </w:pPr>
      <w:r>
        <w:t xml:space="preserve">The combined platforms host</w:t>
      </w:r>
      <w:r>
        <w:t xml:space="preserve"> </w:t>
      </w:r>
      <w:r>
        <w:rPr>
          <w:b/>
          <w:bCs/>
        </w:rPr>
        <w:t xml:space="preserve">3,610 content titles</w:t>
      </w:r>
      <w:r>
        <w:t xml:space="preserve"> </w:t>
      </w:r>
      <w:r>
        <w:t xml:space="preserve">across movies, series, and sports.</w:t>
      </w:r>
    </w:p>
    <w:p>
      <w:pPr>
        <w:pStyle w:val="Compact"/>
        <w:numPr>
          <w:ilvl w:val="0"/>
          <w:numId w:val="1005"/>
        </w:numPr>
      </w:pPr>
      <w:r>
        <w:t xml:space="preserve">Jotstar contributes the larger share of content volume, while LioCinema strengthens distribution reach.</w:t>
      </w:r>
    </w:p>
    <w:p>
      <w:pPr>
        <w:pStyle w:val="Compact"/>
        <w:numPr>
          <w:ilvl w:val="0"/>
          <w:numId w:val="1005"/>
        </w:numPr>
      </w:pPr>
      <w:r>
        <w:t xml:space="preserve">Movies form the largest content category, followed by series and sports.</w:t>
      </w:r>
    </w:p>
    <w:p>
      <w:pPr>
        <w:pStyle w:val="Compact"/>
        <w:numPr>
          <w:ilvl w:val="0"/>
          <w:numId w:val="1005"/>
        </w:numPr>
      </w:pPr>
      <w:r>
        <w:t xml:space="preserve">A strong multilingual mix (Hindi, English, and regional languages) supports nationwide penetration.</w:t>
      </w:r>
    </w:p>
    <w:p>
      <w:r>
        <w:pict>
          <v:rect style="width:0;height:1.5pt" o:hralign="center" o:hrstd="t" o:hr="t"/>
        </w:pict>
      </w:r>
    </w:p>
    <w:bookmarkEnd w:id="25"/>
    <w:bookmarkStart w:id="26" w:name="user-demographics-overview"/>
    <w:p>
      <w:pPr>
        <w:pStyle w:val="Heading2"/>
      </w:pPr>
      <w:r>
        <w:t xml:space="preserve">5. User Demographics Overview</w:t>
      </w:r>
    </w:p>
    <w:p>
      <w:pPr>
        <w:pStyle w:val="Compact"/>
        <w:numPr>
          <w:ilvl w:val="0"/>
          <w:numId w:val="1006"/>
        </w:numPr>
      </w:pPr>
      <w:r>
        <w:t xml:space="preserve">The core audience lies in the</w:t>
      </w:r>
      <w:r>
        <w:t xml:space="preserve"> </w:t>
      </w:r>
      <w:r>
        <w:rPr>
          <w:b/>
          <w:bCs/>
        </w:rPr>
        <w:t xml:space="preserve">18–34 age group</w:t>
      </w:r>
      <w:r>
        <w:t xml:space="preserve">, indicating a young and digitally engaged user 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Tier‑2 and Tier‑3 cities</w:t>
      </w:r>
      <w:r>
        <w:t xml:space="preserve"> </w:t>
      </w:r>
      <w:r>
        <w:t xml:space="preserve">contribute the majority of users, highlighting OTT adoption beyond metro regions.</w:t>
      </w:r>
    </w:p>
    <w:p>
      <w:pPr>
        <w:pStyle w:val="Compact"/>
        <w:numPr>
          <w:ilvl w:val="0"/>
          <w:numId w:val="1006"/>
        </w:numPr>
      </w:pPr>
      <w:r>
        <w:t xml:space="preserve">Most users enter through free plans, creating a large top‑of‑funnel conversion opportunity.</w:t>
      </w:r>
    </w:p>
    <w:p>
      <w:r>
        <w:pict>
          <v:rect style="width:0;height:1.5pt" o:hralign="center" o:hrstd="t" o:hr="t"/>
        </w:pict>
      </w:r>
    </w:p>
    <w:bookmarkEnd w:id="26"/>
    <w:bookmarkStart w:id="27" w:name="active-vs-inactive-users"/>
    <w:p>
      <w:pPr>
        <w:pStyle w:val="Heading2"/>
      </w:pPr>
      <w:r>
        <w:t xml:space="preserve">6. Active vs Inactive Users</w:t>
      </w:r>
    </w:p>
    <w:p>
      <w:pPr>
        <w:pStyle w:val="Compact"/>
        <w:numPr>
          <w:ilvl w:val="0"/>
          <w:numId w:val="1007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26% of users are inactive</w:t>
      </w:r>
      <w:r>
        <w:t xml:space="preserve">, representing a significant retention risk.</w:t>
      </w:r>
    </w:p>
    <w:p>
      <w:pPr>
        <w:pStyle w:val="Compact"/>
        <w:numPr>
          <w:ilvl w:val="0"/>
          <w:numId w:val="1007"/>
        </w:numPr>
      </w:pPr>
      <w:r>
        <w:t xml:space="preserve">LioCinema shows a higher absolute number of inactive users compared to Jotstar.</w:t>
      </w:r>
    </w:p>
    <w:p>
      <w:pPr>
        <w:pStyle w:val="Compact"/>
        <w:numPr>
          <w:ilvl w:val="0"/>
          <w:numId w:val="1007"/>
        </w:numPr>
      </w:pPr>
      <w:r>
        <w:t xml:space="preserve">This suggests that acquisition success is not fully translating into sustained engagement.</w:t>
      </w:r>
    </w:p>
    <w:p>
      <w:r>
        <w:pict>
          <v:rect style="width:0;height:1.5pt" o:hralign="center" o:hrstd="t" o:hr="t"/>
        </w:pict>
      </w:r>
    </w:p>
    <w:bookmarkEnd w:id="27"/>
    <w:bookmarkStart w:id="28" w:name="watch-time-analysis"/>
    <w:p>
      <w:pPr>
        <w:pStyle w:val="Heading2"/>
      </w:pPr>
      <w:r>
        <w:t xml:space="preserve">7. Watch Time Analysis</w:t>
      </w:r>
    </w:p>
    <w:p>
      <w:pPr>
        <w:pStyle w:val="Compact"/>
        <w:numPr>
          <w:ilvl w:val="0"/>
          <w:numId w:val="1008"/>
        </w:numPr>
      </w:pPr>
      <w:r>
        <w:t xml:space="preserve">Total watch time across platforms reached</w:t>
      </w:r>
      <w:r>
        <w:t xml:space="preserve"> </w:t>
      </w:r>
      <w:r>
        <w:rPr>
          <w:b/>
          <w:bCs/>
        </w:rPr>
        <w:t xml:space="preserve">1.6 billion minutes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Average watch time per user is approximately</w:t>
      </w:r>
      <w:r>
        <w:t xml:space="preserve"> </w:t>
      </w:r>
      <w:r>
        <w:rPr>
          <w:b/>
          <w:bCs/>
        </w:rPr>
        <w:t xml:space="preserve">2,840 minutes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Mobile devices dominate content consumption, followed by TV and laptop.</w:t>
      </w:r>
    </w:p>
    <w:p>
      <w:pPr>
        <w:pStyle w:val="Compact"/>
        <w:numPr>
          <w:ilvl w:val="0"/>
          <w:numId w:val="1008"/>
        </w:numPr>
      </w:pPr>
      <w:r>
        <w:t xml:space="preserve">Users in Tier‑1 cities demonstrate substantially higher engagement than Tier‑2 and Tier‑3 users.</w:t>
      </w:r>
    </w:p>
    <w:p>
      <w:r>
        <w:pict>
          <v:rect style="width:0;height:1.5pt" o:hralign="center" o:hrstd="t" o:hr="t"/>
        </w:pict>
      </w:r>
    </w:p>
    <w:bookmarkEnd w:id="28"/>
    <w:bookmarkStart w:id="29" w:name="inactivity-engagement-correlation"/>
    <w:p>
      <w:pPr>
        <w:pStyle w:val="Heading2"/>
      </w:pPr>
      <w:r>
        <w:t xml:space="preserve">8. Inactivity &amp; Engagement Correlation</w:t>
      </w:r>
    </w:p>
    <w:p>
      <w:pPr>
        <w:pStyle w:val="Compact"/>
        <w:numPr>
          <w:ilvl w:val="0"/>
          <w:numId w:val="1009"/>
        </w:numPr>
      </w:pPr>
      <w:r>
        <w:t xml:space="preserve">Inactive users consistently exhibit very low total watch time.</w:t>
      </w:r>
    </w:p>
    <w:p>
      <w:pPr>
        <w:pStyle w:val="Compact"/>
        <w:numPr>
          <w:ilvl w:val="0"/>
          <w:numId w:val="1009"/>
        </w:numPr>
      </w:pPr>
      <w:r>
        <w:t xml:space="preserve">Declining engagement emerges as a clear leading indicator of inactivity and potential churn.</w:t>
      </w:r>
    </w:p>
    <w:p>
      <w:pPr>
        <w:pStyle w:val="Compact"/>
        <w:numPr>
          <w:ilvl w:val="0"/>
          <w:numId w:val="1009"/>
        </w:numPr>
      </w:pPr>
      <w:r>
        <w:t xml:space="preserve">Watch‑time‑based monitoring can enable early retention interventions post‑merger.</w:t>
      </w:r>
    </w:p>
    <w:p>
      <w:r>
        <w:pict>
          <v:rect style="width:0;height:1.5pt" o:hralign="center" o:hrstd="t" o:hr="t"/>
        </w:pict>
      </w:r>
    </w:p>
    <w:bookmarkEnd w:id="29"/>
    <w:bookmarkStart w:id="30" w:name="downgrade-trends"/>
    <w:p>
      <w:pPr>
        <w:pStyle w:val="Heading2"/>
      </w:pPr>
      <w:r>
        <w:t xml:space="preserve">9. Downgrade Trends</w:t>
      </w:r>
    </w:p>
    <w:p>
      <w:pPr>
        <w:pStyle w:val="Compact"/>
        <w:numPr>
          <w:ilvl w:val="0"/>
          <w:numId w:val="1010"/>
        </w:numPr>
      </w:pPr>
      <w:r>
        <w:t xml:space="preserve">A total of</w:t>
      </w:r>
      <w:r>
        <w:t xml:space="preserve"> </w:t>
      </w:r>
      <w:r>
        <w:rPr>
          <w:b/>
          <w:bCs/>
        </w:rPr>
        <w:t xml:space="preserve">26K users downgraded</w:t>
      </w:r>
      <w:r>
        <w:t xml:space="preserve"> </w:t>
      </w:r>
      <w:r>
        <w:t xml:space="preserve">their subscription plans during the period.</w:t>
      </w:r>
    </w:p>
    <w:p>
      <w:pPr>
        <w:pStyle w:val="Compact"/>
        <w:numPr>
          <w:ilvl w:val="0"/>
          <w:numId w:val="1010"/>
        </w:numPr>
      </w:pPr>
      <w:r>
        <w:t xml:space="preserve">Downgrades are heavily skewed toward LioCinema.</w:t>
      </w:r>
    </w:p>
    <w:p>
      <w:pPr>
        <w:pStyle w:val="Compact"/>
        <w:numPr>
          <w:ilvl w:val="0"/>
          <w:numId w:val="1010"/>
        </w:numPr>
      </w:pPr>
      <w:r>
        <w:t xml:space="preserve">Most downgrade transitions end at the free plan, indicating perceived value or pricing gaps.</w:t>
      </w:r>
    </w:p>
    <w:p>
      <w:r>
        <w:pict>
          <v:rect style="width:0;height:1.5pt" o:hralign="center" o:hrstd="t" o:hr="t"/>
        </w:pict>
      </w:r>
    </w:p>
    <w:bookmarkEnd w:id="30"/>
    <w:bookmarkStart w:id="31" w:name="upgrade-patterns"/>
    <w:p>
      <w:pPr>
        <w:pStyle w:val="Heading2"/>
      </w:pPr>
      <w:r>
        <w:t xml:space="preserve">10. Upgrade Patterns</w:t>
      </w:r>
    </w:p>
    <w:p>
      <w:pPr>
        <w:pStyle w:val="Compact"/>
        <w:numPr>
          <w:ilvl w:val="0"/>
          <w:numId w:val="1011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6K users upgraded</w:t>
      </w:r>
      <w:r>
        <w:t xml:space="preserve"> </w:t>
      </w:r>
      <w:r>
        <w:t xml:space="preserve">their subscription plans, significantly lower than downgrade volume.</w:t>
      </w:r>
    </w:p>
    <w:p>
      <w:pPr>
        <w:pStyle w:val="Compact"/>
        <w:numPr>
          <w:ilvl w:val="0"/>
          <w:numId w:val="1011"/>
        </w:numPr>
      </w:pPr>
      <w:r>
        <w:t xml:space="preserve">The most common upgrade paths are from Free to Premium and Free to Basic.</w:t>
      </w:r>
    </w:p>
    <w:p>
      <w:pPr>
        <w:pStyle w:val="Compact"/>
        <w:numPr>
          <w:ilvl w:val="0"/>
          <w:numId w:val="1011"/>
        </w:numPr>
      </w:pPr>
      <w:r>
        <w:t xml:space="preserve">VIP upgrades remain limited, suggesting a niche premium segment.</w:t>
      </w:r>
    </w:p>
    <w:p>
      <w:r>
        <w:pict>
          <v:rect style="width:0;height:1.5pt" o:hralign="center" o:hrstd="t" o:hr="t"/>
        </w:pict>
      </w:r>
    </w:p>
    <w:bookmarkEnd w:id="31"/>
    <w:bookmarkStart w:id="32" w:name="paid-users-distribution"/>
    <w:p>
      <w:pPr>
        <w:pStyle w:val="Heading2"/>
      </w:pPr>
      <w:r>
        <w:t xml:space="preserve">11. Paid Users Distribution</w:t>
      </w:r>
    </w:p>
    <w:p>
      <w:pPr>
        <w:pStyle w:val="Compact"/>
        <w:numPr>
          <w:ilvl w:val="0"/>
          <w:numId w:val="1012"/>
        </w:numPr>
      </w:pPr>
      <w:r>
        <w:t xml:space="preserve">Premium and VIP users are concentrated in</w:t>
      </w:r>
      <w:r>
        <w:t xml:space="preserve"> </w:t>
      </w:r>
      <w:r>
        <w:rPr>
          <w:b/>
          <w:bCs/>
        </w:rPr>
        <w:t xml:space="preserve">Tier‑1 cities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Tier‑3 cities remain predominantly free‑plan driven.</w:t>
      </w:r>
    </w:p>
    <w:p>
      <w:pPr>
        <w:pStyle w:val="Compact"/>
        <w:numPr>
          <w:ilvl w:val="0"/>
          <w:numId w:val="1012"/>
        </w:numPr>
      </w:pPr>
      <w:r>
        <w:t xml:space="preserve">This uneven distribution highlights the need for tier‑specific pricing and bundling strategies.</w:t>
      </w:r>
    </w:p>
    <w:p>
      <w:r>
        <w:pict>
          <v:rect style="width:0;height:1.5pt" o:hralign="center" o:hrstd="t" o:hr="t"/>
        </w:pict>
      </w:r>
    </w:p>
    <w:bookmarkEnd w:id="32"/>
    <w:bookmarkStart w:id="33" w:name="revenue-analysis"/>
    <w:p>
      <w:pPr>
        <w:pStyle w:val="Heading2"/>
      </w:pPr>
      <w:r>
        <w:t xml:space="preserve">12. Revenue Analysis</w:t>
      </w:r>
    </w:p>
    <w:p>
      <w:pPr>
        <w:pStyle w:val="Compact"/>
        <w:numPr>
          <w:ilvl w:val="0"/>
          <w:numId w:val="1013"/>
        </w:numPr>
      </w:pPr>
      <w:r>
        <w:t xml:space="preserve">Revenue from old plans totals approximately</w:t>
      </w:r>
      <w:r>
        <w:t xml:space="preserve"> </w:t>
      </w:r>
      <w:r>
        <w:rPr>
          <w:b/>
          <w:bCs/>
        </w:rPr>
        <w:t xml:space="preserve">₹12M</w:t>
      </w:r>
      <w:r>
        <w:t xml:space="preserve">, while new plan revenue stands at</w:t>
      </w:r>
      <w:r>
        <w:t xml:space="preserve"> </w:t>
      </w:r>
      <w:r>
        <w:rPr>
          <w:b/>
          <w:bCs/>
        </w:rPr>
        <w:t xml:space="preserve">₹2M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High downgrade volume is eroding revenue faster than upgrades can compensate.</w:t>
      </w:r>
    </w:p>
    <w:p>
      <w:pPr>
        <w:pStyle w:val="Compact"/>
        <w:numPr>
          <w:ilvl w:val="0"/>
          <w:numId w:val="1013"/>
        </w:numPr>
      </w:pPr>
      <w:r>
        <w:t xml:space="preserve">Monetization emerges as the most critical risk area ahead of the merger.</w:t>
      </w:r>
    </w:p>
    <w:p>
      <w:r>
        <w:pict>
          <v:rect style="width:0;height:1.5pt" o:hralign="center" o:hrstd="t" o:hr="t"/>
        </w:pict>
      </w:r>
    </w:p>
    <w:bookmarkEnd w:id="33"/>
    <w:bookmarkStart w:id="34" w:name="strategy-reengaging-inactive-users"/>
    <w:p>
      <w:pPr>
        <w:pStyle w:val="Heading2"/>
      </w:pPr>
      <w:r>
        <w:t xml:space="preserve">13. Strategy: Re‑engaging Inactive Users</w:t>
      </w:r>
    </w:p>
    <w:p>
      <w:pPr>
        <w:pStyle w:val="Compact"/>
        <w:numPr>
          <w:ilvl w:val="0"/>
          <w:numId w:val="1014"/>
        </w:numPr>
      </w:pPr>
      <w:r>
        <w:t xml:space="preserve">Introduce watch‑time‑based churn prediction models.</w:t>
      </w:r>
    </w:p>
    <w:p>
      <w:pPr>
        <w:pStyle w:val="Compact"/>
        <w:numPr>
          <w:ilvl w:val="0"/>
          <w:numId w:val="1014"/>
        </w:numPr>
      </w:pPr>
      <w:r>
        <w:t xml:space="preserve">Deploy personalized reactivation campaigns.</w:t>
      </w:r>
    </w:p>
    <w:p>
      <w:pPr>
        <w:pStyle w:val="Compact"/>
        <w:numPr>
          <w:ilvl w:val="0"/>
          <w:numId w:val="1014"/>
        </w:numPr>
      </w:pPr>
      <w:r>
        <w:t xml:space="preserve">Offer limited‑time premium unlocks to low‑engagement users.</w:t>
      </w:r>
    </w:p>
    <w:p>
      <w:pPr>
        <w:pStyle w:val="Compact"/>
        <w:numPr>
          <w:ilvl w:val="0"/>
          <w:numId w:val="1014"/>
        </w:numPr>
      </w:pPr>
      <w:r>
        <w:t xml:space="preserve">Emphasize language‑ and genre‑specific recommendations.</w:t>
      </w:r>
    </w:p>
    <w:p>
      <w:r>
        <w:pict>
          <v:rect style="width:0;height:1.5pt" o:hralign="center" o:hrstd="t" o:hr="t"/>
        </w:pict>
      </w:r>
    </w:p>
    <w:bookmarkEnd w:id="34"/>
    <w:bookmarkStart w:id="35" w:name="strategy-brand-positioning"/>
    <w:p>
      <w:pPr>
        <w:pStyle w:val="Heading2"/>
      </w:pPr>
      <w:r>
        <w:t xml:space="preserve">14. Strategy: Brand Positioning</w:t>
      </w:r>
    </w:p>
    <w:p>
      <w:pPr>
        <w:pStyle w:val="Compact"/>
        <w:numPr>
          <w:ilvl w:val="0"/>
          <w:numId w:val="1015"/>
        </w:numPr>
      </w:pPr>
      <w:r>
        <w:t xml:space="preserve">Position the merged platform as</w:t>
      </w:r>
      <w:r>
        <w:t xml:space="preserve"> </w:t>
      </w:r>
      <w:r>
        <w:rPr>
          <w:b/>
          <w:bCs/>
        </w:rPr>
        <w:t xml:space="preserve">“One OTT Platform for India.”</w:t>
      </w:r>
    </w:p>
    <w:p>
      <w:pPr>
        <w:pStyle w:val="Compact"/>
        <w:numPr>
          <w:ilvl w:val="0"/>
          <w:numId w:val="1015"/>
        </w:numPr>
      </w:pPr>
      <w:r>
        <w:t xml:space="preserve">Leverage sports, cinema, and regional content under a unified brand.</w:t>
      </w:r>
    </w:p>
    <w:p>
      <w:pPr>
        <w:pStyle w:val="Compact"/>
        <w:numPr>
          <w:ilvl w:val="0"/>
          <w:numId w:val="1015"/>
        </w:numPr>
      </w:pPr>
      <w:r>
        <w:t xml:space="preserve">Focus marketing on youth‑centric, mobile‑first narratives.</w:t>
      </w:r>
    </w:p>
    <w:p>
      <w:r>
        <w:pict>
          <v:rect style="width:0;height:1.5pt" o:hralign="center" o:hrstd="t" o:hr="t"/>
        </w:pict>
      </w:r>
    </w:p>
    <w:bookmarkEnd w:id="35"/>
    <w:bookmarkStart w:id="36" w:name="strategy-pricing-packaging"/>
    <w:p>
      <w:pPr>
        <w:pStyle w:val="Heading2"/>
      </w:pPr>
      <w:r>
        <w:t xml:space="preserve">15. Strategy: Pricing &amp; Packaging</w:t>
      </w:r>
    </w:p>
    <w:p>
      <w:pPr>
        <w:pStyle w:val="Compact"/>
        <w:numPr>
          <w:ilvl w:val="0"/>
          <w:numId w:val="1016"/>
        </w:numPr>
      </w:pPr>
      <w:r>
        <w:t xml:space="preserve">Replace uniform pricing with city‑tier‑based plans.</w:t>
      </w:r>
    </w:p>
    <w:p>
      <w:pPr>
        <w:pStyle w:val="Compact"/>
        <w:numPr>
          <w:ilvl w:val="0"/>
          <w:numId w:val="1016"/>
        </w:numPr>
      </w:pPr>
      <w:r>
        <w:t xml:space="preserve">Introduce annual and family subscription bundles.</w:t>
      </w:r>
    </w:p>
    <w:p>
      <w:pPr>
        <w:pStyle w:val="Compact"/>
        <w:numPr>
          <w:ilvl w:val="0"/>
          <w:numId w:val="1016"/>
        </w:numPr>
      </w:pPr>
      <w:r>
        <w:t xml:space="preserve">Reduce downgrade pressure through bundled value rather than discounts alone.</w:t>
      </w:r>
    </w:p>
    <w:p>
      <w:r>
        <w:pict>
          <v:rect style="width:0;height:1.5pt" o:hralign="center" o:hrstd="t" o:hr="t"/>
        </w:pict>
      </w:r>
    </w:p>
    <w:bookmarkEnd w:id="36"/>
    <w:bookmarkStart w:id="37" w:name="strategy-telecom-partnerships"/>
    <w:p>
      <w:pPr>
        <w:pStyle w:val="Heading2"/>
      </w:pPr>
      <w:r>
        <w:t xml:space="preserve">16. Strategy: Telecom Partnerships</w:t>
      </w:r>
    </w:p>
    <w:p>
      <w:pPr>
        <w:pStyle w:val="Compact"/>
        <w:numPr>
          <w:ilvl w:val="0"/>
          <w:numId w:val="1017"/>
        </w:numPr>
      </w:pPr>
      <w:r>
        <w:t xml:space="preserve">Bundle OTT subscriptions with Lio recharge plans.</w:t>
      </w:r>
    </w:p>
    <w:p>
      <w:pPr>
        <w:pStyle w:val="Compact"/>
        <w:numPr>
          <w:ilvl w:val="0"/>
          <w:numId w:val="1017"/>
        </w:numPr>
      </w:pPr>
      <w:r>
        <w:t xml:space="preserve">Offer 5G‑enabled OTT packs and device‑linked subscriptions.</w:t>
      </w:r>
    </w:p>
    <w:p>
      <w:pPr>
        <w:pStyle w:val="Compact"/>
        <w:numPr>
          <w:ilvl w:val="0"/>
          <w:numId w:val="1017"/>
        </w:numPr>
      </w:pPr>
      <w:r>
        <w:t xml:space="preserve">Promote household‑level plans to increase ARPU.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role-of-ai-ml"/>
    <w:p>
      <w:pPr>
        <w:pStyle w:val="Heading2"/>
      </w:pPr>
      <w:r>
        <w:t xml:space="preserve">17. Strategy: Role of AI &amp; ML</w:t>
      </w:r>
    </w:p>
    <w:p>
      <w:pPr>
        <w:pStyle w:val="Compact"/>
        <w:numPr>
          <w:ilvl w:val="0"/>
          <w:numId w:val="1018"/>
        </w:numPr>
      </w:pPr>
      <w:r>
        <w:t xml:space="preserve">Use AI to predict inactivity and churn risk.</w:t>
      </w:r>
    </w:p>
    <w:p>
      <w:pPr>
        <w:pStyle w:val="Compact"/>
        <w:numPr>
          <w:ilvl w:val="0"/>
          <w:numId w:val="1018"/>
        </w:numPr>
      </w:pPr>
      <w:r>
        <w:t xml:space="preserve">Improve content discovery through personalized recommendations.</w:t>
      </w:r>
    </w:p>
    <w:p>
      <w:pPr>
        <w:pStyle w:val="Compact"/>
        <w:numPr>
          <w:ilvl w:val="0"/>
          <w:numId w:val="1018"/>
        </w:numPr>
      </w:pPr>
      <w:r>
        <w:t xml:space="preserve">Enable dynamic pricing and upgrade nudges based on user behavior.</w:t>
      </w:r>
    </w:p>
    <w:p>
      <w:r>
        <w:pict>
          <v:rect style="width:0;height:1.5pt" o:hralign="center" o:hrstd="t" o:hr="t"/>
        </w:pict>
      </w:r>
    </w:p>
    <w:bookmarkEnd w:id="38"/>
    <w:bookmarkStart w:id="39" w:name="brand-ambassador-strategy"/>
    <w:p>
      <w:pPr>
        <w:pStyle w:val="Heading2"/>
      </w:pPr>
      <w:r>
        <w:t xml:space="preserve">18. Brand Ambassador Strategy</w:t>
      </w:r>
    </w:p>
    <w:p>
      <w:pPr>
        <w:pStyle w:val="Compact"/>
        <w:numPr>
          <w:ilvl w:val="0"/>
          <w:numId w:val="1019"/>
        </w:numPr>
      </w:pPr>
      <w:r>
        <w:t xml:space="preserve">Appoint a pan‑India personality with crossover appeal across sports and cinema.</w:t>
      </w:r>
    </w:p>
    <w:p>
      <w:pPr>
        <w:pStyle w:val="Compact"/>
        <w:numPr>
          <w:ilvl w:val="0"/>
          <w:numId w:val="1019"/>
        </w:numPr>
      </w:pPr>
      <w:r>
        <w:t xml:space="preserve">The ambassador should reflect inclusivity, youth appeal, and national reach.</w:t>
      </w:r>
    </w:p>
    <w:p>
      <w:r>
        <w:pict>
          <v:rect style="width:0;height:1.5pt" o:hralign="center" o:hrstd="t" o:hr="t"/>
        </w:pict>
      </w:r>
    </w:p>
    <w:bookmarkEnd w:id="39"/>
    <w:bookmarkStart w:id="40" w:name="final-takeaways"/>
    <w:p>
      <w:pPr>
        <w:pStyle w:val="Heading2"/>
      </w:pPr>
      <w:r>
        <w:t xml:space="preserve">19. Final Takeaways</w:t>
      </w:r>
    </w:p>
    <w:p>
      <w:pPr>
        <w:pStyle w:val="Compact"/>
        <w:numPr>
          <w:ilvl w:val="0"/>
          <w:numId w:val="1020"/>
        </w:numPr>
      </w:pPr>
      <w:r>
        <w:t xml:space="preserve">User growth is strong, but engagement and monetization remain key risks.</w:t>
      </w:r>
    </w:p>
    <w:p>
      <w:pPr>
        <w:pStyle w:val="Compact"/>
        <w:numPr>
          <w:ilvl w:val="0"/>
          <w:numId w:val="1020"/>
        </w:numPr>
      </w:pPr>
      <w:r>
        <w:t xml:space="preserve">Content depth combined with telecom distribution creates powerful synergy.</w:t>
      </w:r>
    </w:p>
    <w:p>
      <w:pPr>
        <w:pStyle w:val="Compact"/>
        <w:numPr>
          <w:ilvl w:val="0"/>
          <w:numId w:val="1020"/>
        </w:numPr>
      </w:pPr>
      <w:r>
        <w:t xml:space="preserve">Data‑driven retention and pricing strategies are essential for post‑merger success.</w:t>
      </w:r>
    </w:p>
    <w:p>
      <w:pPr>
        <w:pStyle w:val="Compact"/>
        <w:numPr>
          <w:ilvl w:val="0"/>
          <w:numId w:val="1020"/>
        </w:numPr>
      </w:pPr>
      <w:r>
        <w:t xml:space="preserve">With the right execution, Lio‑Jotstar can emerge as India’s leading OTT platform.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2025-12-28T07:21:55Z</dcterms:created>
  <dcterms:modified xsi:type="dcterms:W3CDTF">2025-12-28T07:21:55Z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