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  <w:jc w:val="center"/>
      </w:pPr>
      <w:r>
        <w:rPr>
          <w:rFonts w:ascii="Georgia" w:hAnsi="Georgia"/>
          <w:b/>
          <w:color w:val="1F3A5F"/>
          <w:sz w:val="44"/>
        </w:rPr>
        <w:t>Botree Chat — Architecture Overview</w:t>
      </w:r>
    </w:p>
    <w:p>
      <w:pPr>
        <w:spacing w:after="40"/>
        <w:jc w:val="center"/>
      </w:pPr>
      <w:r>
        <w:rPr>
          <w:color w:val="595959"/>
          <w:sz w:val="23"/>
        </w:rPr>
        <w:t>Natural-language analytics over the Bisk Farm distribution database</w:t>
      </w:r>
    </w:p>
    <w:p>
      <w:pPr>
        <w:spacing w:after="200"/>
        <w:jc w:val="center"/>
      </w:pPr>
      <w:r>
        <w:rPr>
          <w:color w:val="595959"/>
          <w:sz w:val="20"/>
        </w:rPr>
        <w:t>July 2026</w:t>
      </w:r>
    </w:p>
    <w:p>
      <w:pPr>
        <w:spacing w:before="120" w:after="80"/>
      </w:pPr>
      <w:r>
        <w:rPr>
          <w:rFonts w:ascii="Georgia" w:hAnsi="Georgia"/>
          <w:b/>
          <w:color w:val="1F3A5F"/>
          <w:sz w:val="28"/>
        </w:rPr>
        <w:t>1.  What it is</w:t>
      </w:r>
    </w:p>
    <w:p>
      <w:pPr>
        <w:spacing w:after="120"/>
      </w:pPr>
      <w:r>
        <w:rPr>
          <w:i w:val="0"/>
          <w:color w:val="262626"/>
          <w:sz w:val="21"/>
        </w:rPr>
        <w:t>Botree Chat lets business users ask questions about FMCG distribution data in plain English — “show me geography wise sales with brand” — and get back a grounded answer: a short summary, the complete result table, the exact SQL that ran, and a CSV download. An LLM translates the question to SQL, but every query passes through a deterministic safety gate and role-based row scoping before it touches the database, and every attempt is audited. The database is accessed strictly read-only.</w:t>
      </w:r>
    </w:p>
    <w:p>
      <w:pPr>
        <w:spacing w:before="280" w:after="80"/>
      </w:pPr>
      <w:r>
        <w:rPr>
          <w:rFonts w:ascii="Georgia" w:hAnsi="Georgia"/>
          <w:b/>
          <w:color w:val="1F3A5F"/>
          <w:sz w:val="28"/>
        </w:rPr>
        <w:t>2. 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800"/>
            <w:shd w:val="clear" w:fill="1F3A5F"/>
          </w:tcPr>
          <w:p>
            <w:r/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952"/>
            <w:shd w:val="clear" w:fill="1F3A5F"/>
          </w:tcPr>
          <w:p>
            <w:r/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4896"/>
            <w:shd w:val="clear" w:fill="1F3A5F"/>
          </w:tcPr>
          <w:p>
            <w:r/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1800"/>
          </w:tcPr>
          <w:p>
            <w:r/>
            <w:r>
              <w:rPr>
                <w:b/>
                <w:sz w:val="19"/>
              </w:rPr>
              <w:t>Frontend</w:t>
            </w:r>
          </w:p>
        </w:tc>
        <w:tc>
          <w:tcPr>
            <w:tcW w:type="dxa" w:w="2952"/>
          </w:tcPr>
          <w:p>
            <w:r/>
            <w:r>
              <w:rPr>
                <w:sz w:val="19"/>
              </w:rPr>
              <w:t>Next.js, React, TypeScript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Chat UI built on assistant-ui with streaming responses; Tailwind CSS + Radix UI; CSV export; voice input</w:t>
            </w:r>
          </w:p>
        </w:tc>
      </w:tr>
      <w:tr>
        <w:tc>
          <w:tcPr>
            <w:tcW w:type="dxa" w:w="1800"/>
            <w:shd w:val="clear" w:fill="F2F2F2"/>
          </w:tcPr>
          <w:p>
            <w:r/>
            <w:r>
              <w:rPr>
                <w:b/>
                <w:sz w:val="19"/>
              </w:rPr>
              <w:t>Backend</w:t>
            </w:r>
          </w:p>
        </w:tc>
        <w:tc>
          <w:tcPr>
            <w:tcW w:type="dxa" w:w="2952"/>
            <w:shd w:val="clear" w:fill="F2F2F2"/>
          </w:tcPr>
          <w:p>
            <w:r/>
            <w:r>
              <w:rPr>
                <w:sz w:val="19"/>
              </w:rPr>
              <w:t>Python 3.12, FastAPI, Uvicorn</w:t>
            </w:r>
          </w:p>
        </w:tc>
        <w:tc>
          <w:tcPr>
            <w:tcW w:type="dxa" w:w="4896"/>
            <w:shd w:val="clear" w:fill="F2F2F2"/>
          </w:tcPr>
          <w:p>
            <w:r/>
            <w:r>
              <w:rPr>
                <w:sz w:val="19"/>
              </w:rPr>
              <w:t>REST + SSE streaming API; JWT auth (PyJWT + bcrypt); per-user rate limiting; structlog logging</w:t>
            </w:r>
          </w:p>
        </w:tc>
      </w:tr>
      <w:tr>
        <w:tc>
          <w:tcPr>
            <w:tcW w:type="dxa" w:w="1800"/>
          </w:tcPr>
          <w:p>
            <w:r/>
            <w:r>
              <w:rPr>
                <w:b/>
                <w:sz w:val="19"/>
              </w:rPr>
              <w:t>NL → SQL</w:t>
            </w:r>
          </w:p>
        </w:tc>
        <w:tc>
          <w:tcPr>
            <w:tcW w:type="dxa" w:w="2952"/>
          </w:tcPr>
          <w:p>
            <w:r/>
            <w:r>
              <w:rPr>
                <w:sz w:val="19"/>
              </w:rPr>
              <w:t>sqlglot, custom pipeline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SQL parsed to an AST and validated against a SELECT-only whitelist; automatic LIMIT cap; RBAC predicates injected per user role</w:t>
            </w:r>
          </w:p>
        </w:tc>
      </w:tr>
      <w:tr>
        <w:tc>
          <w:tcPr>
            <w:tcW w:type="dxa" w:w="1800"/>
            <w:shd w:val="clear" w:fill="F2F2F2"/>
          </w:tcPr>
          <w:p>
            <w:r/>
            <w:r>
              <w:rPr>
                <w:b/>
                <w:sz w:val="19"/>
              </w:rPr>
              <w:t>App database</w:t>
            </w:r>
          </w:p>
        </w:tc>
        <w:tc>
          <w:tcPr>
            <w:tcW w:type="dxa" w:w="2952"/>
            <w:shd w:val="clear" w:fill="F2F2F2"/>
          </w:tcPr>
          <w:p>
            <w:r/>
            <w:r>
              <w:rPr>
                <w:sz w:val="19"/>
              </w:rPr>
              <w:t>PostgreSQL + pgvector, SQLAlchemy 2, Alembic</w:t>
            </w:r>
          </w:p>
        </w:tc>
        <w:tc>
          <w:tcPr>
            <w:tcW w:type="dxa" w:w="4896"/>
            <w:shd w:val="clear" w:fill="F2F2F2"/>
          </w:tcPr>
          <w:p>
            <w:r/>
            <w:r>
              <w:rPr>
                <w:sz w:val="19"/>
              </w:rPr>
              <w:t>Users, chat threads, audit log, and the two-tier query cache (exact + semantic via vector similarity)</w:t>
            </w:r>
          </w:p>
        </w:tc>
      </w:tr>
      <w:tr>
        <w:tc>
          <w:tcPr>
            <w:tcW w:type="dxa" w:w="1800"/>
          </w:tcPr>
          <w:p>
            <w:r/>
            <w:r>
              <w:rPr>
                <w:b/>
                <w:sz w:val="19"/>
              </w:rPr>
              <w:t>Analytics database</w:t>
            </w:r>
          </w:p>
        </w:tc>
        <w:tc>
          <w:tcPr>
            <w:tcW w:type="dxa" w:w="2952"/>
          </w:tcPr>
          <w:p>
            <w:r/>
            <w:r>
              <w:rPr>
                <w:sz w:val="19"/>
              </w:rPr>
              <w:t>MySQL (Bisk Farm), PyMySQL + DBUtils pool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Read-only reporting database; reached directly or through an SSH tunnel</w:t>
            </w:r>
          </w:p>
        </w:tc>
      </w:tr>
      <w:tr>
        <w:tc>
          <w:tcPr>
            <w:tcW w:type="dxa" w:w="1800"/>
            <w:shd w:val="clear" w:fill="F2F2F2"/>
          </w:tcPr>
          <w:p>
            <w:r/>
            <w:r>
              <w:rPr>
                <w:b/>
                <w:sz w:val="19"/>
              </w:rPr>
              <w:t>AI services</w:t>
            </w:r>
          </w:p>
        </w:tc>
        <w:tc>
          <w:tcPr>
            <w:tcW w:type="dxa" w:w="2952"/>
            <w:shd w:val="clear" w:fill="F2F2F2"/>
          </w:tcPr>
          <w:p>
            <w:r/>
            <w:r>
              <w:rPr>
                <w:sz w:val="19"/>
              </w:rPr>
              <w:t>Cloudflare Workers AI</w:t>
            </w:r>
          </w:p>
        </w:tc>
        <w:tc>
          <w:tcPr>
            <w:tcW w:type="dxa" w:w="4896"/>
            <w:shd w:val="clear" w:fill="F2F2F2"/>
          </w:tcPr>
          <w:p>
            <w:r/>
            <w:r>
              <w:rPr>
                <w:sz w:val="19"/>
              </w:rPr>
              <w:t>Llama 3.1 for SQL generation and answer summaries; BGE embeddings for the semantic cache; Whisper for speech-to-text (provider swappable to Anthropic Claude)</w:t>
            </w:r>
          </w:p>
        </w:tc>
      </w:tr>
      <w:tr>
        <w:tc>
          <w:tcPr>
            <w:tcW w:type="dxa" w:w="1800"/>
          </w:tcPr>
          <w:p>
            <w:r/>
            <w:r>
              <w:rPr>
                <w:b/>
                <w:sz w:val="19"/>
              </w:rPr>
              <w:t>Runtime &amp; quality</w:t>
            </w:r>
          </w:p>
        </w:tc>
        <w:tc>
          <w:tcPr>
            <w:tcW w:type="dxa" w:w="2952"/>
          </w:tcPr>
          <w:p>
            <w:r/>
            <w:r>
              <w:rPr>
                <w:sz w:val="19"/>
              </w:rPr>
              <w:t>Docker, pytest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Containerized deployment; 280+ fully offline automated tests</w:t>
            </w:r>
          </w:p>
        </w:tc>
      </w:tr>
    </w:tbl>
    <w:p>
      <w:pPr>
        <w:spacing w:before="280" w:after="80"/>
      </w:pPr>
      <w:r>
        <w:rPr>
          <w:rFonts w:ascii="Georgia" w:hAnsi="Georgia"/>
          <w:b/>
          <w:color w:val="1F3A5F"/>
          <w:sz w:val="28"/>
        </w:rPr>
        <w:t>3.  Why these technologies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664"/>
            <w:shd w:val="clear" w:fill="1F3A5F"/>
          </w:tcPr>
          <w:p>
            <w:r/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6984"/>
            <w:shd w:val="clear" w:fill="1F3A5F"/>
          </w:tcPr>
          <w:p>
            <w:r/>
            <w:r>
              <w:rPr>
                <w:b/>
                <w:color w:val="FFFFFF"/>
                <w:sz w:val="20"/>
              </w:rPr>
              <w:t>Why we use it</w:t>
            </w:r>
          </w:p>
        </w:tc>
      </w:tr>
      <w:tr>
        <w:tc>
          <w:tcPr>
            <w:tcW w:type="dxa" w:w="2664"/>
          </w:tcPr>
          <w:p>
            <w:r/>
            <w:r>
              <w:rPr>
                <w:b/>
                <w:sz w:val="19"/>
              </w:rPr>
              <w:t>Next.js</w:t>
            </w:r>
          </w:p>
        </w:tc>
        <w:tc>
          <w:tcPr>
            <w:tcW w:type="dxa" w:w="6984"/>
          </w:tcPr>
          <w:p>
            <w:r/>
            <w:r>
              <w:rPr>
                <w:sz w:val="19"/>
              </w:rPr>
              <w:t>One framework gives us the chat UI and a secure server-side proxy, so auth tokens never reach browser JavaScript.</w:t>
            </w:r>
          </w:p>
        </w:tc>
      </w:tr>
      <w:tr>
        <w:tc>
          <w:tcPr>
            <w:tcW w:type="dxa" w:w="2664"/>
            <w:shd w:val="clear" w:fill="F2F2F2"/>
          </w:tcPr>
          <w:p>
            <w:r/>
            <w:r>
              <w:rPr>
                <w:b/>
                <w:sz w:val="19"/>
              </w:rPr>
              <w:t>React</w:t>
            </w:r>
          </w:p>
        </w:tc>
        <w:tc>
          <w:tcPr>
            <w:tcW w:type="dxa" w:w="6984"/>
            <w:shd w:val="clear" w:fill="F2F2F2"/>
          </w:tcPr>
          <w:p>
            <w:r/>
            <w:r>
              <w:rPr>
                <w:sz w:val="19"/>
              </w:rPr>
              <w:t>Component-based UI that re-renders smoothly as answers stream in, token by token.</w:t>
            </w:r>
          </w:p>
        </w:tc>
      </w:tr>
      <w:tr>
        <w:tc>
          <w:tcPr>
            <w:tcW w:type="dxa" w:w="2664"/>
          </w:tcPr>
          <w:p>
            <w:r/>
            <w:r>
              <w:rPr>
                <w:b/>
                <w:sz w:val="19"/>
              </w:rPr>
              <w:t>TypeScript</w:t>
            </w:r>
          </w:p>
        </w:tc>
        <w:tc>
          <w:tcPr>
            <w:tcW w:type="dxa" w:w="6984"/>
          </w:tcPr>
          <w:p>
            <w:r/>
            <w:r>
              <w:rPr>
                <w:sz w:val="19"/>
              </w:rPr>
              <w:t>Type errors are caught at build time instead of in front of a user.</w:t>
            </w:r>
          </w:p>
        </w:tc>
      </w:tr>
      <w:tr>
        <w:tc>
          <w:tcPr>
            <w:tcW w:type="dxa" w:w="2664"/>
            <w:shd w:val="clear" w:fill="F2F2F2"/>
          </w:tcPr>
          <w:p>
            <w:r/>
            <w:r>
              <w:rPr>
                <w:b/>
                <w:sz w:val="19"/>
              </w:rPr>
              <w:t>assistant-ui</w:t>
            </w:r>
          </w:p>
        </w:tc>
        <w:tc>
          <w:tcPr>
            <w:tcW w:type="dxa" w:w="6984"/>
            <w:shd w:val="clear" w:fill="F2F2F2"/>
          </w:tcPr>
          <w:p>
            <w:r/>
            <w:r>
              <w:rPr>
                <w:sz w:val="19"/>
              </w:rPr>
              <w:t>Production-ready chat components (threads, streaming, message actions) instead of months building them from scratch.</w:t>
            </w:r>
          </w:p>
        </w:tc>
      </w:tr>
      <w:tr>
        <w:tc>
          <w:tcPr>
            <w:tcW w:type="dxa" w:w="2664"/>
          </w:tcPr>
          <w:p>
            <w:r/>
            <w:r>
              <w:rPr>
                <w:b/>
                <w:sz w:val="19"/>
              </w:rPr>
              <w:t>Tailwind CSS</w:t>
            </w:r>
          </w:p>
        </w:tc>
        <w:tc>
          <w:tcPr>
            <w:tcW w:type="dxa" w:w="6984"/>
          </w:tcPr>
          <w:p>
            <w:r/>
            <w:r>
              <w:rPr>
                <w:sz w:val="19"/>
              </w:rPr>
              <w:t>Utility-class styling keeps the whole UI consistent without maintaining custom CSS.</w:t>
            </w:r>
          </w:p>
        </w:tc>
      </w:tr>
      <w:tr>
        <w:tc>
          <w:tcPr>
            <w:tcW w:type="dxa" w:w="2664"/>
            <w:shd w:val="clear" w:fill="F2F2F2"/>
          </w:tcPr>
          <w:p>
            <w:r/>
            <w:r>
              <w:rPr>
                <w:b/>
                <w:sz w:val="19"/>
              </w:rPr>
              <w:t>Radix UI</w:t>
            </w:r>
          </w:p>
        </w:tc>
        <w:tc>
          <w:tcPr>
            <w:tcW w:type="dxa" w:w="6984"/>
            <w:shd w:val="clear" w:fill="F2F2F2"/>
          </w:tcPr>
          <w:p>
            <w:r/>
            <w:r>
              <w:rPr>
                <w:sz w:val="19"/>
              </w:rPr>
              <w:t>Accessible, keyboard-friendly UI primitives (dialogs, tooltips, sidebar) out of the box.</w:t>
            </w:r>
          </w:p>
        </w:tc>
      </w:tr>
      <w:tr>
        <w:tc>
          <w:tcPr>
            <w:tcW w:type="dxa" w:w="2664"/>
          </w:tcPr>
          <w:p>
            <w:r/>
            <w:r>
              <w:rPr>
                <w:b/>
                <w:sz w:val="19"/>
              </w:rPr>
              <w:t>Python</w:t>
            </w:r>
          </w:p>
        </w:tc>
        <w:tc>
          <w:tcPr>
            <w:tcW w:type="dxa" w:w="6984"/>
          </w:tcPr>
          <w:p>
            <w:r/>
            <w:r>
              <w:rPr>
                <w:sz w:val="19"/>
              </w:rPr>
              <w:t>The native language of the AI/data ecosystem — every library we depend on is first-class in Python.</w:t>
            </w:r>
          </w:p>
        </w:tc>
      </w:tr>
      <w:tr>
        <w:tc>
          <w:tcPr>
            <w:tcW w:type="dxa" w:w="2664"/>
            <w:shd w:val="clear" w:fill="F2F2F2"/>
          </w:tcPr>
          <w:p>
            <w:r/>
            <w:r>
              <w:rPr>
                <w:b/>
                <w:sz w:val="19"/>
              </w:rPr>
              <w:t>FastAPI</w:t>
            </w:r>
          </w:p>
        </w:tc>
        <w:tc>
          <w:tcPr>
            <w:tcW w:type="dxa" w:w="6984"/>
            <w:shd w:val="clear" w:fill="F2F2F2"/>
          </w:tcPr>
          <w:p>
            <w:r/>
            <w:r>
              <w:rPr>
                <w:sz w:val="19"/>
              </w:rPr>
              <w:t>Async-first API framework with built-in request validation and native SSE streaming for live answers.</w:t>
            </w:r>
          </w:p>
        </w:tc>
      </w:tr>
      <w:tr>
        <w:tc>
          <w:tcPr>
            <w:tcW w:type="dxa" w:w="2664"/>
          </w:tcPr>
          <w:p>
            <w:r/>
            <w:r>
              <w:rPr>
                <w:b/>
                <w:sz w:val="19"/>
              </w:rPr>
              <w:t>Uvicorn</w:t>
            </w:r>
          </w:p>
        </w:tc>
        <w:tc>
          <w:tcPr>
            <w:tcW w:type="dxa" w:w="6984"/>
          </w:tcPr>
          <w:p>
            <w:r/>
            <w:r>
              <w:rPr>
                <w:sz w:val="19"/>
              </w:rPr>
              <w:t>Fast ASGI server that runs FastAPI’s async code and holds many live streaming connections cheaply.</w:t>
            </w:r>
          </w:p>
        </w:tc>
      </w:tr>
      <w:tr>
        <w:tc>
          <w:tcPr>
            <w:tcW w:type="dxa" w:w="2664"/>
            <w:shd w:val="clear" w:fill="F2F2F2"/>
          </w:tcPr>
          <w:p>
            <w:r/>
            <w:r>
              <w:rPr>
                <w:b/>
                <w:sz w:val="19"/>
              </w:rPr>
              <w:t>SQLAlchemy 2 (async)</w:t>
            </w:r>
          </w:p>
        </w:tc>
        <w:tc>
          <w:tcPr>
            <w:tcW w:type="dxa" w:w="6984"/>
            <w:shd w:val="clear" w:fill="F2F2F2"/>
          </w:tcPr>
          <w:p>
            <w:r/>
            <w:r>
              <w:rPr>
                <w:sz w:val="19"/>
              </w:rPr>
              <w:t>One typed data layer for all application queries — readable, portable, and easy to test.</w:t>
            </w:r>
          </w:p>
        </w:tc>
      </w:tr>
      <w:tr>
        <w:tc>
          <w:tcPr>
            <w:tcW w:type="dxa" w:w="2664"/>
          </w:tcPr>
          <w:p>
            <w:r/>
            <w:r>
              <w:rPr>
                <w:b/>
                <w:sz w:val="19"/>
              </w:rPr>
              <w:t>Alembic</w:t>
            </w:r>
          </w:p>
        </w:tc>
        <w:tc>
          <w:tcPr>
            <w:tcW w:type="dxa" w:w="6984"/>
          </w:tcPr>
          <w:p>
            <w:r/>
            <w:r>
              <w:rPr>
                <w:sz w:val="19"/>
              </w:rPr>
              <w:t>Versioned, repeatable database schema migrations instead of hand-run SQL scripts.</w:t>
            </w:r>
          </w:p>
        </w:tc>
      </w:tr>
      <w:tr>
        <w:tc>
          <w:tcPr>
            <w:tcW w:type="dxa" w:w="2664"/>
            <w:shd w:val="clear" w:fill="F2F2F2"/>
          </w:tcPr>
          <w:p>
            <w:r/>
            <w:r>
              <w:rPr>
                <w:b/>
                <w:sz w:val="19"/>
              </w:rPr>
              <w:t>PostgreSQL + pgvector</w:t>
            </w:r>
          </w:p>
        </w:tc>
        <w:tc>
          <w:tcPr>
            <w:tcW w:type="dxa" w:w="6984"/>
            <w:shd w:val="clear" w:fill="F2F2F2"/>
          </w:tcPr>
          <w:p>
            <w:r/>
            <w:r>
              <w:rPr>
                <w:sz w:val="19"/>
              </w:rPr>
              <w:t>One reliable database for both app state and vector similarity search — no separate vector store to operate.</w:t>
            </w:r>
          </w:p>
        </w:tc>
      </w:tr>
      <w:tr>
        <w:tc>
          <w:tcPr>
            <w:tcW w:type="dxa" w:w="2664"/>
          </w:tcPr>
          <w:p>
            <w:r/>
            <w:r>
              <w:rPr>
                <w:b/>
                <w:sz w:val="19"/>
              </w:rPr>
              <w:t>PyMySQL + DBUtils</w:t>
            </w:r>
          </w:p>
        </w:tc>
        <w:tc>
          <w:tcPr>
            <w:tcW w:type="dxa" w:w="6984"/>
          </w:tcPr>
          <w:p>
            <w:r/>
            <w:r>
              <w:rPr>
                <w:sz w:val="19"/>
              </w:rPr>
              <w:t>Pooled, read-only client connections to the existing MySQL reporting database.</w:t>
            </w:r>
          </w:p>
        </w:tc>
      </w:tr>
      <w:tr>
        <w:tc>
          <w:tcPr>
            <w:tcW w:type="dxa" w:w="2664"/>
            <w:shd w:val="clear" w:fill="F2F2F2"/>
          </w:tcPr>
          <w:p>
            <w:r/>
            <w:r>
              <w:rPr>
                <w:b/>
                <w:sz w:val="19"/>
              </w:rPr>
              <w:t>sqlglot</w:t>
            </w:r>
          </w:p>
        </w:tc>
        <w:tc>
          <w:tcPr>
            <w:tcW w:type="dxa" w:w="6984"/>
            <w:shd w:val="clear" w:fill="F2F2F2"/>
          </w:tcPr>
          <w:p>
            <w:r/>
            <w:r>
              <w:rPr>
                <w:sz w:val="19"/>
              </w:rPr>
              <w:t>Parses generated SQL into a syntax tree, letting us verify a query is safe before it runs, not after.</w:t>
            </w:r>
          </w:p>
        </w:tc>
      </w:tr>
      <w:tr>
        <w:tc>
          <w:tcPr>
            <w:tcW w:type="dxa" w:w="2664"/>
          </w:tcPr>
          <w:p>
            <w:r/>
            <w:r>
              <w:rPr>
                <w:b/>
                <w:sz w:val="19"/>
              </w:rPr>
              <w:t>PyJWT + bcrypt</w:t>
            </w:r>
          </w:p>
        </w:tc>
        <w:tc>
          <w:tcPr>
            <w:tcW w:type="dxa" w:w="6984"/>
          </w:tcPr>
          <w:p>
            <w:r/>
            <w:r>
              <w:rPr>
                <w:sz w:val="19"/>
              </w:rPr>
              <w:t>Battle-tested standards for signing login tokens and hashing passwords.</w:t>
            </w:r>
          </w:p>
        </w:tc>
      </w:tr>
      <w:tr>
        <w:tc>
          <w:tcPr>
            <w:tcW w:type="dxa" w:w="2664"/>
            <w:shd w:val="clear" w:fill="F2F2F2"/>
          </w:tcPr>
          <w:p>
            <w:r/>
            <w:r>
              <w:rPr>
                <w:b/>
                <w:sz w:val="19"/>
              </w:rPr>
              <w:t>structlog</w:t>
            </w:r>
          </w:p>
        </w:tc>
        <w:tc>
          <w:tcPr>
            <w:tcW w:type="dxa" w:w="6984"/>
            <w:shd w:val="clear" w:fill="F2F2F2"/>
          </w:tcPr>
          <w:p>
            <w:r/>
            <w:r>
              <w:rPr>
                <w:sz w:val="19"/>
              </w:rPr>
              <w:t>Structured, machine-searchable logs with a request id on every line — debugging production is grep, not guesswork.</w:t>
            </w:r>
          </w:p>
        </w:tc>
      </w:tr>
      <w:tr>
        <w:tc>
          <w:tcPr>
            <w:tcW w:type="dxa" w:w="2664"/>
          </w:tcPr>
          <w:p>
            <w:r/>
            <w:r>
              <w:rPr>
                <w:b/>
                <w:sz w:val="19"/>
              </w:rPr>
              <w:t>Cloudflare Workers AI</w:t>
            </w:r>
          </w:p>
        </w:tc>
        <w:tc>
          <w:tcPr>
            <w:tcW w:type="dxa" w:w="6984"/>
          </w:tcPr>
          <w:p>
            <w:r/>
            <w:r>
              <w:rPr>
                <w:sz w:val="19"/>
              </w:rPr>
              <w:t>Managed LLM, embeddings, and speech-to-text behind one simple API — no GPU infrastructure to run.</w:t>
            </w:r>
          </w:p>
        </w:tc>
      </w:tr>
      <w:tr>
        <w:tc>
          <w:tcPr>
            <w:tcW w:type="dxa" w:w="2664"/>
            <w:shd w:val="clear" w:fill="F2F2F2"/>
          </w:tcPr>
          <w:p>
            <w:r/>
            <w:r>
              <w:rPr>
                <w:b/>
                <w:sz w:val="19"/>
              </w:rPr>
              <w:t>Docker</w:t>
            </w:r>
          </w:p>
        </w:tc>
        <w:tc>
          <w:tcPr>
            <w:tcW w:type="dxa" w:w="6984"/>
            <w:shd w:val="clear" w:fill="F2F2F2"/>
          </w:tcPr>
          <w:p>
            <w:r/>
            <w:r>
              <w:rPr>
                <w:sz w:val="19"/>
              </w:rPr>
              <w:t>The same containerized runtime in development and production — eliminates environment drift.</w:t>
            </w:r>
          </w:p>
        </w:tc>
      </w:tr>
      <w:tr>
        <w:tc>
          <w:tcPr>
            <w:tcW w:type="dxa" w:w="2664"/>
          </w:tcPr>
          <w:p>
            <w:r/>
            <w:r>
              <w:rPr>
                <w:b/>
                <w:sz w:val="19"/>
              </w:rPr>
              <w:t>pytest</w:t>
            </w:r>
          </w:p>
        </w:tc>
        <w:tc>
          <w:tcPr>
            <w:tcW w:type="dxa" w:w="6984"/>
          </w:tcPr>
          <w:p>
            <w:r/>
            <w:r>
              <w:rPr>
                <w:sz w:val="19"/>
              </w:rPr>
              <w:t>280+ fully offline tests keep every change verifiable in seconds, with no network or credentials needed.</w:t>
            </w:r>
          </w:p>
        </w:tc>
      </w:tr>
    </w:tbl>
    <w:p>
      <w:r>
        <w:br w:type="page"/>
      </w:r>
    </w:p>
    <w:p>
      <w:pPr>
        <w:spacing w:before="40" w:after="80"/>
      </w:pPr>
      <w:r>
        <w:rPr>
          <w:rFonts w:ascii="Georgia" w:hAnsi="Georgia"/>
          <w:b/>
          <w:color w:val="1F3A5F"/>
          <w:sz w:val="28"/>
        </w:rPr>
        <w:t>4.  System architecture</w:t>
      </w:r>
    </w:p>
    <w:p>
      <w:pPr>
        <w:spacing w:after="160"/>
      </w:pPr>
      <w:r>
        <w:rPr>
          <w:i w:val="0"/>
          <w:color w:val="262626"/>
          <w:sz w:val="21"/>
        </w:rPr>
        <w:t>Three zones: the browser client, the FastAPI application server, and the data and AI services it consumes. The frontend never talks to a database or an LLM directly — everything goes through the backend, where safety, scoping, and auditing are enforced.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4401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40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40"/>
      </w:pPr>
      <w:r>
        <w:rPr>
          <w:b/>
          <w:sz w:val="21"/>
        </w:rPr>
        <w:t xml:space="preserve">Auth — </w:t>
      </w:r>
      <w:r>
        <w:rPr>
          <w:sz w:val="21"/>
        </w:rPr>
        <w:t>The Next.js server proxies every API call, attaching the user's JWT from an httpOnly cookie — tokens are never exposed to browser JavaScript.</w:t>
      </w:r>
    </w:p>
    <w:p>
      <w:pPr>
        <w:pStyle w:val="ListBullet"/>
        <w:spacing w:after="40"/>
      </w:pPr>
      <w:r>
        <w:rPr>
          <w:b/>
          <w:sz w:val="21"/>
        </w:rPr>
        <w:t xml:space="preserve">Data — </w:t>
      </w:r>
      <w:r>
        <w:rPr>
          <w:sz w:val="21"/>
        </w:rPr>
        <w:t>Two databases with distinct jobs: PostgreSQL owns application state (users, threads, caches, audit); MySQL is the untouched, read-only source of business data.</w:t>
      </w:r>
    </w:p>
    <w:p>
      <w:pPr>
        <w:pStyle w:val="ListBullet"/>
        <w:spacing w:after="40"/>
      </w:pPr>
      <w:r>
        <w:rPr>
          <w:b/>
          <w:sz w:val="21"/>
        </w:rPr>
        <w:t xml:space="preserve">AI — </w:t>
      </w:r>
      <w:r>
        <w:rPr>
          <w:sz w:val="21"/>
        </w:rPr>
        <w:t>The LLM is a swappable provider behind one interface — Cloudflare-hosted Llama today, Anthropic Claude with a one-line config change.</w:t>
      </w:r>
    </w:p>
    <w:p>
      <w:pPr>
        <w:spacing w:before="280" w:after="80"/>
      </w:pPr>
      <w:r>
        <w:rPr>
          <w:rFonts w:ascii="Georgia" w:hAnsi="Georgia"/>
          <w:b/>
          <w:color w:val="1F3A5F"/>
          <w:sz w:val="28"/>
        </w:rPr>
        <w:t>5.  What happens when a user asks a question</w:t>
      </w:r>
    </w:p>
    <w:p>
      <w:pPr>
        <w:spacing w:after="160"/>
      </w:pPr>
      <w:r>
        <w:rPr>
          <w:i w:val="0"/>
          <w:color w:val="262626"/>
          <w:sz w:val="21"/>
        </w:rPr>
        <w:t>Eight steps from question to answer. Repeated questions short-circuit at step 3: the cached SQL template is reused, skipping the LLM entirely — faster and cheaper, while RBAC scoping and execution still run per user.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9543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54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80"/>
      </w:pPr>
      <w:r>
        <w:rPr>
          <w:rFonts w:ascii="Georgia" w:hAnsi="Georgia"/>
          <w:b/>
          <w:color w:val="1F3A5F"/>
          <w:sz w:val="28"/>
        </w:rPr>
        <w:t>6.  Safety and governance, in brief</w:t>
      </w:r>
    </w:p>
    <w:p>
      <w:pPr>
        <w:pStyle w:val="ListBullet"/>
        <w:spacing w:after="40"/>
      </w:pPr>
      <w:r>
        <w:rPr>
          <w:b/>
          <w:sz w:val="21"/>
        </w:rPr>
        <w:t xml:space="preserve">Read-only by construction — </w:t>
      </w:r>
      <w:r>
        <w:rPr>
          <w:sz w:val="21"/>
        </w:rPr>
        <w:t>The AST-based gate only lets a single SELECT through — INSERT, UPDATE, DELETE, and DDL are structurally impossible, regardless of what the LLM produces.</w:t>
      </w:r>
    </w:p>
    <w:p>
      <w:pPr>
        <w:pStyle w:val="ListBullet"/>
        <w:spacing w:after="40"/>
      </w:pPr>
      <w:r>
        <w:rPr>
          <w:b/>
          <w:sz w:val="21"/>
        </w:rPr>
        <w:t xml:space="preserve">Row-level security — </w:t>
      </w:r>
      <w:r>
        <w:rPr>
          <w:sz w:val="21"/>
        </w:rPr>
        <w:t>Geography and sales-hierarchy filters are injected into every query from the user's profile. Two users asking the same question see only their own data.</w:t>
      </w:r>
    </w:p>
    <w:p>
      <w:pPr>
        <w:pStyle w:val="ListBullet"/>
        <w:spacing w:after="40"/>
      </w:pPr>
      <w:r>
        <w:rPr>
          <w:b/>
          <w:sz w:val="21"/>
        </w:rPr>
        <w:t xml:space="preserve">No hallucinated numbers — </w:t>
      </w:r>
      <w:r>
        <w:rPr>
          <w:sz w:val="21"/>
        </w:rPr>
        <w:t>Totals in answers are computed deterministically in code, and the full result table is rendered from the actual rows — the LLM only words the summary.</w:t>
      </w:r>
    </w:p>
    <w:p>
      <w:pPr>
        <w:pStyle w:val="ListBullet"/>
        <w:spacing w:after="40"/>
      </w:pPr>
      <w:r>
        <w:rPr>
          <w:b/>
          <w:sz w:val="21"/>
        </w:rPr>
        <w:t xml:space="preserve">Complete audit trail — </w:t>
      </w:r>
      <w:r>
        <w:rPr>
          <w:sz w:val="21"/>
        </w:rPr>
        <w:t>Every attempt — successful, blocked, or failed — is recorded with the user, the SQL, row counts, token usage, and timing.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