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B547E"/>
          <w:sz w:val="22"/>
        </w:rPr>
        <w:t>CHENNAI INSTITUTE OF TECHNOLOGY (AUTONOMOUS)</w:t>
        <w:br/>
      </w:r>
      <w:r>
        <w:rPr>
          <w:rFonts w:ascii="Calibri" w:hAnsi="Calibri"/>
          <w:color w:val="282828"/>
          <w:sz w:val="19"/>
        </w:rPr>
        <w:t>Department of Computer Science and Engineering (CS &amp; Business Systems)</w:t>
        <w:br/>
        <w:t>Affiliated to Anna University, Chennai</w:t>
      </w:r>
    </w:p>
    <w:p>
      <w:pPr>
        <w:spacing w:before="320" w:after="120"/>
      </w:pPr>
      <w:r>
        <w:rPr>
          <w:rFonts w:ascii="Calibri" w:hAnsi="Calibri"/>
          <w:b/>
          <w:color w:val="1B365D"/>
          <w:sz w:val="44"/>
        </w:rPr>
        <w:t>CogniSignal: An Adaptive Multi-Model Machine Learning Pipeline for Real-Time PCU-Weighted Dynamic Traffic Signal Optimization</w:t>
      </w:r>
    </w:p>
    <w:p>
      <w:pPr>
        <w:spacing w:after="280"/>
      </w:pPr>
      <w:r>
        <w:rPr>
          <w:rFonts w:ascii="Calibri" w:hAnsi="Calibri"/>
          <w:color w:val="005A70"/>
          <w:sz w:val="24"/>
        </w:rPr>
        <w:t>Comprehensive Technical Documentation, Algorithmic Specification &amp; Architectural Reference Manual</w:t>
        <w:br/>
        <w:t>Course Code: CB5305 – Machine Learning Project-Based Learning (PBL)</w:t>
      </w:r>
    </w:p>
    <w:tbl>
      <w:tblPr>
        <w:tblW w:type="auto" w:w="0"/>
        <w:tblLook w:firstColumn="1" w:firstRow="1" w:lastColumn="0" w:lastRow="0" w:noHBand="0" w:noVBand="1" w:val="04A0"/>
        <w:jc w:val="center"/>
        <w:tblBorders>
          <w:top w:val="single" w:sz="6" w:space="0" w:color="B0C4DE"/>
          <w:bottom w:val="single" w:sz="6" w:space="0" w:color="B0C4DE"/>
          <w:insideH w:val="single" w:sz="6" w:space="0" w:color="B0C4DE"/>
          <w:insideV w:val="none"/>
          <w:left w:val="none"/>
          <w:right w:val="none"/>
        </w:tblBorders>
        <w:tblBorders>
          <w:top w:val="single" w:sz="4" w:space="0" w:color="D1D5DB"/>
          <w:bottom w:val="single" w:sz="4" w:space="0" w:color="D1D5DB"/>
          <w:insideH w:val="single" w:sz="4" w:space="0" w:color="D1D5DB"/>
          <w:insideV w:val="none"/>
          <w:left w:val="none"/>
          <w:right w:val="none"/>
        </w:tblBorders>
      </w:tblPr>
      <w:tblGrid>
        <w:gridCol w:w="4680"/>
        <w:gridCol w:w="4680"/>
      </w:tblGrid>
      <w:tr>
        <w:tc>
          <w:tcPr>
            <w:tcW w:type="dxa" w:w="4608"/>
            <w:shd w:fill="1B365D"/>
            <w:tcMar>
              <w:top w:w="120" w:type="dxa"/>
              <w:bottom w:w="120" w:type="dxa"/>
              <w:left w:w="150" w:type="dxa"/>
              <w:right w:w="150" w:type="dxa"/>
            </w:tcMar>
          </w:tcPr>
          <w:p>
            <w:pPr>
              <w:spacing w:before="0" w:after="0"/>
              <w:jc w:val="center"/>
            </w:pPr>
            <w:r>
              <w:rPr>
                <w:rFonts w:ascii="Calibri" w:hAnsi="Calibri"/>
                <w:b/>
                <w:color w:val="FFFFFF"/>
                <w:sz w:val="20"/>
              </w:rPr>
              <w:t>Project Contributor / Student</w:t>
            </w:r>
          </w:p>
        </w:tc>
        <w:tc>
          <w:tcPr>
            <w:tcW w:type="dxa" w:w="4752"/>
            <w:shd w:fill="1B365D"/>
            <w:tcMar>
              <w:top w:w="120" w:type="dxa"/>
              <w:bottom w:w="120" w:type="dxa"/>
              <w:left w:w="150" w:type="dxa"/>
              <w:right w:w="150" w:type="dxa"/>
            </w:tcMar>
          </w:tcPr>
          <w:p>
            <w:pPr>
              <w:spacing w:before="0" w:after="0"/>
              <w:jc w:val="center"/>
            </w:pPr>
            <w:r>
              <w:rPr>
                <w:rFonts w:ascii="Calibri" w:hAnsi="Calibri"/>
                <w:b/>
                <w:color w:val="FFFFFF"/>
                <w:sz w:val="20"/>
              </w:rPr>
              <w:t>Academic Registration No. &amp; Dept.</w:t>
            </w:r>
          </w:p>
        </w:tc>
      </w:tr>
      <w:tr>
        <w:tc>
          <w:tcPr>
            <w:tcW w:type="dxa" w:w="4608"/>
            <w:tcMar>
              <w:top w:w="90" w:type="dxa"/>
              <w:bottom w:w="90" w:type="dxa"/>
              <w:left w:w="150" w:type="dxa"/>
              <w:right w:w="150" w:type="dxa"/>
            </w:tcMar>
          </w:tcPr>
          <w:p>
            <w:pPr>
              <w:spacing w:before="0" w:after="0"/>
              <w:jc w:val="left"/>
            </w:pPr>
            <w:r>
              <w:rPr>
                <w:rFonts w:ascii="Calibri" w:hAnsi="Calibri"/>
                <w:color w:val="282828"/>
                <w:sz w:val="19"/>
              </w:rPr>
              <w:t>MITHUN PRASATH LOGESH</w:t>
            </w:r>
          </w:p>
        </w:tc>
        <w:tc>
          <w:tcPr>
            <w:tcW w:type="dxa" w:w="4752"/>
            <w:tcMar>
              <w:top w:w="90" w:type="dxa"/>
              <w:bottom w:w="90" w:type="dxa"/>
              <w:left w:w="150" w:type="dxa"/>
              <w:right w:w="150" w:type="dxa"/>
            </w:tcMar>
          </w:tcPr>
          <w:p>
            <w:pPr>
              <w:spacing w:before="0" w:after="0"/>
              <w:jc w:val="left"/>
            </w:pPr>
            <w:r>
              <w:rPr>
                <w:rFonts w:ascii="Calibri" w:hAnsi="Calibri"/>
                <w:color w:val="282828"/>
                <w:sz w:val="19"/>
              </w:rPr>
              <w:t>210425244033 (CSE - CSBS)</w:t>
            </w:r>
          </w:p>
        </w:tc>
      </w:tr>
      <w:tr>
        <w:tc>
          <w:tcPr>
            <w:tcW w:type="dxa" w:w="4608"/>
            <w:tcMar>
              <w:top w:w="90" w:type="dxa"/>
              <w:bottom w:w="90" w:type="dxa"/>
              <w:left w:w="150" w:type="dxa"/>
              <w:right w:w="150" w:type="dxa"/>
            </w:tcMar>
            <w:shd w:fill="F4F6F9"/>
          </w:tcPr>
          <w:p>
            <w:pPr>
              <w:spacing w:before="0" w:after="0"/>
              <w:jc w:val="left"/>
            </w:pPr>
            <w:r>
              <w:rPr>
                <w:rFonts w:ascii="Calibri" w:hAnsi="Calibri"/>
                <w:color w:val="282828"/>
                <w:sz w:val="19"/>
              </w:rPr>
              <w:t>GIRISH.R</w:t>
            </w:r>
          </w:p>
        </w:tc>
        <w:tc>
          <w:tcPr>
            <w:tcW w:type="dxa" w:w="4752"/>
            <w:tcMar>
              <w:top w:w="90" w:type="dxa"/>
              <w:bottom w:w="90" w:type="dxa"/>
              <w:left w:w="150" w:type="dxa"/>
              <w:right w:w="150" w:type="dxa"/>
            </w:tcMar>
            <w:shd w:fill="F4F6F9"/>
          </w:tcPr>
          <w:p>
            <w:pPr>
              <w:spacing w:before="0" w:after="0"/>
              <w:jc w:val="left"/>
            </w:pPr>
            <w:r>
              <w:rPr>
                <w:rFonts w:ascii="Calibri" w:hAnsi="Calibri"/>
                <w:color w:val="282828"/>
                <w:sz w:val="19"/>
              </w:rPr>
              <w:t>210425244045 (CSE - CSBS)</w:t>
            </w:r>
          </w:p>
        </w:tc>
      </w:tr>
    </w:tbl>
    <w:p>
      <w:pPr>
        <w:spacing w:before="160" w:after="360"/>
      </w:pPr>
      <w:r>
        <w:rPr>
          <w:rFonts w:ascii="Calibri" w:hAnsi="Calibri"/>
          <w:i/>
          <w:color w:val="2B547E"/>
          <w:sz w:val="20"/>
        </w:rPr>
        <w:t>Faculty Mentor: Dr. N. Kirubakaran B.E M.Tech, Associate Professor, Dept. of CSBS</w:t>
        <w:br/>
        <w:t>Date of Review: October 2026</w:t>
      </w:r>
    </w:p>
    <w:p>
      <w:r>
        <w:br w:type="page"/>
      </w:r>
    </w:p>
    <w:p>
      <w:pPr>
        <w:keepNext/>
        <w:spacing w:before="360" w:after="120"/>
      </w:pPr>
      <w:r>
        <w:rPr>
          <w:rFonts w:ascii="Calibri" w:hAnsi="Calibri"/>
          <w:b/>
          <w:color w:val="1B365D"/>
          <w:sz w:val="36"/>
        </w:rPr>
        <w:t>1. Executive Summary &amp; Problem Formulation</w:t>
      </w:r>
    </w:p>
    <w:p>
      <w:pPr>
        <w:spacing w:after="120" w:line="276" w:lineRule="auto"/>
      </w:pPr>
      <w:r>
        <w:rPr>
          <w:rFonts w:ascii="Calibri" w:hAnsi="Calibri"/>
          <w:color w:val="282828"/>
          <w:sz w:val="21"/>
        </w:rPr>
        <w:t>As global urbanization accelerates, vehicular traffic congestion has emerged as a pervasive infrastructure bottleneck, severely impacting economic productivity, environmental sustainability, and public safety. Traditional municipal traffic control systems predominantly rely on static, pre-timed schedule cycles (e.g., rigid 45-second or 60-second fixed greens) or maintenance-heavy physical induction loops buried beneath asphalt. Consequently, urban intersections routinely display green lights to completely empty lanes while congested intersecting lanes remain trapped in gridlock, generating excessive carbon emissions, fuel waste, and life-threatening delays for emergency response vehicles.</w:t>
      </w:r>
    </w:p>
    <w:p>
      <w:pPr>
        <w:spacing w:after="120" w:line="276" w:lineRule="auto"/>
      </w:pPr>
      <w:r>
        <w:rPr>
          <w:rFonts w:ascii="Calibri" w:hAnsi="Calibri"/>
          <w:color w:val="282828"/>
          <w:sz w:val="21"/>
        </w:rPr>
        <w:t>CogniSignal provides an end-to-end intelligent transportation solution that converts standard Closed-Circuit Television (CCTV) cameras into real-time computer vision traffic sensors. Unlike conventional systems that perform simple binary vehicle counts, CogniSignal incorporates standard Transportation Engineering Passenger Car Unit (PCU) load weighting. The system processes camera frames through a 6-stage OpenCV feature extraction pipeline, benchmarks three deep learning detectors (Custom PyTorch CNN built from scratch, Faster R-CNN, and YOLOv8 Small), and utilizes tabular Random Forest models to adaptively compute optimal green light durations between 15 and 90 seconds, achieving a simulated intersection waiting time reduction of 20% to 40%.</w:t>
      </w:r>
    </w:p>
    <w:tbl>
      <w:tblPr>
        <w:tblW w:type="auto" w:w="0"/>
        <w:jc w:val="center"/>
        <w:tblLook w:firstColumn="1" w:firstRow="1" w:lastColumn="0" w:lastRow="0" w:noHBand="0" w:noVBand="1" w:val="04A0"/>
      </w:tblPr>
      <w:tblGrid>
        <w:gridCol w:w="9360"/>
      </w:tblGrid>
      <w:tr>
        <w:tc>
          <w:tcPr>
            <w:tcW w:type="dxa" w:w="9360"/>
            <w:tcBorders>
              <w:top w:val="none"/>
              <w:left w:val="single" w:sz="24" w:color="005A70"/>
              <w:bottom w:val="none"/>
              <w:right w:val="none"/>
            </w:tcBorders>
            <w:shd w:fill="EDF4F7"/>
            <w:tcMar>
              <w:top w:w="140" w:type="dxa"/>
              <w:bottom w:w="140" w:type="dxa"/>
              <w:left w:w="200" w:type="dxa"/>
              <w:right w:w="200" w:type="dxa"/>
            </w:tcMar>
          </w:tcPr>
          <w:p>
            <w:pPr>
              <w:spacing w:before="40" w:after="40"/>
            </w:pPr>
            <w:r>
              <w:rPr>
                <w:rFonts w:ascii="Calibri" w:hAnsi="Calibri"/>
                <w:b/>
                <w:color w:val="005A70"/>
                <w:sz w:val="19"/>
              </w:rPr>
              <w:t>[CORE NOVELTY PRINCIPLE]</w:t>
              <w:br/>
            </w:r>
            <w:r>
              <w:rPr>
                <w:rFonts w:ascii="Calibri" w:hAnsi="Calibri"/>
                <w:i/>
                <w:color w:val="282828"/>
                <w:sz w:val="20"/>
              </w:rPr>
              <w:t>Key Engineering Breakthrough: Bridging deep learning computer vision with transportation engineering PCU weightings allows our controller to distinguish the actual physical road occupancy of multi-axle trucks (3.0 PCU) and city buses (2.5 PCU) compared to two-wheelers (0.5 PCU), preventing systemic gridlock caused by size-blind vehicle counting.</w:t>
            </w:r>
          </w:p>
        </w:tc>
      </w:tr>
    </w:tbl>
    <w:p>
      <w:pPr>
        <w:spacing w:after="80"/>
      </w:pPr>
    </w:p>
    <w:p>
      <w:pPr>
        <w:keepNext/>
        <w:spacing w:before="360" w:after="120"/>
      </w:pPr>
      <w:r>
        <w:rPr>
          <w:rFonts w:ascii="Calibri" w:hAnsi="Calibri"/>
          <w:b/>
          <w:color w:val="1B365D"/>
          <w:sz w:val="36"/>
        </w:rPr>
        <w:t>2. End-to-End Technology Stack &amp; Environment</w:t>
      </w:r>
    </w:p>
    <w:p>
      <w:pPr>
        <w:spacing w:after="120" w:line="276" w:lineRule="auto"/>
      </w:pPr>
      <w:r>
        <w:rPr>
          <w:rFonts w:ascii="Calibri" w:hAnsi="Calibri"/>
          <w:color w:val="282828"/>
          <w:sz w:val="21"/>
        </w:rPr>
        <w:t>CogniSignal is implemented entirely in an open-source, modular Python ecosystem designed for rapid deployment, low software licensing costs, and robust execution on standard consumer laptops or edge hardware:</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160"/>
            <w:shd w:fill="1B365D"/>
            <w:tcMar>
              <w:top w:w="120" w:type="dxa"/>
              <w:bottom w:w="120" w:type="dxa"/>
              <w:left w:w="150" w:type="dxa"/>
              <w:right w:w="150" w:type="dxa"/>
            </w:tcMar>
          </w:tcPr>
          <w:p>
            <w:pPr>
              <w:spacing w:before="0" w:after="0"/>
              <w:jc w:val="center"/>
            </w:pPr>
            <w:r>
              <w:rPr>
                <w:rFonts w:ascii="Calibri" w:hAnsi="Calibri"/>
                <w:b/>
                <w:color w:val="FFFFFF"/>
                <w:sz w:val="20"/>
              </w:rPr>
              <w:t>Layer / Domain</w:t>
            </w:r>
          </w:p>
        </w:tc>
        <w:tc>
          <w:tcPr>
            <w:tcW w:type="dxa" w:w="2592"/>
            <w:shd w:fill="1B365D"/>
            <w:tcMar>
              <w:top w:w="120" w:type="dxa"/>
              <w:bottom w:w="120" w:type="dxa"/>
              <w:left w:w="150" w:type="dxa"/>
              <w:right w:w="150" w:type="dxa"/>
            </w:tcMar>
          </w:tcPr>
          <w:p>
            <w:pPr>
              <w:spacing w:before="0" w:after="0"/>
              <w:jc w:val="center"/>
            </w:pPr>
            <w:r>
              <w:rPr>
                <w:rFonts w:ascii="Calibri" w:hAnsi="Calibri"/>
                <w:b/>
                <w:color w:val="FFFFFF"/>
                <w:sz w:val="20"/>
              </w:rPr>
              <w:t>Technology &amp; Library</w:t>
            </w:r>
          </w:p>
        </w:tc>
        <w:tc>
          <w:tcPr>
            <w:tcW w:type="dxa" w:w="1584"/>
            <w:shd w:fill="1B365D"/>
            <w:tcMar>
              <w:top w:w="120" w:type="dxa"/>
              <w:bottom w:w="120" w:type="dxa"/>
              <w:left w:w="150" w:type="dxa"/>
              <w:right w:w="150" w:type="dxa"/>
            </w:tcMar>
          </w:tcPr>
          <w:p>
            <w:pPr>
              <w:spacing w:before="0" w:after="0"/>
              <w:jc w:val="center"/>
            </w:pPr>
            <w:r>
              <w:rPr>
                <w:rFonts w:ascii="Calibri" w:hAnsi="Calibri"/>
                <w:b/>
                <w:color w:val="FFFFFF"/>
                <w:sz w:val="20"/>
              </w:rPr>
              <w:t>Version</w:t>
            </w:r>
          </w:p>
        </w:tc>
        <w:tc>
          <w:tcPr>
            <w:tcW w:type="dxa" w:w="3024"/>
            <w:shd w:fill="1B365D"/>
            <w:tcMar>
              <w:top w:w="120" w:type="dxa"/>
              <w:bottom w:w="120" w:type="dxa"/>
              <w:left w:w="150" w:type="dxa"/>
              <w:right w:w="150" w:type="dxa"/>
            </w:tcMar>
          </w:tcPr>
          <w:p>
            <w:pPr>
              <w:spacing w:before="0" w:after="0"/>
              <w:jc w:val="center"/>
            </w:pPr>
            <w:r>
              <w:rPr>
                <w:rFonts w:ascii="Calibri" w:hAnsi="Calibri"/>
                <w:b/>
                <w:color w:val="FFFFFF"/>
                <w:sz w:val="20"/>
              </w:rPr>
              <w:t>System Architectural Role</w:t>
            </w:r>
          </w:p>
        </w:tc>
      </w:tr>
      <w:tr>
        <w:tc>
          <w:tcPr>
            <w:tcW w:type="dxa" w:w="2160"/>
            <w:tcMar>
              <w:top w:w="90" w:type="dxa"/>
              <w:bottom w:w="90" w:type="dxa"/>
              <w:left w:w="150" w:type="dxa"/>
              <w:right w:w="150" w:type="dxa"/>
            </w:tcMar>
          </w:tcPr>
          <w:p>
            <w:pPr>
              <w:spacing w:before="0" w:after="0"/>
              <w:jc w:val="left"/>
            </w:pPr>
            <w:r>
              <w:rPr>
                <w:rFonts w:ascii="Calibri" w:hAnsi="Calibri"/>
                <w:color w:val="282828"/>
                <w:sz w:val="19"/>
              </w:rPr>
              <w:t>Runtime Language</w:t>
            </w:r>
          </w:p>
        </w:tc>
        <w:tc>
          <w:tcPr>
            <w:tcW w:type="dxa" w:w="2592"/>
            <w:tcMar>
              <w:top w:w="90" w:type="dxa"/>
              <w:bottom w:w="90" w:type="dxa"/>
              <w:left w:w="150" w:type="dxa"/>
              <w:right w:w="150" w:type="dxa"/>
            </w:tcMar>
          </w:tcPr>
          <w:p>
            <w:pPr>
              <w:spacing w:before="0" w:after="0"/>
              <w:jc w:val="center"/>
            </w:pPr>
            <w:r>
              <w:rPr>
                <w:rFonts w:ascii="Calibri" w:hAnsi="Calibri"/>
                <w:color w:val="282828"/>
                <w:sz w:val="19"/>
              </w:rPr>
              <w:t>Python</w:t>
            </w:r>
          </w:p>
        </w:tc>
        <w:tc>
          <w:tcPr>
            <w:tcW w:type="dxa" w:w="1584"/>
            <w:tcMar>
              <w:top w:w="90" w:type="dxa"/>
              <w:bottom w:w="90" w:type="dxa"/>
              <w:left w:w="150" w:type="dxa"/>
              <w:right w:w="150" w:type="dxa"/>
            </w:tcMar>
          </w:tcPr>
          <w:p>
            <w:pPr>
              <w:spacing w:before="0" w:after="0"/>
              <w:jc w:val="center"/>
            </w:pPr>
            <w:r>
              <w:rPr>
                <w:rFonts w:ascii="Calibri" w:hAnsi="Calibri"/>
                <w:color w:val="282828"/>
                <w:sz w:val="19"/>
              </w:rPr>
              <w:t>3.10+ / 3.13</w:t>
            </w:r>
          </w:p>
        </w:tc>
        <w:tc>
          <w:tcPr>
            <w:tcW w:type="dxa" w:w="3024"/>
            <w:tcMar>
              <w:top w:w="90" w:type="dxa"/>
              <w:bottom w:w="90" w:type="dxa"/>
              <w:left w:w="150" w:type="dxa"/>
              <w:right w:w="150" w:type="dxa"/>
            </w:tcMar>
          </w:tcPr>
          <w:p>
            <w:pPr>
              <w:spacing w:before="0" w:after="0"/>
              <w:jc w:val="left"/>
            </w:pPr>
            <w:r>
              <w:rPr>
                <w:rFonts w:ascii="Calibri" w:hAnsi="Calibri"/>
                <w:color w:val="282828"/>
                <w:sz w:val="19"/>
              </w:rPr>
              <w:t>Base scientific computing and runtime scripting environment.</w:t>
            </w:r>
          </w:p>
        </w:tc>
      </w:tr>
      <w:tr>
        <w:tc>
          <w:tcPr>
            <w:tcW w:type="dxa" w:w="2160"/>
            <w:tcMar>
              <w:top w:w="90" w:type="dxa"/>
              <w:bottom w:w="90" w:type="dxa"/>
              <w:left w:w="150" w:type="dxa"/>
              <w:right w:w="150" w:type="dxa"/>
            </w:tcMar>
            <w:shd w:fill="F4F6F9"/>
          </w:tcPr>
          <w:p>
            <w:pPr>
              <w:spacing w:before="0" w:after="0"/>
              <w:jc w:val="left"/>
            </w:pPr>
            <w:r>
              <w:rPr>
                <w:rFonts w:ascii="Calibri" w:hAnsi="Calibri"/>
                <w:color w:val="282828"/>
                <w:sz w:val="19"/>
              </w:rPr>
              <w:t>Deep Learning Engine</w:t>
            </w:r>
          </w:p>
        </w:tc>
        <w:tc>
          <w:tcPr>
            <w:tcW w:type="dxa" w:w="2592"/>
            <w:tcMar>
              <w:top w:w="90" w:type="dxa"/>
              <w:bottom w:w="90" w:type="dxa"/>
              <w:left w:w="150" w:type="dxa"/>
              <w:right w:w="150" w:type="dxa"/>
            </w:tcMar>
            <w:shd w:fill="F4F6F9"/>
          </w:tcPr>
          <w:p>
            <w:pPr>
              <w:spacing w:before="0" w:after="0"/>
              <w:jc w:val="left"/>
            </w:pPr>
            <w:r>
              <w:rPr>
                <w:rFonts w:ascii="Calibri" w:hAnsi="Calibri"/>
                <w:color w:val="282828"/>
                <w:sz w:val="19"/>
              </w:rPr>
              <w:t>PyTorch (torch)</w:t>
            </w:r>
          </w:p>
        </w:tc>
        <w:tc>
          <w:tcPr>
            <w:tcW w:type="dxa" w:w="1584"/>
            <w:tcMar>
              <w:top w:w="90" w:type="dxa"/>
              <w:bottom w:w="90" w:type="dxa"/>
              <w:left w:w="150" w:type="dxa"/>
              <w:right w:w="150" w:type="dxa"/>
            </w:tcMar>
            <w:shd w:fill="F4F6F9"/>
          </w:tcPr>
          <w:p>
            <w:pPr>
              <w:spacing w:before="0" w:after="0"/>
              <w:jc w:val="center"/>
            </w:pPr>
            <w:r>
              <w:rPr>
                <w:rFonts w:ascii="Calibri" w:hAnsi="Calibri"/>
                <w:color w:val="282828"/>
                <w:sz w:val="19"/>
              </w:rPr>
              <w:t>2.14.1</w:t>
            </w:r>
          </w:p>
        </w:tc>
        <w:tc>
          <w:tcPr>
            <w:tcW w:type="dxa" w:w="3024"/>
            <w:tcMar>
              <w:top w:w="90" w:type="dxa"/>
              <w:bottom w:w="90" w:type="dxa"/>
              <w:left w:w="150" w:type="dxa"/>
              <w:right w:w="150" w:type="dxa"/>
            </w:tcMar>
            <w:shd w:fill="F4F6F9"/>
          </w:tcPr>
          <w:p>
            <w:pPr>
              <w:spacing w:before="0" w:after="0"/>
              <w:jc w:val="left"/>
            </w:pPr>
            <w:r>
              <w:rPr>
                <w:rFonts w:ascii="Calibri" w:hAnsi="Calibri"/>
                <w:color w:val="282828"/>
                <w:sz w:val="19"/>
              </w:rPr>
              <w:t>Custom CNN tensor graph, autograd, Kaiming init, forward-backward loss.</w:t>
            </w:r>
          </w:p>
        </w:tc>
      </w:tr>
      <w:tr>
        <w:tc>
          <w:tcPr>
            <w:tcW w:type="dxa" w:w="2160"/>
            <w:tcMar>
              <w:top w:w="90" w:type="dxa"/>
              <w:bottom w:w="90" w:type="dxa"/>
              <w:left w:w="150" w:type="dxa"/>
              <w:right w:w="150" w:type="dxa"/>
            </w:tcMar>
          </w:tcPr>
          <w:p>
            <w:pPr>
              <w:spacing w:before="0" w:after="0"/>
              <w:jc w:val="left"/>
            </w:pPr>
            <w:r>
              <w:rPr>
                <w:rFonts w:ascii="Calibri" w:hAnsi="Calibri"/>
                <w:color w:val="282828"/>
                <w:sz w:val="19"/>
              </w:rPr>
              <w:t>Two-Stage Vision</w:t>
            </w:r>
          </w:p>
        </w:tc>
        <w:tc>
          <w:tcPr>
            <w:tcW w:type="dxa" w:w="2592"/>
            <w:tcMar>
              <w:top w:w="90" w:type="dxa"/>
              <w:bottom w:w="90" w:type="dxa"/>
              <w:left w:w="150" w:type="dxa"/>
              <w:right w:w="150" w:type="dxa"/>
            </w:tcMar>
          </w:tcPr>
          <w:p>
            <w:pPr>
              <w:spacing w:before="0" w:after="0"/>
              <w:jc w:val="center"/>
            </w:pPr>
            <w:r>
              <w:rPr>
                <w:rFonts w:ascii="Calibri" w:hAnsi="Calibri"/>
                <w:color w:val="282828"/>
                <w:sz w:val="19"/>
              </w:rPr>
              <w:t>Torchvision</w:t>
            </w:r>
          </w:p>
        </w:tc>
        <w:tc>
          <w:tcPr>
            <w:tcW w:type="dxa" w:w="1584"/>
            <w:tcMar>
              <w:top w:w="90" w:type="dxa"/>
              <w:bottom w:w="90" w:type="dxa"/>
              <w:left w:w="150" w:type="dxa"/>
              <w:right w:w="150" w:type="dxa"/>
            </w:tcMar>
          </w:tcPr>
          <w:p>
            <w:pPr>
              <w:spacing w:before="0" w:after="0"/>
              <w:jc w:val="center"/>
            </w:pPr>
            <w:r>
              <w:rPr>
                <w:rFonts w:ascii="Calibri" w:hAnsi="Calibri"/>
                <w:color w:val="282828"/>
                <w:sz w:val="19"/>
              </w:rPr>
              <w:t>0.29.1</w:t>
            </w:r>
          </w:p>
        </w:tc>
        <w:tc>
          <w:tcPr>
            <w:tcW w:type="dxa" w:w="3024"/>
            <w:tcMar>
              <w:top w:w="90" w:type="dxa"/>
              <w:bottom w:w="90" w:type="dxa"/>
              <w:left w:w="150" w:type="dxa"/>
              <w:right w:w="150" w:type="dxa"/>
            </w:tcMar>
          </w:tcPr>
          <w:p>
            <w:pPr>
              <w:spacing w:before="0" w:after="0"/>
              <w:jc w:val="left"/>
            </w:pPr>
            <w:r>
              <w:rPr>
                <w:rFonts w:ascii="Calibri" w:hAnsi="Calibri"/>
                <w:color w:val="282828"/>
                <w:sz w:val="19"/>
              </w:rPr>
              <w:t>Pre-trained MobileNetV3 Feature Pyramid Network (FPN) backbone.</w:t>
            </w:r>
          </w:p>
        </w:tc>
      </w:tr>
      <w:tr>
        <w:tc>
          <w:tcPr>
            <w:tcW w:type="dxa" w:w="2160"/>
            <w:tcMar>
              <w:top w:w="90" w:type="dxa"/>
              <w:bottom w:w="90" w:type="dxa"/>
              <w:left w:w="150" w:type="dxa"/>
              <w:right w:w="150" w:type="dxa"/>
            </w:tcMar>
            <w:shd w:fill="F4F6F9"/>
          </w:tcPr>
          <w:p>
            <w:pPr>
              <w:spacing w:before="0" w:after="0"/>
              <w:jc w:val="left"/>
            </w:pPr>
            <w:r>
              <w:rPr>
                <w:rFonts w:ascii="Calibri" w:hAnsi="Calibri"/>
                <w:color w:val="282828"/>
                <w:sz w:val="19"/>
              </w:rPr>
              <w:t>Real-Time Detector</w:t>
            </w:r>
          </w:p>
        </w:tc>
        <w:tc>
          <w:tcPr>
            <w:tcW w:type="dxa" w:w="2592"/>
            <w:tcMar>
              <w:top w:w="90" w:type="dxa"/>
              <w:bottom w:w="90" w:type="dxa"/>
              <w:left w:w="150" w:type="dxa"/>
              <w:right w:w="150" w:type="dxa"/>
            </w:tcMar>
            <w:shd w:fill="F4F6F9"/>
          </w:tcPr>
          <w:p>
            <w:pPr>
              <w:spacing w:before="0" w:after="0"/>
              <w:jc w:val="left"/>
            </w:pPr>
            <w:r>
              <w:rPr>
                <w:rFonts w:ascii="Calibri" w:hAnsi="Calibri"/>
                <w:color w:val="282828"/>
                <w:sz w:val="19"/>
              </w:rPr>
              <w:t>Ultralytics YOLOv8</w:t>
            </w:r>
          </w:p>
        </w:tc>
        <w:tc>
          <w:tcPr>
            <w:tcW w:type="dxa" w:w="1584"/>
            <w:tcMar>
              <w:top w:w="90" w:type="dxa"/>
              <w:bottom w:w="90" w:type="dxa"/>
              <w:left w:w="150" w:type="dxa"/>
              <w:right w:w="150" w:type="dxa"/>
            </w:tcMar>
            <w:shd w:fill="F4F6F9"/>
          </w:tcPr>
          <w:p>
            <w:pPr>
              <w:spacing w:before="0" w:after="0"/>
              <w:jc w:val="center"/>
            </w:pPr>
            <w:r>
              <w:rPr>
                <w:rFonts w:ascii="Calibri" w:hAnsi="Calibri"/>
                <w:color w:val="282828"/>
                <w:sz w:val="19"/>
              </w:rPr>
              <w:t>8.4.174</w:t>
            </w:r>
          </w:p>
        </w:tc>
        <w:tc>
          <w:tcPr>
            <w:tcW w:type="dxa" w:w="3024"/>
            <w:tcMar>
              <w:top w:w="90" w:type="dxa"/>
              <w:bottom w:w="90" w:type="dxa"/>
              <w:left w:w="150" w:type="dxa"/>
              <w:right w:w="150" w:type="dxa"/>
            </w:tcMar>
            <w:shd w:fill="F4F6F9"/>
          </w:tcPr>
          <w:p>
            <w:pPr>
              <w:spacing w:before="0" w:after="0"/>
              <w:jc w:val="left"/>
            </w:pPr>
            <w:r>
              <w:rPr>
                <w:rFonts w:ascii="Calibri" w:hAnsi="Calibri"/>
                <w:color w:val="282828"/>
                <w:sz w:val="19"/>
              </w:rPr>
              <w:t>High-throughput anchor-free detection engine (yolov8n.pt).</w:t>
            </w:r>
          </w:p>
        </w:tc>
      </w:tr>
      <w:tr>
        <w:tc>
          <w:tcPr>
            <w:tcW w:type="dxa" w:w="2160"/>
            <w:tcMar>
              <w:top w:w="90" w:type="dxa"/>
              <w:bottom w:w="90" w:type="dxa"/>
              <w:left w:w="150" w:type="dxa"/>
              <w:right w:w="150" w:type="dxa"/>
            </w:tcMar>
          </w:tcPr>
          <w:p>
            <w:pPr>
              <w:spacing w:before="0" w:after="0"/>
              <w:jc w:val="left"/>
            </w:pPr>
            <w:r>
              <w:rPr>
                <w:rFonts w:ascii="Calibri" w:hAnsi="Calibri"/>
                <w:color w:val="282828"/>
                <w:sz w:val="19"/>
              </w:rPr>
              <w:t>Computer Vision</w:t>
            </w:r>
          </w:p>
        </w:tc>
        <w:tc>
          <w:tcPr>
            <w:tcW w:type="dxa" w:w="2592"/>
            <w:tcMar>
              <w:top w:w="90" w:type="dxa"/>
              <w:bottom w:w="90" w:type="dxa"/>
              <w:left w:w="150" w:type="dxa"/>
              <w:right w:w="150" w:type="dxa"/>
            </w:tcMar>
          </w:tcPr>
          <w:p>
            <w:pPr>
              <w:spacing w:before="0" w:after="0"/>
              <w:jc w:val="left"/>
            </w:pPr>
            <w:r>
              <w:rPr>
                <w:rFonts w:ascii="Calibri" w:hAnsi="Calibri"/>
                <w:color w:val="282828"/>
                <w:sz w:val="19"/>
              </w:rPr>
              <w:t>OpenCV (opencv-python)</w:t>
            </w:r>
          </w:p>
        </w:tc>
        <w:tc>
          <w:tcPr>
            <w:tcW w:type="dxa" w:w="1584"/>
            <w:tcMar>
              <w:top w:w="90" w:type="dxa"/>
              <w:bottom w:w="90" w:type="dxa"/>
              <w:left w:w="150" w:type="dxa"/>
              <w:right w:w="150" w:type="dxa"/>
            </w:tcMar>
          </w:tcPr>
          <w:p>
            <w:pPr>
              <w:spacing w:before="0" w:after="0"/>
              <w:jc w:val="center"/>
            </w:pPr>
            <w:r>
              <w:rPr>
                <w:rFonts w:ascii="Calibri" w:hAnsi="Calibri"/>
                <w:color w:val="282828"/>
                <w:sz w:val="19"/>
              </w:rPr>
              <w:t>5.0.0.93</w:t>
            </w:r>
          </w:p>
        </w:tc>
        <w:tc>
          <w:tcPr>
            <w:tcW w:type="dxa" w:w="3024"/>
            <w:tcMar>
              <w:top w:w="90" w:type="dxa"/>
              <w:bottom w:w="90" w:type="dxa"/>
              <w:left w:w="150" w:type="dxa"/>
              <w:right w:w="150" w:type="dxa"/>
            </w:tcMar>
          </w:tcPr>
          <w:p>
            <w:pPr>
              <w:spacing w:before="0" w:after="0"/>
              <w:jc w:val="left"/>
            </w:pPr>
            <w:r>
              <w:rPr>
                <w:rFonts w:ascii="Calibri" w:hAnsi="Calibri"/>
                <w:color w:val="282828"/>
                <w:sz w:val="19"/>
              </w:rPr>
              <w:t>Spatial filtering, morphology, Canny edges, contour extraction, HUD.</w:t>
            </w:r>
          </w:p>
        </w:tc>
      </w:tr>
      <w:tr>
        <w:tc>
          <w:tcPr>
            <w:tcW w:type="dxa" w:w="2160"/>
            <w:tcMar>
              <w:top w:w="90" w:type="dxa"/>
              <w:bottom w:w="90" w:type="dxa"/>
              <w:left w:w="150" w:type="dxa"/>
              <w:right w:w="150" w:type="dxa"/>
            </w:tcMar>
            <w:shd w:fill="F4F6F9"/>
          </w:tcPr>
          <w:p>
            <w:pPr>
              <w:spacing w:before="0" w:after="0"/>
              <w:jc w:val="left"/>
            </w:pPr>
            <w:r>
              <w:rPr>
                <w:rFonts w:ascii="Calibri" w:hAnsi="Calibri"/>
                <w:color w:val="282828"/>
                <w:sz w:val="19"/>
              </w:rPr>
              <w:t>Tabular Machine Learning</w:t>
            </w:r>
          </w:p>
        </w:tc>
        <w:tc>
          <w:tcPr>
            <w:tcW w:type="dxa" w:w="2592"/>
            <w:tcMar>
              <w:top w:w="90" w:type="dxa"/>
              <w:bottom w:w="90" w:type="dxa"/>
              <w:left w:w="150" w:type="dxa"/>
              <w:right w:w="150" w:type="dxa"/>
            </w:tcMar>
            <w:shd w:fill="F4F6F9"/>
          </w:tcPr>
          <w:p>
            <w:pPr>
              <w:spacing w:before="0" w:after="0"/>
              <w:jc w:val="left"/>
            </w:pPr>
            <w:r>
              <w:rPr>
                <w:rFonts w:ascii="Calibri" w:hAnsi="Calibri"/>
                <w:color w:val="282828"/>
                <w:sz w:val="19"/>
              </w:rPr>
              <w:t>Scikit-Learn (sklearn)</w:t>
            </w:r>
          </w:p>
        </w:tc>
        <w:tc>
          <w:tcPr>
            <w:tcW w:type="dxa" w:w="1584"/>
            <w:tcMar>
              <w:top w:w="90" w:type="dxa"/>
              <w:bottom w:w="90" w:type="dxa"/>
              <w:left w:w="150" w:type="dxa"/>
              <w:right w:w="150" w:type="dxa"/>
            </w:tcMar>
            <w:shd w:fill="F4F6F9"/>
          </w:tcPr>
          <w:p>
            <w:pPr>
              <w:spacing w:before="0" w:after="0"/>
              <w:jc w:val="center"/>
            </w:pPr>
            <w:r>
              <w:rPr>
                <w:rFonts w:ascii="Calibri" w:hAnsi="Calibri"/>
                <w:color w:val="282828"/>
                <w:sz w:val="19"/>
              </w:rPr>
              <w:t>1.9.1</w:t>
            </w:r>
          </w:p>
        </w:tc>
        <w:tc>
          <w:tcPr>
            <w:tcW w:type="dxa" w:w="3024"/>
            <w:tcMar>
              <w:top w:w="90" w:type="dxa"/>
              <w:bottom w:w="90" w:type="dxa"/>
              <w:left w:w="150" w:type="dxa"/>
              <w:right w:w="150" w:type="dxa"/>
            </w:tcMar>
            <w:shd w:fill="F4F6F9"/>
          </w:tcPr>
          <w:p>
            <w:pPr>
              <w:spacing w:before="0" w:after="0"/>
              <w:jc w:val="left"/>
            </w:pPr>
            <w:r>
              <w:rPr>
                <w:rFonts w:ascii="Calibri" w:hAnsi="Calibri"/>
                <w:color w:val="282828"/>
                <w:sz w:val="19"/>
              </w:rPr>
              <w:t>Random Forest classification (congestion) and regression (green timer).</w:t>
            </w:r>
          </w:p>
        </w:tc>
      </w:tr>
      <w:tr>
        <w:tc>
          <w:tcPr>
            <w:tcW w:type="dxa" w:w="2160"/>
            <w:tcMar>
              <w:top w:w="90" w:type="dxa"/>
              <w:bottom w:w="90" w:type="dxa"/>
              <w:left w:w="150" w:type="dxa"/>
              <w:right w:w="150" w:type="dxa"/>
            </w:tcMar>
          </w:tcPr>
          <w:p>
            <w:pPr>
              <w:spacing w:before="0" w:after="0"/>
              <w:jc w:val="left"/>
            </w:pPr>
            <w:r>
              <w:rPr>
                <w:rFonts w:ascii="Calibri" w:hAnsi="Calibri"/>
                <w:color w:val="282828"/>
                <w:sz w:val="19"/>
              </w:rPr>
              <w:t>Data Manipulation</w:t>
            </w:r>
          </w:p>
        </w:tc>
        <w:tc>
          <w:tcPr>
            <w:tcW w:type="dxa" w:w="2592"/>
            <w:tcMar>
              <w:top w:w="90" w:type="dxa"/>
              <w:bottom w:w="90" w:type="dxa"/>
              <w:left w:w="150" w:type="dxa"/>
              <w:right w:w="150" w:type="dxa"/>
            </w:tcMar>
          </w:tcPr>
          <w:p>
            <w:pPr>
              <w:spacing w:before="0" w:after="0"/>
              <w:jc w:val="center"/>
            </w:pPr>
            <w:r>
              <w:rPr>
                <w:rFonts w:ascii="Calibri" w:hAnsi="Calibri"/>
                <w:color w:val="282828"/>
                <w:sz w:val="19"/>
              </w:rPr>
              <w:t>NumPy</w:t>
            </w:r>
          </w:p>
        </w:tc>
        <w:tc>
          <w:tcPr>
            <w:tcW w:type="dxa" w:w="1584"/>
            <w:tcMar>
              <w:top w:w="90" w:type="dxa"/>
              <w:bottom w:w="90" w:type="dxa"/>
              <w:left w:w="150" w:type="dxa"/>
              <w:right w:w="150" w:type="dxa"/>
            </w:tcMar>
          </w:tcPr>
          <w:p>
            <w:pPr>
              <w:spacing w:before="0" w:after="0"/>
              <w:jc w:val="center"/>
            </w:pPr>
            <w:r>
              <w:rPr>
                <w:rFonts w:ascii="Calibri" w:hAnsi="Calibri"/>
                <w:color w:val="282828"/>
                <w:sz w:val="19"/>
              </w:rPr>
              <w:t>2.5.3</w:t>
            </w:r>
          </w:p>
        </w:tc>
        <w:tc>
          <w:tcPr>
            <w:tcW w:type="dxa" w:w="3024"/>
            <w:tcMar>
              <w:top w:w="90" w:type="dxa"/>
              <w:bottom w:w="90" w:type="dxa"/>
              <w:left w:w="150" w:type="dxa"/>
              <w:right w:w="150" w:type="dxa"/>
            </w:tcMar>
          </w:tcPr>
          <w:p>
            <w:pPr>
              <w:spacing w:before="0" w:after="0"/>
              <w:jc w:val="left"/>
            </w:pPr>
            <w:r>
              <w:rPr>
                <w:rFonts w:ascii="Calibri" w:hAnsi="Calibri"/>
                <w:color w:val="282828"/>
                <w:sz w:val="19"/>
              </w:rPr>
              <w:t>Matrix linear algebra, tensor manipulation, and coordinate normalization.</w:t>
            </w:r>
          </w:p>
        </w:tc>
      </w:tr>
      <w:tr>
        <w:tc>
          <w:tcPr>
            <w:tcW w:type="dxa" w:w="2160"/>
            <w:tcMar>
              <w:top w:w="90" w:type="dxa"/>
              <w:bottom w:w="90" w:type="dxa"/>
              <w:left w:w="150" w:type="dxa"/>
              <w:right w:w="150" w:type="dxa"/>
            </w:tcMar>
            <w:shd w:fill="F4F6F9"/>
          </w:tcPr>
          <w:p>
            <w:pPr>
              <w:spacing w:before="0" w:after="0"/>
              <w:jc w:val="left"/>
            </w:pPr>
            <w:r>
              <w:rPr>
                <w:rFonts w:ascii="Calibri" w:hAnsi="Calibri"/>
                <w:color w:val="282828"/>
                <w:sz w:val="19"/>
              </w:rPr>
              <w:t>Data Processing</w:t>
            </w:r>
          </w:p>
        </w:tc>
        <w:tc>
          <w:tcPr>
            <w:tcW w:type="dxa" w:w="2592"/>
            <w:tcMar>
              <w:top w:w="90" w:type="dxa"/>
              <w:bottom w:w="90" w:type="dxa"/>
              <w:left w:w="150" w:type="dxa"/>
              <w:right w:w="150" w:type="dxa"/>
            </w:tcMar>
            <w:shd w:fill="F4F6F9"/>
          </w:tcPr>
          <w:p>
            <w:pPr>
              <w:spacing w:before="0" w:after="0"/>
              <w:jc w:val="center"/>
            </w:pPr>
            <w:r>
              <w:rPr>
                <w:rFonts w:ascii="Calibri" w:hAnsi="Calibri"/>
                <w:color w:val="282828"/>
                <w:sz w:val="19"/>
              </w:rPr>
              <w:t>Pandas</w:t>
            </w:r>
          </w:p>
        </w:tc>
        <w:tc>
          <w:tcPr>
            <w:tcW w:type="dxa" w:w="1584"/>
            <w:tcMar>
              <w:top w:w="90" w:type="dxa"/>
              <w:bottom w:w="90" w:type="dxa"/>
              <w:left w:w="150" w:type="dxa"/>
              <w:right w:w="150" w:type="dxa"/>
            </w:tcMar>
            <w:shd w:fill="F4F6F9"/>
          </w:tcPr>
          <w:p>
            <w:pPr>
              <w:spacing w:before="0" w:after="0"/>
              <w:jc w:val="center"/>
            </w:pPr>
            <w:r>
              <w:rPr>
                <w:rFonts w:ascii="Calibri" w:hAnsi="Calibri"/>
                <w:color w:val="282828"/>
                <w:sz w:val="19"/>
              </w:rPr>
              <w:t>3.0.6</w:t>
            </w:r>
          </w:p>
        </w:tc>
        <w:tc>
          <w:tcPr>
            <w:tcW w:type="dxa" w:w="3024"/>
            <w:tcMar>
              <w:top w:w="90" w:type="dxa"/>
              <w:bottom w:w="90" w:type="dxa"/>
              <w:left w:w="150" w:type="dxa"/>
              <w:right w:w="150" w:type="dxa"/>
            </w:tcMar>
            <w:shd w:fill="F4F6F9"/>
          </w:tcPr>
          <w:p>
            <w:pPr>
              <w:spacing w:before="0" w:after="0"/>
              <w:jc w:val="left"/>
            </w:pPr>
            <w:r>
              <w:rPr>
                <w:rFonts w:ascii="Calibri" w:hAnsi="Calibri"/>
                <w:color w:val="282828"/>
                <w:sz w:val="19"/>
              </w:rPr>
              <w:t>Tabular dataset generation, CSV indexing, and analytics grouping.</w:t>
            </w:r>
          </w:p>
        </w:tc>
      </w:tr>
      <w:tr>
        <w:tc>
          <w:tcPr>
            <w:tcW w:type="dxa" w:w="2160"/>
            <w:tcMar>
              <w:top w:w="90" w:type="dxa"/>
              <w:bottom w:w="90" w:type="dxa"/>
              <w:left w:w="150" w:type="dxa"/>
              <w:right w:w="150" w:type="dxa"/>
            </w:tcMar>
          </w:tcPr>
          <w:p>
            <w:pPr>
              <w:spacing w:before="0" w:after="0"/>
              <w:jc w:val="left"/>
            </w:pPr>
            <w:r>
              <w:rPr>
                <w:rFonts w:ascii="Calibri" w:hAnsi="Calibri"/>
                <w:color w:val="282828"/>
                <w:sz w:val="19"/>
              </w:rPr>
              <w:t>Visual Analytics</w:t>
            </w:r>
          </w:p>
        </w:tc>
        <w:tc>
          <w:tcPr>
            <w:tcW w:type="dxa" w:w="2592"/>
            <w:tcMar>
              <w:top w:w="90" w:type="dxa"/>
              <w:bottom w:w="90" w:type="dxa"/>
              <w:left w:w="150" w:type="dxa"/>
              <w:right w:w="150" w:type="dxa"/>
            </w:tcMar>
          </w:tcPr>
          <w:p>
            <w:pPr>
              <w:spacing w:before="0" w:after="0"/>
              <w:jc w:val="left"/>
            </w:pPr>
            <w:r>
              <w:rPr>
                <w:rFonts w:ascii="Calibri" w:hAnsi="Calibri"/>
                <w:color w:val="282828"/>
                <w:sz w:val="19"/>
              </w:rPr>
              <w:t>Matplotlib &amp; Seaborn</w:t>
            </w:r>
          </w:p>
        </w:tc>
        <w:tc>
          <w:tcPr>
            <w:tcW w:type="dxa" w:w="1584"/>
            <w:tcMar>
              <w:top w:w="90" w:type="dxa"/>
              <w:bottom w:w="90" w:type="dxa"/>
              <w:left w:w="150" w:type="dxa"/>
              <w:right w:w="150" w:type="dxa"/>
            </w:tcMar>
          </w:tcPr>
          <w:p>
            <w:pPr>
              <w:spacing w:before="0" w:after="0"/>
              <w:jc w:val="left"/>
            </w:pPr>
            <w:r>
              <w:rPr>
                <w:rFonts w:ascii="Calibri" w:hAnsi="Calibri"/>
                <w:color w:val="282828"/>
                <w:sz w:val="19"/>
              </w:rPr>
              <w:t>3.11.2 / 0.13.2</w:t>
            </w:r>
          </w:p>
        </w:tc>
        <w:tc>
          <w:tcPr>
            <w:tcW w:type="dxa" w:w="3024"/>
            <w:tcMar>
              <w:top w:w="90" w:type="dxa"/>
              <w:bottom w:w="90" w:type="dxa"/>
              <w:left w:w="150" w:type="dxa"/>
              <w:right w:w="150" w:type="dxa"/>
            </w:tcMar>
          </w:tcPr>
          <w:p>
            <w:pPr>
              <w:spacing w:before="0" w:after="0"/>
              <w:jc w:val="left"/>
            </w:pPr>
            <w:r>
              <w:rPr>
                <w:rFonts w:ascii="Calibri" w:hAnsi="Calibri"/>
                <w:color w:val="282828"/>
                <w:sz w:val="19"/>
              </w:rPr>
              <w:t>Confusion matrix heatmaps, ROC curves, and benchmark bar charts.</w:t>
            </w:r>
          </w:p>
        </w:tc>
      </w:tr>
      <w:tr>
        <w:tc>
          <w:tcPr>
            <w:tcW w:type="dxa" w:w="2160"/>
            <w:tcMar>
              <w:top w:w="90" w:type="dxa"/>
              <w:bottom w:w="90" w:type="dxa"/>
              <w:left w:w="150" w:type="dxa"/>
              <w:right w:w="150" w:type="dxa"/>
            </w:tcMar>
            <w:shd w:fill="F4F6F9"/>
          </w:tcPr>
          <w:p>
            <w:pPr>
              <w:spacing w:before="0" w:after="0"/>
              <w:jc w:val="left"/>
            </w:pPr>
            <w:r>
              <w:rPr>
                <w:rFonts w:ascii="Calibri" w:hAnsi="Calibri"/>
                <w:color w:val="282828"/>
                <w:sz w:val="19"/>
              </w:rPr>
              <w:t>Web Application UI</w:t>
            </w:r>
          </w:p>
        </w:tc>
        <w:tc>
          <w:tcPr>
            <w:tcW w:type="dxa" w:w="2592"/>
            <w:tcMar>
              <w:top w:w="90" w:type="dxa"/>
              <w:bottom w:w="90" w:type="dxa"/>
              <w:left w:w="150" w:type="dxa"/>
              <w:right w:w="150" w:type="dxa"/>
            </w:tcMar>
            <w:shd w:fill="F4F6F9"/>
          </w:tcPr>
          <w:p>
            <w:pPr>
              <w:spacing w:before="0" w:after="0"/>
              <w:jc w:val="center"/>
            </w:pPr>
            <w:r>
              <w:rPr>
                <w:rFonts w:ascii="Calibri" w:hAnsi="Calibri"/>
                <w:color w:val="282828"/>
                <w:sz w:val="19"/>
              </w:rPr>
              <w:t>Streamlit</w:t>
            </w:r>
          </w:p>
        </w:tc>
        <w:tc>
          <w:tcPr>
            <w:tcW w:type="dxa" w:w="1584"/>
            <w:tcMar>
              <w:top w:w="90" w:type="dxa"/>
              <w:bottom w:w="90" w:type="dxa"/>
              <w:left w:w="150" w:type="dxa"/>
              <w:right w:w="150" w:type="dxa"/>
            </w:tcMar>
            <w:shd w:fill="F4F6F9"/>
          </w:tcPr>
          <w:p>
            <w:pPr>
              <w:spacing w:before="0" w:after="0"/>
              <w:jc w:val="center"/>
            </w:pPr>
            <w:r>
              <w:rPr>
                <w:rFonts w:ascii="Calibri" w:hAnsi="Calibri"/>
                <w:color w:val="282828"/>
                <w:sz w:val="19"/>
              </w:rPr>
              <w:t>1.65.0</w:t>
            </w:r>
          </w:p>
        </w:tc>
        <w:tc>
          <w:tcPr>
            <w:tcW w:type="dxa" w:w="3024"/>
            <w:tcMar>
              <w:top w:w="90" w:type="dxa"/>
              <w:bottom w:w="90" w:type="dxa"/>
              <w:left w:w="150" w:type="dxa"/>
              <w:right w:w="150" w:type="dxa"/>
            </w:tcMar>
            <w:shd w:fill="F4F6F9"/>
          </w:tcPr>
          <w:p>
            <w:pPr>
              <w:spacing w:before="0" w:after="0"/>
              <w:jc w:val="left"/>
            </w:pPr>
            <w:r>
              <w:rPr>
                <w:rFonts w:ascii="Calibri" w:hAnsi="Calibri"/>
                <w:color w:val="282828"/>
                <w:sz w:val="19"/>
              </w:rPr>
              <w:t>Reactive multi-tab dashboard, widget control sliders, and live canvas.</w:t>
            </w:r>
          </w:p>
        </w:tc>
      </w:tr>
    </w:tbl>
    <w:p>
      <w:pPr>
        <w:keepNext/>
        <w:spacing w:before="360" w:after="120"/>
      </w:pPr>
      <w:r>
        <w:rPr>
          <w:rFonts w:ascii="Calibri" w:hAnsi="Calibri"/>
          <w:b/>
          <w:color w:val="1B365D"/>
          <w:sz w:val="36"/>
        </w:rPr>
        <w:t>3. Front-End to Back-End Integration Architecture</w:t>
      </w:r>
    </w:p>
    <w:p>
      <w:pPr>
        <w:spacing w:after="120" w:line="276" w:lineRule="auto"/>
      </w:pPr>
      <w:r>
        <w:rPr>
          <w:rFonts w:ascii="Calibri" w:hAnsi="Calibri"/>
          <w:color w:val="282828"/>
          <w:sz w:val="21"/>
        </w:rPr>
        <w:t>The application architecture strictly decouples front-end reactive rendering from back-end computational deep learning and optimization logic. The end-to-end communication sequence follows a synchronized 6-phase pipeline:</w:t>
      </w:r>
    </w:p>
    <w:p>
      <w:pPr>
        <w:pStyle w:val="ListBullet"/>
        <w:spacing w:after="60" w:line="276" w:lineRule="auto"/>
      </w:pPr>
      <w:r>
        <w:rPr>
          <w:rFonts w:ascii="Calibri" w:hAnsi="Calibri"/>
          <w:b/>
          <w:color w:val="1B365D"/>
          <w:sz w:val="21"/>
        </w:rPr>
        <w:t xml:space="preserve">Phase 1 - Client Ingestion: </w:t>
      </w:r>
      <w:r>
        <w:rPr>
          <w:rFonts w:ascii="Calibri" w:hAnsi="Calibri"/>
          <w:color w:val="282828"/>
          <w:sz w:val="21"/>
        </w:rPr>
        <w:t>The user interacts with Streamlit (app.py) via sidebar dropdowns or file upload widgets (st.file_uploader). Uploaded image bytes are decoded via cv2.imdecode into a three-dimensional NumPy matrix (H x W x 3) in BGR color space.</w:t>
      </w:r>
    </w:p>
    <w:p>
      <w:pPr>
        <w:pStyle w:val="ListBullet"/>
        <w:spacing w:after="60" w:line="276" w:lineRule="auto"/>
      </w:pPr>
      <w:r>
        <w:rPr>
          <w:rFonts w:ascii="Calibri" w:hAnsi="Calibri"/>
          <w:b/>
          <w:color w:val="1B365D"/>
          <w:sz w:val="21"/>
        </w:rPr>
        <w:t xml:space="preserve">Phase 2 - Factory Dispatch: </w:t>
      </w:r>
      <w:r>
        <w:rPr>
          <w:rFonts w:ascii="Calibri" w:hAnsi="Calibri"/>
          <w:color w:val="282828"/>
          <w:sz w:val="21"/>
        </w:rPr>
        <w:t>app.py invokes VehicleDetectorFactory.detect(). The factory checks whether the operator manually selected an engine or chose 'Auto (Best Selected)'. In auto mode, it parses models/selected_best_model.json to instantiate the reigning benchmark winner.</w:t>
      </w:r>
    </w:p>
    <w:p>
      <w:pPr>
        <w:pStyle w:val="ListBullet"/>
        <w:spacing w:after="60" w:line="276" w:lineRule="auto"/>
      </w:pPr>
      <w:r>
        <w:rPr>
          <w:rFonts w:ascii="Calibri" w:hAnsi="Calibri"/>
          <w:b/>
          <w:color w:val="1B365D"/>
          <w:sz w:val="21"/>
        </w:rPr>
        <w:t xml:space="preserve">Phase 3 - Deep Inference &amp; NMS: </w:t>
      </w:r>
      <w:r>
        <w:rPr>
          <w:rFonts w:ascii="Calibri" w:hAnsi="Calibri"/>
          <w:color w:val="282828"/>
          <w:sz w:val="21"/>
        </w:rPr>
        <w:t>The selected detector normalizes image pixel intensities [0.0, 1.0], executes the forward pass, and applies Non-Maximum Suppression (NMS) to eliminate duplicate bounding boxes based on IoU thresholding.</w:t>
      </w:r>
    </w:p>
    <w:p>
      <w:pPr>
        <w:pStyle w:val="ListBullet"/>
        <w:spacing w:after="60" w:line="276" w:lineRule="auto"/>
      </w:pPr>
      <w:r>
        <w:rPr>
          <w:rFonts w:ascii="Calibri" w:hAnsi="Calibri"/>
          <w:b/>
          <w:color w:val="1B365D"/>
          <w:sz w:val="21"/>
        </w:rPr>
        <w:t xml:space="preserve">Phase 4 - PCU Optimization: </w:t>
      </w:r>
      <w:r>
        <w:rPr>
          <w:rFonts w:ascii="Calibri" w:hAnsi="Calibri"/>
          <w:color w:val="282828"/>
          <w:sz w:val="21"/>
        </w:rPr>
        <w:t>Extracted vehicle counts are forwarded to TrafficSignalOptimizer.optimize_signal(). The engine computes lane density (PCU/lane), evaluates safety clearance for heavy commercial vehicles, and computes recommended green durations.</w:t>
      </w:r>
    </w:p>
    <w:p>
      <w:pPr>
        <w:pStyle w:val="ListBullet"/>
        <w:spacing w:after="60" w:line="276" w:lineRule="auto"/>
      </w:pPr>
      <w:r>
        <w:rPr>
          <w:rFonts w:ascii="Calibri" w:hAnsi="Calibri"/>
          <w:b/>
          <w:color w:val="1B365D"/>
          <w:sz w:val="21"/>
        </w:rPr>
        <w:t xml:space="preserve">Phase 5 - HUD Frame Rendering: </w:t>
      </w:r>
      <w:r>
        <w:rPr>
          <w:rFonts w:ascii="Calibri" w:hAnsi="Calibri"/>
          <w:color w:val="282828"/>
          <w:sz w:val="21"/>
        </w:rPr>
        <w:t>VehicleDetectorFactory.annotate_frame() draws class-colored bounding boxes, text tags, and a high-contrast telemetry status bar directly on the NumPy array.</w:t>
      </w:r>
    </w:p>
    <w:p>
      <w:pPr>
        <w:pStyle w:val="ListBullet"/>
        <w:spacing w:after="60" w:line="276" w:lineRule="auto"/>
      </w:pPr>
      <w:r>
        <w:rPr>
          <w:rFonts w:ascii="Calibri" w:hAnsi="Calibri"/>
          <w:b/>
          <w:color w:val="1B365D"/>
          <w:sz w:val="21"/>
        </w:rPr>
        <w:t xml:space="preserve">Phase 6 - Reactive Display: </w:t>
      </w:r>
      <w:r>
        <w:rPr>
          <w:rFonts w:ascii="Calibri" w:hAnsi="Calibri"/>
          <w:color w:val="282828"/>
          <w:sz w:val="21"/>
        </w:rPr>
        <w:t>The annotated array is converted to RGB format and presented via st.image, accompanied by real-time CSS metric cards and traffic light indicators.</w:t>
      </w:r>
    </w:p>
    <w:p>
      <w:pPr>
        <w:spacing w:before="160" w:after="40"/>
        <w:jc w:val="center"/>
      </w:pPr>
      <w:r>
        <w:drawing>
          <wp:inline xmlns:a="http://schemas.openxmlformats.org/drawingml/2006/main" xmlns:pic="http://schemas.openxmlformats.org/drawingml/2006/picture">
            <wp:extent cx="5486400" cy="3371850"/>
            <wp:docPr id="1" name="Picture 1"/>
            <wp:cNvGraphicFramePr>
              <a:graphicFrameLocks noChangeAspect="1"/>
            </wp:cNvGraphicFramePr>
            <a:graphic>
              <a:graphicData uri="http://schemas.openxmlformats.org/drawingml/2006/picture">
                <pic:pic>
                  <pic:nvPicPr>
                    <pic:cNvPr id="0" name="annotated_output.jpg"/>
                    <pic:cNvPicPr/>
                  </pic:nvPicPr>
                  <pic:blipFill>
                    <a:blip r:embed="rId9"/>
                    <a:stretch>
                      <a:fillRect/>
                    </a:stretch>
                  </pic:blipFill>
                  <pic:spPr>
                    <a:xfrm>
                      <a:off x="0" y="0"/>
                      <a:ext cx="5486400" cy="3371850"/>
                    </a:xfrm>
                    <a:prstGeom prst="rect"/>
                  </pic:spPr>
                </pic:pic>
              </a:graphicData>
            </a:graphic>
          </wp:inline>
        </w:drawing>
      </w:r>
    </w:p>
    <w:p>
      <w:pPr>
        <w:spacing w:before="40" w:after="240"/>
        <w:jc w:val="center"/>
      </w:pPr>
      <w:r>
        <w:rPr>
          <w:rFonts w:ascii="Calibri" w:hAnsi="Calibri"/>
          <w:i/>
          <w:color w:val="2B547E"/>
          <w:sz w:val="19"/>
        </w:rPr>
        <w:t>Figure 1: End-to-End Real-Time Annotated Detection Frame with HUD Telemetry Bar</w:t>
      </w:r>
    </w:p>
    <w:p>
      <w:pPr>
        <w:keepNext/>
        <w:spacing w:before="360" w:after="120"/>
      </w:pPr>
      <w:r>
        <w:rPr>
          <w:rFonts w:ascii="Calibri" w:hAnsi="Calibri"/>
          <w:b/>
          <w:color w:val="1B365D"/>
          <w:sz w:val="36"/>
        </w:rPr>
        <w:t>4. Step-by-Step Codebase Walkthrough</w:t>
      </w:r>
    </w:p>
    <w:p>
      <w:pPr>
        <w:keepNext/>
        <w:spacing w:before="280" w:after="80"/>
      </w:pPr>
      <w:r>
        <w:rPr>
          <w:rFonts w:ascii="Calibri" w:hAnsi="Calibri"/>
          <w:b/>
          <w:color w:val="2B547E"/>
          <w:sz w:val="28"/>
        </w:rPr>
        <w:t>4.1 src/signal_optimizer.py — PCU Transportation Logic</w:t>
      </w:r>
    </w:p>
    <w:p>
      <w:pPr>
        <w:spacing w:after="120" w:line="276" w:lineRule="auto"/>
      </w:pPr>
      <w:r>
        <w:rPr>
          <w:rFonts w:ascii="Calibri" w:hAnsi="Calibri"/>
          <w:color w:val="282828"/>
          <w:sz w:val="21"/>
        </w:rPr>
        <w:t>This module implements the core civil transportation engineering logic. It defines Passenger Car Unit (PCU) weighting constants: Car = 1.0, Bus = 2.5, Truck = 3.0, Bike = 0.5, Auto-Rickshaw = 1.2. The calculate_pcu() method computes total vehicular load, while optimize_signal() divides total PCU by the number of directional lanes to determine road density. Piecewise thresholds assign congestion tiers (Low: &lt;3.0 PCU/lane, Medium: 3.0-8.0, High: 8.0-15.0, Heavy: &gt;=15.0) and dynamically allocate green light durations between 15s and 90s. If heavy commercial vehicles (buses + trucks) exceed 40% of traffic, an extended clearance safety warning is issued.</w:t>
      </w:r>
    </w:p>
    <w:p>
      <w:pPr>
        <w:keepNext/>
        <w:spacing w:before="280" w:after="80"/>
      </w:pPr>
      <w:r>
        <w:rPr>
          <w:rFonts w:ascii="Calibri" w:hAnsi="Calibri"/>
          <w:b/>
          <w:color w:val="2B547E"/>
          <w:sz w:val="28"/>
        </w:rPr>
        <w:t>4.2 src/feature_extractor.py — OpenCV 6-Stage Filter Pipeline</w:t>
      </w:r>
    </w:p>
    <w:p>
      <w:pPr>
        <w:spacing w:after="120" w:line="276" w:lineRule="auto"/>
      </w:pPr>
      <w:r>
        <w:rPr>
          <w:rFonts w:ascii="Calibri" w:hAnsi="Calibri"/>
          <w:color w:val="282828"/>
          <w:sz w:val="21"/>
        </w:rPr>
        <w:t>Implements an interpretable classical computer vision sequence that extracts structural features before deep learning evaluation: 1) Raw BGR Frame Ingestion; 2) Grayscale conversion (cv2.cvtColor) removing chromatic noise; 3) 5x5 Gaussian blur (cv2.GaussianBlur) suppressing sensor noise; 4) Canny edge detection (cv2.Canny, thresholds 50/150) isolating vehicular boundaries; 5) Morphological dilation (cv2.dilate) bridging broken edges into connected blobs; and 6) Contour extraction (cv2.findContours) filtering geometries by area (&gt;600px) to propose candidate bounding boxes.</w:t>
      </w:r>
    </w:p>
    <w:p>
      <w:pPr>
        <w:keepNext/>
        <w:spacing w:before="280" w:after="80"/>
      </w:pPr>
      <w:r>
        <w:rPr>
          <w:rFonts w:ascii="Calibri" w:hAnsi="Calibri"/>
          <w:b/>
          <w:color w:val="2B547E"/>
          <w:sz w:val="28"/>
        </w:rPr>
        <w:t>4.3 src/custom_cnn.py — Scratch PyTorch Dual-Head CNN</w:t>
      </w:r>
    </w:p>
    <w:p>
      <w:pPr>
        <w:spacing w:after="120" w:line="276" w:lineRule="auto"/>
      </w:pPr>
      <w:r>
        <w:rPr>
          <w:rFonts w:ascii="Calibri" w:hAnsi="Calibri"/>
          <w:color w:val="282828"/>
          <w:sz w:val="21"/>
        </w:rPr>
        <w:t>Constructs a dual-head convolutional network in PyTorch without pre-trained backbones. The architecture stacks 4 Conv blocks (Conv2D -&gt; BatchNorm2d -&gt; ReLU -&gt; MaxPool2d), scaling channels from 3 to 32, 64, 128, and 256. A dense layer (Linear(16384, 512)) with Dropout (0.3) feeds two output heads: Head 1 (Classification: Linear(512, 6)) predicts vehicle categories, while Head 2 (Regression: Linear(512, 4) with Sigmoid activation) predicts normalized bounding box coordinates [xmin, ymin, xmax, ymax] in [0, 1]. CustomCNNDetector provides full-frame inference combining region proposals with CNN evaluation.</w:t>
      </w:r>
    </w:p>
    <w:p>
      <w:pPr>
        <w:keepNext/>
        <w:spacing w:before="280" w:after="80"/>
      </w:pPr>
      <w:r>
        <w:rPr>
          <w:rFonts w:ascii="Calibri" w:hAnsi="Calibri"/>
          <w:b/>
          <w:color w:val="2B547E"/>
          <w:sz w:val="28"/>
        </w:rPr>
        <w:t>4.4 src/faster_rcnn_detector.py &amp; src/yolo_detector.py</w:t>
      </w:r>
    </w:p>
    <w:p>
      <w:pPr>
        <w:spacing w:after="120" w:line="276" w:lineRule="auto"/>
      </w:pPr>
      <w:r>
        <w:rPr>
          <w:rFonts w:ascii="Calibri" w:hAnsi="Calibri"/>
          <w:color w:val="282828"/>
          <w:sz w:val="21"/>
        </w:rPr>
        <w:t>src/faster_rcnn_detector.py wraps torchvision's two-stage detector with a MobileNetV3 FPN backbone, utilizing a Region Proposal Network (RPN) and RoI Align to extract high-precision vehicle detections at 18.2 FPS. In contrast, src/yolo_detector.py wraps Ultralytics YOLOv8 Small, using an anchor-free single-stage architecture to achieve real-time throughput of 65.0 FPS.</w:t>
      </w:r>
    </w:p>
    <w:p>
      <w:pPr>
        <w:keepNext/>
        <w:spacing w:before="280" w:after="80"/>
      </w:pPr>
      <w:r>
        <w:rPr>
          <w:rFonts w:ascii="Calibri" w:hAnsi="Calibri"/>
          <w:b/>
          <w:color w:val="2B547E"/>
          <w:sz w:val="28"/>
        </w:rPr>
        <w:t>4.5 src/vehicle_detector.py &amp; src/model_evaluator.py</w:t>
      </w:r>
    </w:p>
    <w:p>
      <w:pPr>
        <w:spacing w:after="120" w:line="276" w:lineRule="auto"/>
      </w:pPr>
      <w:r>
        <w:rPr>
          <w:rFonts w:ascii="Calibri" w:hAnsi="Calibri"/>
          <w:color w:val="282828"/>
          <w:sz w:val="21"/>
        </w:rPr>
        <w:t>src/vehicle_detector.py implements VehicleDetectorFactory to dynamically route inference requests and render HUD overlays. src/model_evaluator.py and evaluate_all.py run automated benchmarks across all three models, computing Precision, Recall, F1-Score, mAP@0.5, and FPS. The winning model is automatically serialized to models/selected_best_model.json.</w:t>
      </w:r>
    </w:p>
    <w:p>
      <w:pPr>
        <w:keepNext/>
        <w:spacing w:before="280" w:after="80"/>
      </w:pPr>
      <w:r>
        <w:rPr>
          <w:rFonts w:ascii="Calibri" w:hAnsi="Calibri"/>
          <w:b/>
          <w:color w:val="2B547E"/>
          <w:sz w:val="28"/>
        </w:rPr>
        <w:t>4.6 src/tabular_model.py, src/visualization.py &amp; app.py</w:t>
      </w:r>
    </w:p>
    <w:p>
      <w:pPr>
        <w:spacing w:after="120" w:line="276" w:lineRule="auto"/>
      </w:pPr>
      <w:r>
        <w:rPr>
          <w:rFonts w:ascii="Calibri" w:hAnsi="Calibri"/>
          <w:color w:val="282828"/>
          <w:sz w:val="21"/>
        </w:rPr>
        <w:t>src/tabular_model.py manages data/traffic_dataset.csv and trains Scikit-Learn Random Forest models: a Classifier achieving 94.2% accuracy in congestion tier prediction, and a Regressor achieving 1.82s MAE in green signal duration prediction. src/visualization.py generates publication-grade Matplotlib/Seaborn plots in outputs/plots/. Finally, app.py provides the interactive 7-tab Streamlit web application.</w:t>
      </w:r>
    </w:p>
    <w:p>
      <w:pPr>
        <w:keepNext/>
        <w:spacing w:before="360" w:after="120"/>
      </w:pPr>
      <w:r>
        <w:rPr>
          <w:rFonts w:ascii="Calibri" w:hAnsi="Calibri"/>
          <w:b/>
          <w:color w:val="1B365D"/>
          <w:sz w:val="36"/>
        </w:rPr>
        <w:t>5. Core Machine Learning Concepts &amp; Theoretical Foundations</w:t>
      </w:r>
    </w:p>
    <w:p>
      <w:pPr>
        <w:pStyle w:val="ListBullet"/>
        <w:spacing w:after="60" w:line="276" w:lineRule="auto"/>
      </w:pPr>
      <w:r>
        <w:rPr>
          <w:rFonts w:ascii="Calibri" w:hAnsi="Calibri"/>
          <w:b/>
          <w:color w:val="1B365D"/>
          <w:sz w:val="21"/>
        </w:rPr>
        <w:t xml:space="preserve">Spatial Hierarchies &amp; Convolutions: </w:t>
      </w:r>
      <w:r>
        <w:rPr>
          <w:rFonts w:ascii="Calibri" w:hAnsi="Calibri"/>
          <w:color w:val="282828"/>
          <w:sz w:val="21"/>
        </w:rPr>
        <w:t>Convolutional filters extract spatial features hierarchically. Early layers capture basic gradients and edges, intermediate layers capture textures and tire contours, and deep layers capture complex vehicle silhouettes.</w:t>
      </w:r>
    </w:p>
    <w:p>
      <w:pPr>
        <w:pStyle w:val="ListBullet"/>
        <w:spacing w:after="60" w:line="276" w:lineRule="auto"/>
      </w:pPr>
      <w:r>
        <w:rPr>
          <w:rFonts w:ascii="Calibri" w:hAnsi="Calibri"/>
          <w:b/>
          <w:color w:val="1B365D"/>
          <w:sz w:val="21"/>
        </w:rPr>
        <w:t xml:space="preserve">Batch Normalization (BatchNorm2d): </w:t>
      </w:r>
      <w:r>
        <w:rPr>
          <w:rFonts w:ascii="Calibri" w:hAnsi="Calibri"/>
          <w:color w:val="282828"/>
          <w:sz w:val="21"/>
        </w:rPr>
        <w:t>Normalizes mini-batch activations to zero mean and unit variance. This reduces internal covariate shift, stabilizes gradient updates, and enables training with higher learning rates (0.001).</w:t>
      </w:r>
    </w:p>
    <w:p>
      <w:pPr>
        <w:pStyle w:val="ListBullet"/>
        <w:spacing w:after="60" w:line="276" w:lineRule="auto"/>
      </w:pPr>
      <w:r>
        <w:rPr>
          <w:rFonts w:ascii="Calibri" w:hAnsi="Calibri"/>
          <w:b/>
          <w:color w:val="1B365D"/>
          <w:sz w:val="21"/>
        </w:rPr>
        <w:t xml:space="preserve">Kaiming Normal Weight Initialization: </w:t>
      </w:r>
      <w:r>
        <w:rPr>
          <w:rFonts w:ascii="Calibri" w:hAnsi="Calibri"/>
          <w:color w:val="282828"/>
          <w:sz w:val="21"/>
        </w:rPr>
        <w:t>Weights are drawn from a normal distribution scaled by layer fan-in. This preserves activation variance across deep ReLU networks, preventing vanishing/exploding gradients.</w:t>
      </w:r>
    </w:p>
    <w:p>
      <w:pPr>
        <w:pStyle w:val="ListBullet"/>
        <w:spacing w:after="60" w:line="276" w:lineRule="auto"/>
      </w:pPr>
      <w:r>
        <w:rPr>
          <w:rFonts w:ascii="Calibri" w:hAnsi="Calibri"/>
          <w:b/>
          <w:color w:val="1B365D"/>
          <w:sz w:val="21"/>
        </w:rPr>
        <w:t xml:space="preserve">Dual-Head Multi-Task Loss: </w:t>
      </w:r>
      <w:r>
        <w:rPr>
          <w:rFonts w:ascii="Calibri" w:hAnsi="Calibri"/>
          <w:color w:val="282828"/>
          <w:sz w:val="21"/>
        </w:rPr>
        <w:t>The Custom CNN optimizes classification and localization jointly using a composite loss function: L_total = L_CrossEntropy + 2.0 * L_MSE.</w:t>
      </w:r>
    </w:p>
    <w:p>
      <w:pPr>
        <w:pStyle w:val="ListBullet"/>
        <w:spacing w:after="60" w:line="276" w:lineRule="auto"/>
      </w:pPr>
      <w:r>
        <w:rPr>
          <w:rFonts w:ascii="Calibri" w:hAnsi="Calibri"/>
          <w:b/>
          <w:color w:val="1B365D"/>
          <w:sz w:val="21"/>
        </w:rPr>
        <w:t xml:space="preserve">Non-Maximum Suppression (NMS): </w:t>
      </w:r>
      <w:r>
        <w:rPr>
          <w:rFonts w:ascii="Calibri" w:hAnsi="Calibri"/>
          <w:color w:val="282828"/>
          <w:sz w:val="21"/>
        </w:rPr>
        <w:t>Eliminates duplicate overlapping bounding boxes by sorting candidates by confidence and suppressing proposals whose Intersection over Union (IoU) exceeds a threshold (0.50).</w:t>
      </w:r>
    </w:p>
    <w:p>
      <w:pPr>
        <w:pStyle w:val="ListBullet"/>
        <w:spacing w:after="60" w:line="276" w:lineRule="auto"/>
      </w:pPr>
      <w:r>
        <w:rPr>
          <w:rFonts w:ascii="Calibri" w:hAnsi="Calibri"/>
          <w:b/>
          <w:color w:val="1B365D"/>
          <w:sz w:val="21"/>
        </w:rPr>
        <w:t xml:space="preserve">Random Forest Ensembling: </w:t>
      </w:r>
      <w:r>
        <w:rPr>
          <w:rFonts w:ascii="Calibri" w:hAnsi="Calibri"/>
          <w:color w:val="282828"/>
          <w:sz w:val="21"/>
        </w:rPr>
        <w:t>Combines 100 decorrelated decision trees using bagging (bootstrap aggregating). Majority voting determines congestion classes, while ensemble averaging predicts continuous signal durations, minimizing overfitting on tabular features.</w:t>
      </w:r>
    </w:p>
    <w:p>
      <w:pPr>
        <w:keepNext/>
        <w:spacing w:before="360" w:after="120"/>
      </w:pPr>
      <w:r>
        <w:rPr>
          <w:rFonts w:ascii="Calibri" w:hAnsi="Calibri"/>
          <w:b/>
          <w:color w:val="1B365D"/>
          <w:sz w:val="36"/>
        </w:rPr>
        <w:t>6. In-Depth Algorithmic Analysis of Models</w:t>
      </w:r>
    </w:p>
    <w:p>
      <w:pPr>
        <w:spacing w:after="120" w:line="276" w:lineRule="auto"/>
      </w:pPr>
      <w:r>
        <w:rPr>
          <w:rFonts w:ascii="Calibri" w:hAnsi="Calibri"/>
          <w:color w:val="282828"/>
          <w:sz w:val="21"/>
        </w:rPr>
        <w:t>CogniSignal deploys five distinct machine learning models spanning deep computer vision and tabular ensembling:</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872"/>
        <w:gridCol w:w="1872"/>
        <w:gridCol w:w="1872"/>
        <w:gridCol w:w="1872"/>
        <w:gridCol w:w="1872"/>
      </w:tblGrid>
      <w:tr>
        <w:tc>
          <w:tcPr>
            <w:tcW w:type="dxa" w:w="2304"/>
            <w:shd w:fill="1B365D"/>
            <w:tcMar>
              <w:top w:w="120" w:type="dxa"/>
              <w:bottom w:w="120" w:type="dxa"/>
              <w:left w:w="150" w:type="dxa"/>
              <w:right w:w="150" w:type="dxa"/>
            </w:tcMar>
          </w:tcPr>
          <w:p>
            <w:pPr>
              <w:spacing w:before="0" w:after="0"/>
              <w:jc w:val="center"/>
            </w:pPr>
            <w:r>
              <w:rPr>
                <w:rFonts w:ascii="Calibri" w:hAnsi="Calibri"/>
                <w:b/>
                <w:color w:val="FFFFFF"/>
                <w:sz w:val="20"/>
              </w:rPr>
              <w:t>Model Name</w:t>
            </w:r>
          </w:p>
        </w:tc>
        <w:tc>
          <w:tcPr>
            <w:tcW w:type="dxa" w:w="2160"/>
            <w:shd w:fill="1B365D"/>
            <w:tcMar>
              <w:top w:w="120" w:type="dxa"/>
              <w:bottom w:w="120" w:type="dxa"/>
              <w:left w:w="150" w:type="dxa"/>
              <w:right w:w="150" w:type="dxa"/>
            </w:tcMar>
          </w:tcPr>
          <w:p>
            <w:pPr>
              <w:spacing w:before="0" w:after="0"/>
              <w:jc w:val="center"/>
            </w:pPr>
            <w:r>
              <w:rPr>
                <w:rFonts w:ascii="Calibri" w:hAnsi="Calibri"/>
                <w:b/>
                <w:color w:val="FFFFFF"/>
                <w:sz w:val="20"/>
              </w:rPr>
              <w:t>Paradigm / Backbone</w:t>
            </w:r>
          </w:p>
        </w:tc>
        <w:tc>
          <w:tcPr>
            <w:tcW w:type="dxa" w:w="2448"/>
            <w:shd w:fill="1B365D"/>
            <w:tcMar>
              <w:top w:w="120" w:type="dxa"/>
              <w:bottom w:w="120" w:type="dxa"/>
              <w:left w:w="150" w:type="dxa"/>
              <w:right w:w="150" w:type="dxa"/>
            </w:tcMar>
          </w:tcPr>
          <w:p>
            <w:pPr>
              <w:spacing w:before="0" w:after="0"/>
              <w:jc w:val="center"/>
            </w:pPr>
            <w:r>
              <w:rPr>
                <w:rFonts w:ascii="Calibri" w:hAnsi="Calibri"/>
                <w:b/>
                <w:color w:val="FFFFFF"/>
                <w:sz w:val="20"/>
              </w:rPr>
              <w:t>Loss Formulation</w:t>
            </w:r>
          </w:p>
        </w:tc>
        <w:tc>
          <w:tcPr>
            <w:tcW w:type="dxa" w:w="1584"/>
            <w:shd w:fill="1B365D"/>
            <w:tcMar>
              <w:top w:w="120" w:type="dxa"/>
              <w:bottom w:w="120" w:type="dxa"/>
              <w:left w:w="150" w:type="dxa"/>
              <w:right w:w="150" w:type="dxa"/>
            </w:tcMar>
          </w:tcPr>
          <w:p>
            <w:pPr>
              <w:spacing w:before="0" w:after="0"/>
              <w:jc w:val="center"/>
            </w:pPr>
            <w:r>
              <w:rPr>
                <w:rFonts w:ascii="Calibri" w:hAnsi="Calibri"/>
                <w:b/>
                <w:color w:val="FFFFFF"/>
                <w:sz w:val="20"/>
              </w:rPr>
              <w:t>mAP@0.5 / Acc</w:t>
            </w:r>
          </w:p>
        </w:tc>
        <w:tc>
          <w:tcPr>
            <w:tcW w:type="dxa" w:w="1584"/>
            <w:shd w:fill="1B365D"/>
            <w:tcMar>
              <w:top w:w="120" w:type="dxa"/>
              <w:bottom w:w="120" w:type="dxa"/>
              <w:left w:w="150" w:type="dxa"/>
              <w:right w:w="150" w:type="dxa"/>
            </w:tcMar>
          </w:tcPr>
          <w:p>
            <w:pPr>
              <w:spacing w:before="0" w:after="0"/>
              <w:jc w:val="center"/>
            </w:pPr>
            <w:r>
              <w:rPr>
                <w:rFonts w:ascii="Calibri" w:hAnsi="Calibri"/>
                <w:b/>
                <w:color w:val="FFFFFF"/>
                <w:sz w:val="20"/>
              </w:rPr>
              <w:t>Speed / Latency</w:t>
            </w:r>
          </w:p>
        </w:tc>
      </w:tr>
      <w:tr>
        <w:tc>
          <w:tcPr>
            <w:tcW w:type="dxa" w:w="2304"/>
            <w:tcMar>
              <w:top w:w="90" w:type="dxa"/>
              <w:bottom w:w="90" w:type="dxa"/>
              <w:left w:w="150" w:type="dxa"/>
              <w:right w:w="150" w:type="dxa"/>
            </w:tcMar>
          </w:tcPr>
          <w:p>
            <w:pPr>
              <w:spacing w:before="0" w:after="0"/>
              <w:jc w:val="left"/>
            </w:pPr>
            <w:r>
              <w:rPr>
                <w:rFonts w:ascii="Calibri" w:hAnsi="Calibri"/>
                <w:color w:val="282828"/>
                <w:sz w:val="19"/>
              </w:rPr>
              <w:t>Custom CNN (Scratch)</w:t>
            </w:r>
          </w:p>
        </w:tc>
        <w:tc>
          <w:tcPr>
            <w:tcW w:type="dxa" w:w="2160"/>
            <w:tcMar>
              <w:top w:w="90" w:type="dxa"/>
              <w:bottom w:w="90" w:type="dxa"/>
              <w:left w:w="150" w:type="dxa"/>
              <w:right w:w="150" w:type="dxa"/>
            </w:tcMar>
          </w:tcPr>
          <w:p>
            <w:pPr>
              <w:spacing w:before="0" w:after="0"/>
              <w:jc w:val="left"/>
            </w:pPr>
            <w:r>
              <w:rPr>
                <w:rFonts w:ascii="Calibri" w:hAnsi="Calibri"/>
                <w:color w:val="282828"/>
                <w:sz w:val="19"/>
              </w:rPr>
              <w:t>Dual-Head PyTorch CNN</w:t>
            </w:r>
          </w:p>
        </w:tc>
        <w:tc>
          <w:tcPr>
            <w:tcW w:type="dxa" w:w="2448"/>
            <w:tcMar>
              <w:top w:w="90" w:type="dxa"/>
              <w:bottom w:w="90" w:type="dxa"/>
              <w:left w:w="150" w:type="dxa"/>
              <w:right w:w="150" w:type="dxa"/>
            </w:tcMar>
          </w:tcPr>
          <w:p>
            <w:pPr>
              <w:spacing w:before="0" w:after="0"/>
              <w:jc w:val="left"/>
            </w:pPr>
            <w:r>
              <w:rPr>
                <w:rFonts w:ascii="Calibri" w:hAnsi="Calibri"/>
                <w:color w:val="282828"/>
                <w:sz w:val="19"/>
              </w:rPr>
              <w:t>Cross-Entropy + 2.0 * MSE</w:t>
            </w:r>
          </w:p>
        </w:tc>
        <w:tc>
          <w:tcPr>
            <w:tcW w:type="dxa" w:w="1584"/>
            <w:tcMar>
              <w:top w:w="90" w:type="dxa"/>
              <w:bottom w:w="90" w:type="dxa"/>
              <w:left w:w="150" w:type="dxa"/>
              <w:right w:w="150" w:type="dxa"/>
            </w:tcMar>
          </w:tcPr>
          <w:p>
            <w:pPr>
              <w:spacing w:before="0" w:after="0"/>
              <w:jc w:val="center"/>
            </w:pPr>
            <w:r>
              <w:rPr>
                <w:rFonts w:ascii="Calibri" w:hAnsi="Calibri"/>
                <w:color w:val="282828"/>
                <w:sz w:val="19"/>
              </w:rPr>
              <w:t>0.712 mAP@0.5</w:t>
            </w:r>
          </w:p>
        </w:tc>
        <w:tc>
          <w:tcPr>
            <w:tcW w:type="dxa" w:w="1584"/>
            <w:tcMar>
              <w:top w:w="90" w:type="dxa"/>
              <w:bottom w:w="90" w:type="dxa"/>
              <w:left w:w="150" w:type="dxa"/>
              <w:right w:w="150" w:type="dxa"/>
            </w:tcMar>
          </w:tcPr>
          <w:p>
            <w:pPr>
              <w:spacing w:before="0" w:after="0"/>
              <w:jc w:val="left"/>
            </w:pPr>
            <w:r>
              <w:rPr>
                <w:rFonts w:ascii="Calibri" w:hAnsi="Calibri"/>
                <w:color w:val="282828"/>
                <w:sz w:val="19"/>
              </w:rPr>
              <w:t>42.5 FPS (23.5 ms)</w:t>
            </w:r>
          </w:p>
        </w:tc>
      </w:tr>
      <w:tr>
        <w:tc>
          <w:tcPr>
            <w:tcW w:type="dxa" w:w="2304"/>
            <w:tcMar>
              <w:top w:w="90" w:type="dxa"/>
              <w:bottom w:w="90" w:type="dxa"/>
              <w:left w:w="150" w:type="dxa"/>
              <w:right w:w="150" w:type="dxa"/>
            </w:tcMar>
            <w:shd w:fill="F4F6F9"/>
          </w:tcPr>
          <w:p>
            <w:pPr>
              <w:spacing w:before="0" w:after="0"/>
              <w:jc w:val="left"/>
            </w:pPr>
            <w:r>
              <w:rPr>
                <w:rFonts w:ascii="Calibri" w:hAnsi="Calibri"/>
                <w:color w:val="282828"/>
                <w:sz w:val="19"/>
              </w:rPr>
              <w:t>Faster R-CNN</w:t>
            </w:r>
          </w:p>
        </w:tc>
        <w:tc>
          <w:tcPr>
            <w:tcW w:type="dxa" w:w="2160"/>
            <w:tcMar>
              <w:top w:w="90" w:type="dxa"/>
              <w:bottom w:w="90" w:type="dxa"/>
              <w:left w:w="150" w:type="dxa"/>
              <w:right w:w="150" w:type="dxa"/>
            </w:tcMar>
            <w:shd w:fill="F4F6F9"/>
          </w:tcPr>
          <w:p>
            <w:pPr>
              <w:spacing w:before="0" w:after="0"/>
              <w:jc w:val="left"/>
            </w:pPr>
            <w:r>
              <w:rPr>
                <w:rFonts w:ascii="Calibri" w:hAnsi="Calibri"/>
                <w:color w:val="282828"/>
                <w:sz w:val="19"/>
              </w:rPr>
              <w:t>Two-Stage MobileNetV3 FPN</w:t>
            </w:r>
          </w:p>
        </w:tc>
        <w:tc>
          <w:tcPr>
            <w:tcW w:type="dxa" w:w="2448"/>
            <w:tcMar>
              <w:top w:w="90" w:type="dxa"/>
              <w:bottom w:w="90" w:type="dxa"/>
              <w:left w:w="150" w:type="dxa"/>
              <w:right w:w="150" w:type="dxa"/>
            </w:tcMar>
            <w:shd w:fill="F4F6F9"/>
          </w:tcPr>
          <w:p>
            <w:pPr>
              <w:spacing w:before="0" w:after="0"/>
              <w:jc w:val="left"/>
            </w:pPr>
            <w:r>
              <w:rPr>
                <w:rFonts w:ascii="Calibri" w:hAnsi="Calibri"/>
                <w:color w:val="282828"/>
                <w:sz w:val="19"/>
              </w:rPr>
              <w:t>RPN smooth L1 + Fast R-CNN CE</w:t>
            </w:r>
          </w:p>
        </w:tc>
        <w:tc>
          <w:tcPr>
            <w:tcW w:type="dxa" w:w="1584"/>
            <w:tcMar>
              <w:top w:w="90" w:type="dxa"/>
              <w:bottom w:w="90" w:type="dxa"/>
              <w:left w:w="150" w:type="dxa"/>
              <w:right w:w="150" w:type="dxa"/>
            </w:tcMar>
            <w:shd w:fill="F4F6F9"/>
          </w:tcPr>
          <w:p>
            <w:pPr>
              <w:spacing w:before="0" w:after="0"/>
              <w:jc w:val="center"/>
            </w:pPr>
            <w:r>
              <w:rPr>
                <w:rFonts w:ascii="Calibri" w:hAnsi="Calibri"/>
                <w:color w:val="282828"/>
                <w:sz w:val="19"/>
              </w:rPr>
              <w:t>0.862 mAP@0.5</w:t>
            </w:r>
          </w:p>
        </w:tc>
        <w:tc>
          <w:tcPr>
            <w:tcW w:type="dxa" w:w="1584"/>
            <w:tcMar>
              <w:top w:w="90" w:type="dxa"/>
              <w:bottom w:w="90" w:type="dxa"/>
              <w:left w:w="150" w:type="dxa"/>
              <w:right w:w="150" w:type="dxa"/>
            </w:tcMar>
            <w:shd w:fill="F4F6F9"/>
          </w:tcPr>
          <w:p>
            <w:pPr>
              <w:spacing w:before="0" w:after="0"/>
              <w:jc w:val="left"/>
            </w:pPr>
            <w:r>
              <w:rPr>
                <w:rFonts w:ascii="Calibri" w:hAnsi="Calibri"/>
                <w:color w:val="282828"/>
                <w:sz w:val="19"/>
              </w:rPr>
              <w:t>18.2 FPS (54.9 ms)</w:t>
            </w:r>
          </w:p>
        </w:tc>
      </w:tr>
      <w:tr>
        <w:tc>
          <w:tcPr>
            <w:tcW w:type="dxa" w:w="2304"/>
            <w:tcMar>
              <w:top w:w="90" w:type="dxa"/>
              <w:bottom w:w="90" w:type="dxa"/>
              <w:left w:w="150" w:type="dxa"/>
              <w:right w:w="150" w:type="dxa"/>
            </w:tcMar>
          </w:tcPr>
          <w:p>
            <w:pPr>
              <w:spacing w:before="0" w:after="0"/>
              <w:jc w:val="left"/>
            </w:pPr>
            <w:r>
              <w:rPr>
                <w:rFonts w:ascii="Calibri" w:hAnsi="Calibri"/>
                <w:color w:val="282828"/>
                <w:sz w:val="19"/>
              </w:rPr>
              <w:t>YOLOv8 Small</w:t>
            </w:r>
          </w:p>
        </w:tc>
        <w:tc>
          <w:tcPr>
            <w:tcW w:type="dxa" w:w="2160"/>
            <w:tcMar>
              <w:top w:w="90" w:type="dxa"/>
              <w:bottom w:w="90" w:type="dxa"/>
              <w:left w:w="150" w:type="dxa"/>
              <w:right w:w="150" w:type="dxa"/>
            </w:tcMar>
          </w:tcPr>
          <w:p>
            <w:pPr>
              <w:spacing w:before="0" w:after="0"/>
              <w:jc w:val="left"/>
            </w:pPr>
            <w:r>
              <w:rPr>
                <w:rFonts w:ascii="Calibri" w:hAnsi="Calibri"/>
                <w:color w:val="282828"/>
                <w:sz w:val="19"/>
              </w:rPr>
              <w:t>Anchor-Free CSPDarknet</w:t>
            </w:r>
          </w:p>
        </w:tc>
        <w:tc>
          <w:tcPr>
            <w:tcW w:type="dxa" w:w="2448"/>
            <w:tcMar>
              <w:top w:w="90" w:type="dxa"/>
              <w:bottom w:w="90" w:type="dxa"/>
              <w:left w:w="150" w:type="dxa"/>
              <w:right w:w="150" w:type="dxa"/>
            </w:tcMar>
          </w:tcPr>
          <w:p>
            <w:pPr>
              <w:spacing w:before="0" w:after="0"/>
              <w:jc w:val="left"/>
            </w:pPr>
            <w:r>
              <w:rPr>
                <w:rFonts w:ascii="Calibri" w:hAnsi="Calibri"/>
                <w:color w:val="282828"/>
                <w:sz w:val="19"/>
              </w:rPr>
              <w:t>Varifocal CE + CIoU + DFL</w:t>
            </w:r>
          </w:p>
        </w:tc>
        <w:tc>
          <w:tcPr>
            <w:tcW w:type="dxa" w:w="1584"/>
            <w:tcMar>
              <w:top w:w="90" w:type="dxa"/>
              <w:bottom w:w="90" w:type="dxa"/>
              <w:left w:w="150" w:type="dxa"/>
              <w:right w:w="150" w:type="dxa"/>
            </w:tcMar>
          </w:tcPr>
          <w:p>
            <w:pPr>
              <w:spacing w:before="0" w:after="0"/>
              <w:jc w:val="center"/>
            </w:pPr>
            <w:r>
              <w:rPr>
                <w:rFonts w:ascii="Calibri" w:hAnsi="Calibri"/>
                <w:color w:val="282828"/>
                <w:sz w:val="19"/>
              </w:rPr>
              <w:t>0.908 mAP@0.5</w:t>
            </w:r>
          </w:p>
        </w:tc>
        <w:tc>
          <w:tcPr>
            <w:tcW w:type="dxa" w:w="1584"/>
            <w:tcMar>
              <w:top w:w="90" w:type="dxa"/>
              <w:bottom w:w="90" w:type="dxa"/>
              <w:left w:w="150" w:type="dxa"/>
              <w:right w:w="150" w:type="dxa"/>
            </w:tcMar>
          </w:tcPr>
          <w:p>
            <w:pPr>
              <w:spacing w:before="0" w:after="0"/>
              <w:jc w:val="left"/>
            </w:pPr>
            <w:r>
              <w:rPr>
                <w:rFonts w:ascii="Calibri" w:hAnsi="Calibri"/>
                <w:color w:val="282828"/>
                <w:sz w:val="19"/>
              </w:rPr>
              <w:t>65.0 FPS (15.4 ms)</w:t>
            </w:r>
          </w:p>
        </w:tc>
      </w:tr>
      <w:tr>
        <w:tc>
          <w:tcPr>
            <w:tcW w:type="dxa" w:w="2304"/>
            <w:tcMar>
              <w:top w:w="90" w:type="dxa"/>
              <w:bottom w:w="90" w:type="dxa"/>
              <w:left w:w="150" w:type="dxa"/>
              <w:right w:w="150" w:type="dxa"/>
            </w:tcMar>
            <w:shd w:fill="F4F6F9"/>
          </w:tcPr>
          <w:p>
            <w:pPr>
              <w:spacing w:before="0" w:after="0"/>
              <w:jc w:val="left"/>
            </w:pPr>
            <w:r>
              <w:rPr>
                <w:rFonts w:ascii="Calibri" w:hAnsi="Calibri"/>
                <w:color w:val="282828"/>
                <w:sz w:val="19"/>
              </w:rPr>
              <w:t>RF Classifier</w:t>
            </w:r>
          </w:p>
        </w:tc>
        <w:tc>
          <w:tcPr>
            <w:tcW w:type="dxa" w:w="2160"/>
            <w:tcMar>
              <w:top w:w="90" w:type="dxa"/>
              <w:bottom w:w="90" w:type="dxa"/>
              <w:left w:w="150" w:type="dxa"/>
              <w:right w:w="150" w:type="dxa"/>
            </w:tcMar>
            <w:shd w:fill="F4F6F9"/>
          </w:tcPr>
          <w:p>
            <w:pPr>
              <w:spacing w:before="0" w:after="0"/>
              <w:jc w:val="left"/>
            </w:pPr>
            <w:r>
              <w:rPr>
                <w:rFonts w:ascii="Calibri" w:hAnsi="Calibri"/>
                <w:color w:val="282828"/>
                <w:sz w:val="19"/>
              </w:rPr>
              <w:t>Ensemble (100 Trees)</w:t>
            </w:r>
          </w:p>
        </w:tc>
        <w:tc>
          <w:tcPr>
            <w:tcW w:type="dxa" w:w="2448"/>
            <w:tcMar>
              <w:top w:w="90" w:type="dxa"/>
              <w:bottom w:w="90" w:type="dxa"/>
              <w:left w:w="150" w:type="dxa"/>
              <w:right w:w="150" w:type="dxa"/>
            </w:tcMar>
            <w:shd w:fill="F4F6F9"/>
          </w:tcPr>
          <w:p>
            <w:pPr>
              <w:spacing w:before="0" w:after="0"/>
              <w:jc w:val="left"/>
            </w:pPr>
            <w:r>
              <w:rPr>
                <w:rFonts w:ascii="Calibri" w:hAnsi="Calibri"/>
                <w:color w:val="282828"/>
                <w:sz w:val="19"/>
              </w:rPr>
              <w:t>Gini Impurity Criterion</w:t>
            </w:r>
          </w:p>
        </w:tc>
        <w:tc>
          <w:tcPr>
            <w:tcW w:type="dxa" w:w="1584"/>
            <w:tcMar>
              <w:top w:w="90" w:type="dxa"/>
              <w:bottom w:w="90" w:type="dxa"/>
              <w:left w:w="150" w:type="dxa"/>
              <w:right w:w="150" w:type="dxa"/>
            </w:tcMar>
            <w:shd w:fill="F4F6F9"/>
          </w:tcPr>
          <w:p>
            <w:pPr>
              <w:spacing w:before="0" w:after="0"/>
              <w:jc w:val="center"/>
            </w:pPr>
            <w:r>
              <w:rPr>
                <w:rFonts w:ascii="Calibri" w:hAnsi="Calibri"/>
                <w:color w:val="282828"/>
                <w:sz w:val="19"/>
              </w:rPr>
              <w:t>94.2% Accuracy</w:t>
            </w:r>
          </w:p>
        </w:tc>
        <w:tc>
          <w:tcPr>
            <w:tcW w:type="dxa" w:w="1584"/>
            <w:tcMar>
              <w:top w:w="90" w:type="dxa"/>
              <w:bottom w:w="90" w:type="dxa"/>
              <w:left w:w="150" w:type="dxa"/>
              <w:right w:w="150" w:type="dxa"/>
            </w:tcMar>
            <w:shd w:fill="F4F6F9"/>
          </w:tcPr>
          <w:p>
            <w:pPr>
              <w:spacing w:before="0" w:after="0"/>
              <w:jc w:val="left"/>
            </w:pPr>
            <w:r>
              <w:rPr>
                <w:rFonts w:ascii="Calibri" w:hAnsi="Calibri"/>
                <w:color w:val="282828"/>
                <w:sz w:val="19"/>
              </w:rPr>
              <w:t>&lt; 1.5 ms Inference</w:t>
            </w:r>
          </w:p>
        </w:tc>
      </w:tr>
      <w:tr>
        <w:tc>
          <w:tcPr>
            <w:tcW w:type="dxa" w:w="2304"/>
            <w:tcMar>
              <w:top w:w="90" w:type="dxa"/>
              <w:bottom w:w="90" w:type="dxa"/>
              <w:left w:w="150" w:type="dxa"/>
              <w:right w:w="150" w:type="dxa"/>
            </w:tcMar>
          </w:tcPr>
          <w:p>
            <w:pPr>
              <w:spacing w:before="0" w:after="0"/>
              <w:jc w:val="left"/>
            </w:pPr>
            <w:r>
              <w:rPr>
                <w:rFonts w:ascii="Calibri" w:hAnsi="Calibri"/>
                <w:color w:val="282828"/>
                <w:sz w:val="19"/>
              </w:rPr>
              <w:t>RF Regressor</w:t>
            </w:r>
          </w:p>
        </w:tc>
        <w:tc>
          <w:tcPr>
            <w:tcW w:type="dxa" w:w="2160"/>
            <w:tcMar>
              <w:top w:w="90" w:type="dxa"/>
              <w:bottom w:w="90" w:type="dxa"/>
              <w:left w:w="150" w:type="dxa"/>
              <w:right w:w="150" w:type="dxa"/>
            </w:tcMar>
          </w:tcPr>
          <w:p>
            <w:pPr>
              <w:spacing w:before="0" w:after="0"/>
              <w:jc w:val="left"/>
            </w:pPr>
            <w:r>
              <w:rPr>
                <w:rFonts w:ascii="Calibri" w:hAnsi="Calibri"/>
                <w:color w:val="282828"/>
                <w:sz w:val="19"/>
              </w:rPr>
              <w:t>Ensemble (100 Trees)</w:t>
            </w:r>
          </w:p>
        </w:tc>
        <w:tc>
          <w:tcPr>
            <w:tcW w:type="dxa" w:w="2448"/>
            <w:tcMar>
              <w:top w:w="90" w:type="dxa"/>
              <w:bottom w:w="90" w:type="dxa"/>
              <w:left w:w="150" w:type="dxa"/>
              <w:right w:w="150" w:type="dxa"/>
            </w:tcMar>
          </w:tcPr>
          <w:p>
            <w:pPr>
              <w:spacing w:before="0" w:after="0"/>
              <w:jc w:val="left"/>
            </w:pPr>
            <w:r>
              <w:rPr>
                <w:rFonts w:ascii="Calibri" w:hAnsi="Calibri"/>
                <w:color w:val="282828"/>
                <w:sz w:val="19"/>
              </w:rPr>
              <w:t>Mean Squared Error (MSE)</w:t>
            </w:r>
          </w:p>
        </w:tc>
        <w:tc>
          <w:tcPr>
            <w:tcW w:type="dxa" w:w="1584"/>
            <w:tcMar>
              <w:top w:w="90" w:type="dxa"/>
              <w:bottom w:w="90" w:type="dxa"/>
              <w:left w:w="150" w:type="dxa"/>
              <w:right w:w="150" w:type="dxa"/>
            </w:tcMar>
          </w:tcPr>
          <w:p>
            <w:pPr>
              <w:spacing w:before="0" w:after="0"/>
              <w:jc w:val="left"/>
            </w:pPr>
            <w:r>
              <w:rPr>
                <w:rFonts w:ascii="Calibri" w:hAnsi="Calibri"/>
                <w:color w:val="282828"/>
                <w:sz w:val="19"/>
              </w:rPr>
              <w:t>MAE: 1.82 seconds</w:t>
            </w:r>
          </w:p>
        </w:tc>
        <w:tc>
          <w:tcPr>
            <w:tcW w:type="dxa" w:w="1584"/>
            <w:tcMar>
              <w:top w:w="90" w:type="dxa"/>
              <w:bottom w:w="90" w:type="dxa"/>
              <w:left w:w="150" w:type="dxa"/>
              <w:right w:w="150" w:type="dxa"/>
            </w:tcMar>
          </w:tcPr>
          <w:p>
            <w:pPr>
              <w:spacing w:before="0" w:after="0"/>
              <w:jc w:val="left"/>
            </w:pPr>
            <w:r>
              <w:rPr>
                <w:rFonts w:ascii="Calibri" w:hAnsi="Calibri"/>
                <w:color w:val="282828"/>
                <w:sz w:val="19"/>
              </w:rPr>
              <w:t>&lt; 1.5 ms Inference</w:t>
            </w:r>
          </w:p>
        </w:tc>
      </w:tr>
    </w:tbl>
    <w:p>
      <w:pPr>
        <w:spacing w:before="160" w:after="40"/>
        <w:jc w:val="center"/>
      </w:pPr>
      <w:r>
        <w:drawing>
          <wp:inline xmlns:a="http://schemas.openxmlformats.org/drawingml/2006/main" xmlns:pic="http://schemas.openxmlformats.org/drawingml/2006/picture">
            <wp:extent cx="5486400" cy="3262184"/>
            <wp:docPr id="2" name="Picture 2"/>
            <wp:cNvGraphicFramePr>
              <a:graphicFrameLocks noChangeAspect="1"/>
            </wp:cNvGraphicFramePr>
            <a:graphic>
              <a:graphicData uri="http://schemas.openxmlformats.org/drawingml/2006/picture">
                <pic:pic>
                  <pic:nvPicPr>
                    <pic:cNvPr id="0" name="loss_curve.png"/>
                    <pic:cNvPicPr/>
                  </pic:nvPicPr>
                  <pic:blipFill>
                    <a:blip r:embed="rId10"/>
                    <a:stretch>
                      <a:fillRect/>
                    </a:stretch>
                  </pic:blipFill>
                  <pic:spPr>
                    <a:xfrm>
                      <a:off x="0" y="0"/>
                      <a:ext cx="5486400" cy="3262184"/>
                    </a:xfrm>
                    <a:prstGeom prst="rect"/>
                  </pic:spPr>
                </pic:pic>
              </a:graphicData>
            </a:graphic>
          </wp:inline>
        </w:drawing>
      </w:r>
    </w:p>
    <w:p>
      <w:pPr>
        <w:spacing w:before="40" w:after="240"/>
        <w:jc w:val="center"/>
      </w:pPr>
      <w:r>
        <w:rPr>
          <w:rFonts w:ascii="Calibri" w:hAnsi="Calibri"/>
          <w:i/>
          <w:color w:val="2B547E"/>
          <w:sz w:val="19"/>
        </w:rPr>
        <w:t>Figure 2: Custom CNN (From Scratch) Multi-Task Loss Convergence Curve</w:t>
      </w:r>
    </w:p>
    <w:p>
      <w:pPr>
        <w:keepNext/>
        <w:spacing w:before="360" w:after="120"/>
      </w:pPr>
      <w:r>
        <w:rPr>
          <w:rFonts w:ascii="Calibri" w:hAnsi="Calibri"/>
          <w:b/>
          <w:color w:val="1B365D"/>
          <w:sz w:val="36"/>
        </w:rPr>
        <w:t>7. Evaluation Metrics &amp; Experimental Benchmark Results</w:t>
      </w:r>
    </w:p>
    <w:p>
      <w:pPr>
        <w:spacing w:after="120" w:line="276" w:lineRule="auto"/>
      </w:pPr>
      <w:r>
        <w:rPr>
          <w:rFonts w:ascii="Calibri" w:hAnsi="Calibri"/>
          <w:color w:val="282828"/>
          <w:sz w:val="21"/>
        </w:rPr>
        <w:t>System evaluation spans both object detection accuracy (mAP@0.5, Precision, Recall, F1, FPS) and tabular regression/classification metrics (Accuracy, F1, MAE, RMSE, ROC-AUC):</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337"/>
        <w:gridCol w:w="1337"/>
        <w:gridCol w:w="1337"/>
        <w:gridCol w:w="1337"/>
        <w:gridCol w:w="1337"/>
        <w:gridCol w:w="1337"/>
        <w:gridCol w:w="1337"/>
      </w:tblGrid>
      <w:tr>
        <w:tc>
          <w:tcPr>
            <w:tcW w:type="dxa" w:w="2592"/>
            <w:shd w:fill="1B365D"/>
            <w:tcMar>
              <w:top w:w="120" w:type="dxa"/>
              <w:bottom w:w="120" w:type="dxa"/>
              <w:left w:w="150" w:type="dxa"/>
              <w:right w:w="150" w:type="dxa"/>
            </w:tcMar>
          </w:tcPr>
          <w:p>
            <w:pPr>
              <w:spacing w:before="0" w:after="0"/>
              <w:jc w:val="center"/>
            </w:pPr>
            <w:r>
              <w:rPr>
                <w:rFonts w:ascii="Calibri" w:hAnsi="Calibri"/>
                <w:b/>
                <w:color w:val="FFFFFF"/>
                <w:sz w:val="20"/>
              </w:rPr>
              <w:t>Model Name</w:t>
            </w:r>
          </w:p>
        </w:tc>
        <w:tc>
          <w:tcPr>
            <w:tcW w:type="dxa" w:w="1152"/>
            <w:shd w:fill="1B365D"/>
            <w:tcMar>
              <w:top w:w="120" w:type="dxa"/>
              <w:bottom w:w="120" w:type="dxa"/>
              <w:left w:w="150" w:type="dxa"/>
              <w:right w:w="150" w:type="dxa"/>
            </w:tcMar>
          </w:tcPr>
          <w:p>
            <w:pPr>
              <w:spacing w:before="0" w:after="0"/>
              <w:jc w:val="center"/>
            </w:pPr>
            <w:r>
              <w:rPr>
                <w:rFonts w:ascii="Calibri" w:hAnsi="Calibri"/>
                <w:b/>
                <w:color w:val="FFFFFF"/>
                <w:sz w:val="20"/>
              </w:rPr>
              <w:t>Precision</w:t>
            </w:r>
          </w:p>
        </w:tc>
        <w:tc>
          <w:tcPr>
            <w:tcW w:type="dxa" w:w="1152"/>
            <w:shd w:fill="1B365D"/>
            <w:tcMar>
              <w:top w:w="120" w:type="dxa"/>
              <w:bottom w:w="120" w:type="dxa"/>
              <w:left w:w="150" w:type="dxa"/>
              <w:right w:w="150" w:type="dxa"/>
            </w:tcMar>
          </w:tcPr>
          <w:p>
            <w:pPr>
              <w:spacing w:before="0" w:after="0"/>
              <w:jc w:val="center"/>
            </w:pPr>
            <w:r>
              <w:rPr>
                <w:rFonts w:ascii="Calibri" w:hAnsi="Calibri"/>
                <w:b/>
                <w:color w:val="FFFFFF"/>
                <w:sz w:val="20"/>
              </w:rPr>
              <w:t>Recall</w:t>
            </w:r>
          </w:p>
        </w:tc>
        <w:tc>
          <w:tcPr>
            <w:tcW w:type="dxa" w:w="1152"/>
            <w:shd w:fill="1B365D"/>
            <w:tcMar>
              <w:top w:w="120" w:type="dxa"/>
              <w:bottom w:w="120" w:type="dxa"/>
              <w:left w:w="150" w:type="dxa"/>
              <w:right w:w="150" w:type="dxa"/>
            </w:tcMar>
          </w:tcPr>
          <w:p>
            <w:pPr>
              <w:spacing w:before="0" w:after="0"/>
              <w:jc w:val="center"/>
            </w:pPr>
            <w:r>
              <w:rPr>
                <w:rFonts w:ascii="Calibri" w:hAnsi="Calibri"/>
                <w:b/>
                <w:color w:val="FFFFFF"/>
                <w:sz w:val="20"/>
              </w:rPr>
              <w:t>F1-Score</w:t>
            </w:r>
          </w:p>
        </w:tc>
        <w:tc>
          <w:tcPr>
            <w:tcW w:type="dxa" w:w="1152"/>
            <w:shd w:fill="1B365D"/>
            <w:tcMar>
              <w:top w:w="120" w:type="dxa"/>
              <w:bottom w:w="120" w:type="dxa"/>
              <w:left w:w="150" w:type="dxa"/>
              <w:right w:w="150" w:type="dxa"/>
            </w:tcMar>
          </w:tcPr>
          <w:p>
            <w:pPr>
              <w:spacing w:before="0" w:after="0"/>
              <w:jc w:val="center"/>
            </w:pPr>
            <w:r>
              <w:rPr>
                <w:rFonts w:ascii="Calibri" w:hAnsi="Calibri"/>
                <w:b/>
                <w:color w:val="FFFFFF"/>
                <w:sz w:val="20"/>
              </w:rPr>
              <w:t>mAP@0.5</w:t>
            </w:r>
          </w:p>
        </w:tc>
        <w:tc>
          <w:tcPr>
            <w:tcW w:type="dxa" w:w="1008"/>
            <w:shd w:fill="1B365D"/>
            <w:tcMar>
              <w:top w:w="120" w:type="dxa"/>
              <w:bottom w:w="120" w:type="dxa"/>
              <w:left w:w="150" w:type="dxa"/>
              <w:right w:w="150" w:type="dxa"/>
            </w:tcMar>
          </w:tcPr>
          <w:p>
            <w:pPr>
              <w:spacing w:before="0" w:after="0"/>
              <w:jc w:val="center"/>
            </w:pPr>
            <w:r>
              <w:rPr>
                <w:rFonts w:ascii="Calibri" w:hAnsi="Calibri"/>
                <w:b/>
                <w:color w:val="FFFFFF"/>
                <w:sz w:val="20"/>
              </w:rPr>
              <w:t>FPS</w:t>
            </w:r>
          </w:p>
        </w:tc>
        <w:tc>
          <w:tcPr>
            <w:tcW w:type="dxa" w:w="1872"/>
            <w:shd w:fill="1B365D"/>
            <w:tcMar>
              <w:top w:w="120" w:type="dxa"/>
              <w:bottom w:w="120" w:type="dxa"/>
              <w:left w:w="150" w:type="dxa"/>
              <w:right w:w="150" w:type="dxa"/>
            </w:tcMar>
          </w:tcPr>
          <w:p>
            <w:pPr>
              <w:spacing w:before="0" w:after="0"/>
              <w:jc w:val="center"/>
            </w:pPr>
            <w:r>
              <w:rPr>
                <w:rFonts w:ascii="Calibri" w:hAnsi="Calibri"/>
                <w:b/>
                <w:color w:val="FFFFFF"/>
                <w:sz w:val="20"/>
              </w:rPr>
              <w:t>Selection Status</w:t>
            </w:r>
          </w:p>
        </w:tc>
      </w:tr>
      <w:tr>
        <w:tc>
          <w:tcPr>
            <w:tcW w:type="dxa" w:w="2592"/>
            <w:tcMar>
              <w:top w:w="90" w:type="dxa"/>
              <w:bottom w:w="90" w:type="dxa"/>
              <w:left w:w="150" w:type="dxa"/>
              <w:right w:w="150" w:type="dxa"/>
            </w:tcMar>
          </w:tcPr>
          <w:p>
            <w:pPr>
              <w:spacing w:before="0" w:after="0"/>
              <w:jc w:val="left"/>
            </w:pPr>
            <w:r>
              <w:rPr>
                <w:rFonts w:ascii="Calibri" w:hAnsi="Calibri"/>
                <w:color w:val="282828"/>
                <w:sz w:val="19"/>
              </w:rPr>
              <w:t>Custom CNN (Scratch)</w:t>
            </w:r>
          </w:p>
        </w:tc>
        <w:tc>
          <w:tcPr>
            <w:tcW w:type="dxa" w:w="1152"/>
            <w:tcMar>
              <w:top w:w="90" w:type="dxa"/>
              <w:bottom w:w="90" w:type="dxa"/>
              <w:left w:w="150" w:type="dxa"/>
              <w:right w:w="150" w:type="dxa"/>
            </w:tcMar>
          </w:tcPr>
          <w:p>
            <w:pPr>
              <w:spacing w:before="0" w:after="0"/>
              <w:jc w:val="center"/>
            </w:pPr>
            <w:r>
              <w:rPr>
                <w:rFonts w:ascii="Calibri" w:hAnsi="Calibri"/>
                <w:color w:val="282828"/>
                <w:sz w:val="19"/>
              </w:rPr>
              <w:t>0.742</w:t>
            </w:r>
          </w:p>
        </w:tc>
        <w:tc>
          <w:tcPr>
            <w:tcW w:type="dxa" w:w="1152"/>
            <w:tcMar>
              <w:top w:w="90" w:type="dxa"/>
              <w:bottom w:w="90" w:type="dxa"/>
              <w:left w:w="150" w:type="dxa"/>
              <w:right w:w="150" w:type="dxa"/>
            </w:tcMar>
          </w:tcPr>
          <w:p>
            <w:pPr>
              <w:spacing w:before="0" w:after="0"/>
              <w:jc w:val="center"/>
            </w:pPr>
            <w:r>
              <w:rPr>
                <w:rFonts w:ascii="Calibri" w:hAnsi="Calibri"/>
                <w:color w:val="282828"/>
                <w:sz w:val="19"/>
              </w:rPr>
              <w:t>0.698</w:t>
            </w:r>
          </w:p>
        </w:tc>
        <w:tc>
          <w:tcPr>
            <w:tcW w:type="dxa" w:w="1152"/>
            <w:tcMar>
              <w:top w:w="90" w:type="dxa"/>
              <w:bottom w:w="90" w:type="dxa"/>
              <w:left w:w="150" w:type="dxa"/>
              <w:right w:w="150" w:type="dxa"/>
            </w:tcMar>
          </w:tcPr>
          <w:p>
            <w:pPr>
              <w:spacing w:before="0" w:after="0"/>
              <w:jc w:val="center"/>
            </w:pPr>
            <w:r>
              <w:rPr>
                <w:rFonts w:ascii="Calibri" w:hAnsi="Calibri"/>
                <w:color w:val="282828"/>
                <w:sz w:val="19"/>
              </w:rPr>
              <w:t>0.719</w:t>
            </w:r>
          </w:p>
        </w:tc>
        <w:tc>
          <w:tcPr>
            <w:tcW w:type="dxa" w:w="1152"/>
            <w:tcMar>
              <w:top w:w="90" w:type="dxa"/>
              <w:bottom w:w="90" w:type="dxa"/>
              <w:left w:w="150" w:type="dxa"/>
              <w:right w:w="150" w:type="dxa"/>
            </w:tcMar>
          </w:tcPr>
          <w:p>
            <w:pPr>
              <w:spacing w:before="0" w:after="0"/>
              <w:jc w:val="center"/>
            </w:pPr>
            <w:r>
              <w:rPr>
                <w:rFonts w:ascii="Calibri" w:hAnsi="Calibri"/>
                <w:color w:val="282828"/>
                <w:sz w:val="19"/>
              </w:rPr>
              <w:t>0.712</w:t>
            </w:r>
          </w:p>
        </w:tc>
        <w:tc>
          <w:tcPr>
            <w:tcW w:type="dxa" w:w="1008"/>
            <w:tcMar>
              <w:top w:w="90" w:type="dxa"/>
              <w:bottom w:w="90" w:type="dxa"/>
              <w:left w:w="150" w:type="dxa"/>
              <w:right w:w="150" w:type="dxa"/>
            </w:tcMar>
          </w:tcPr>
          <w:p>
            <w:pPr>
              <w:spacing w:before="0" w:after="0"/>
              <w:jc w:val="center"/>
            </w:pPr>
            <w:r>
              <w:rPr>
                <w:rFonts w:ascii="Calibri" w:hAnsi="Calibri"/>
                <w:color w:val="282828"/>
                <w:sz w:val="19"/>
              </w:rPr>
              <w:t>42.5</w:t>
            </w:r>
          </w:p>
        </w:tc>
        <w:tc>
          <w:tcPr>
            <w:tcW w:type="dxa" w:w="1872"/>
            <w:tcMar>
              <w:top w:w="90" w:type="dxa"/>
              <w:bottom w:w="90" w:type="dxa"/>
              <w:left w:w="150" w:type="dxa"/>
              <w:right w:w="150" w:type="dxa"/>
            </w:tcMar>
          </w:tcPr>
          <w:p>
            <w:pPr>
              <w:spacing w:before="0" w:after="0"/>
              <w:jc w:val="center"/>
            </w:pPr>
            <w:r>
              <w:rPr>
                <w:rFonts w:ascii="Calibri" w:hAnsi="Calibri"/>
                <w:color w:val="282828"/>
                <w:sz w:val="19"/>
              </w:rPr>
              <w:t>Baseline</w:t>
            </w:r>
          </w:p>
        </w:tc>
      </w:tr>
      <w:tr>
        <w:tc>
          <w:tcPr>
            <w:tcW w:type="dxa" w:w="2592"/>
            <w:tcMar>
              <w:top w:w="90" w:type="dxa"/>
              <w:bottom w:w="90" w:type="dxa"/>
              <w:left w:w="150" w:type="dxa"/>
              <w:right w:w="150" w:type="dxa"/>
            </w:tcMar>
            <w:shd w:fill="F4F6F9"/>
          </w:tcPr>
          <w:p>
            <w:pPr>
              <w:spacing w:before="0" w:after="0"/>
              <w:jc w:val="left"/>
            </w:pPr>
            <w:r>
              <w:rPr>
                <w:rFonts w:ascii="Calibri" w:hAnsi="Calibri"/>
                <w:color w:val="282828"/>
                <w:sz w:val="19"/>
              </w:rPr>
              <w:t>Faster R-CNN (MobileNetV3)</w:t>
            </w:r>
          </w:p>
        </w:tc>
        <w:tc>
          <w:tcPr>
            <w:tcW w:type="dxa" w:w="1152"/>
            <w:tcMar>
              <w:top w:w="90" w:type="dxa"/>
              <w:bottom w:w="90" w:type="dxa"/>
              <w:left w:w="150" w:type="dxa"/>
              <w:right w:w="150" w:type="dxa"/>
            </w:tcMar>
            <w:shd w:fill="F4F6F9"/>
          </w:tcPr>
          <w:p>
            <w:pPr>
              <w:spacing w:before="0" w:after="0"/>
              <w:jc w:val="center"/>
            </w:pPr>
            <w:r>
              <w:rPr>
                <w:rFonts w:ascii="Calibri" w:hAnsi="Calibri"/>
                <w:color w:val="282828"/>
                <w:sz w:val="19"/>
              </w:rPr>
              <w:t>0.881</w:t>
            </w:r>
          </w:p>
        </w:tc>
        <w:tc>
          <w:tcPr>
            <w:tcW w:type="dxa" w:w="1152"/>
            <w:tcMar>
              <w:top w:w="90" w:type="dxa"/>
              <w:bottom w:w="90" w:type="dxa"/>
              <w:left w:w="150" w:type="dxa"/>
              <w:right w:w="150" w:type="dxa"/>
            </w:tcMar>
            <w:shd w:fill="F4F6F9"/>
          </w:tcPr>
          <w:p>
            <w:pPr>
              <w:spacing w:before="0" w:after="0"/>
              <w:jc w:val="center"/>
            </w:pPr>
            <w:r>
              <w:rPr>
                <w:rFonts w:ascii="Calibri" w:hAnsi="Calibri"/>
                <w:color w:val="282828"/>
                <w:sz w:val="19"/>
              </w:rPr>
              <w:t>0.854</w:t>
            </w:r>
          </w:p>
        </w:tc>
        <w:tc>
          <w:tcPr>
            <w:tcW w:type="dxa" w:w="1152"/>
            <w:tcMar>
              <w:top w:w="90" w:type="dxa"/>
              <w:bottom w:w="90" w:type="dxa"/>
              <w:left w:w="150" w:type="dxa"/>
              <w:right w:w="150" w:type="dxa"/>
            </w:tcMar>
            <w:shd w:fill="F4F6F9"/>
          </w:tcPr>
          <w:p>
            <w:pPr>
              <w:spacing w:before="0" w:after="0"/>
              <w:jc w:val="center"/>
            </w:pPr>
            <w:r>
              <w:rPr>
                <w:rFonts w:ascii="Calibri" w:hAnsi="Calibri"/>
                <w:color w:val="282828"/>
                <w:sz w:val="19"/>
              </w:rPr>
              <w:t>0.867</w:t>
            </w:r>
          </w:p>
        </w:tc>
        <w:tc>
          <w:tcPr>
            <w:tcW w:type="dxa" w:w="1152"/>
            <w:tcMar>
              <w:top w:w="90" w:type="dxa"/>
              <w:bottom w:w="90" w:type="dxa"/>
              <w:left w:w="150" w:type="dxa"/>
              <w:right w:w="150" w:type="dxa"/>
            </w:tcMar>
            <w:shd w:fill="F4F6F9"/>
          </w:tcPr>
          <w:p>
            <w:pPr>
              <w:spacing w:before="0" w:after="0"/>
              <w:jc w:val="center"/>
            </w:pPr>
            <w:r>
              <w:rPr>
                <w:rFonts w:ascii="Calibri" w:hAnsi="Calibri"/>
                <w:color w:val="282828"/>
                <w:sz w:val="19"/>
              </w:rPr>
              <w:t>0.862</w:t>
            </w:r>
          </w:p>
        </w:tc>
        <w:tc>
          <w:tcPr>
            <w:tcW w:type="dxa" w:w="1008"/>
            <w:tcMar>
              <w:top w:w="90" w:type="dxa"/>
              <w:bottom w:w="90" w:type="dxa"/>
              <w:left w:w="150" w:type="dxa"/>
              <w:right w:w="150" w:type="dxa"/>
            </w:tcMar>
            <w:shd w:fill="F4F6F9"/>
          </w:tcPr>
          <w:p>
            <w:pPr>
              <w:spacing w:before="0" w:after="0"/>
              <w:jc w:val="center"/>
            </w:pPr>
            <w:r>
              <w:rPr>
                <w:rFonts w:ascii="Calibri" w:hAnsi="Calibri"/>
                <w:color w:val="282828"/>
                <w:sz w:val="19"/>
              </w:rPr>
              <w:t>18.2</w:t>
            </w:r>
          </w:p>
        </w:tc>
        <w:tc>
          <w:tcPr>
            <w:tcW w:type="dxa" w:w="1872"/>
            <w:tcMar>
              <w:top w:w="90" w:type="dxa"/>
              <w:bottom w:w="90" w:type="dxa"/>
              <w:left w:w="150" w:type="dxa"/>
              <w:right w:w="150" w:type="dxa"/>
            </w:tcMar>
            <w:shd w:fill="F4F6F9"/>
          </w:tcPr>
          <w:p>
            <w:pPr>
              <w:spacing w:before="0" w:after="0"/>
              <w:jc w:val="center"/>
            </w:pPr>
            <w:r>
              <w:rPr>
                <w:rFonts w:ascii="Calibri" w:hAnsi="Calibri"/>
                <w:color w:val="282828"/>
                <w:sz w:val="19"/>
              </w:rPr>
              <w:t>Evaluated</w:t>
            </w:r>
          </w:p>
        </w:tc>
      </w:tr>
      <w:tr>
        <w:tc>
          <w:tcPr>
            <w:tcW w:type="dxa" w:w="2592"/>
            <w:tcMar>
              <w:top w:w="90" w:type="dxa"/>
              <w:bottom w:w="90" w:type="dxa"/>
              <w:left w:w="150" w:type="dxa"/>
              <w:right w:w="150" w:type="dxa"/>
            </w:tcMar>
          </w:tcPr>
          <w:p>
            <w:pPr>
              <w:spacing w:before="0" w:after="0"/>
              <w:jc w:val="left"/>
            </w:pPr>
            <w:r>
              <w:rPr>
                <w:rFonts w:ascii="Calibri" w:hAnsi="Calibri"/>
                <w:color w:val="282828"/>
                <w:sz w:val="19"/>
              </w:rPr>
              <w:t>YOLOv8 Small</w:t>
            </w:r>
          </w:p>
        </w:tc>
        <w:tc>
          <w:tcPr>
            <w:tcW w:type="dxa" w:w="1152"/>
            <w:tcMar>
              <w:top w:w="90" w:type="dxa"/>
              <w:bottom w:w="90" w:type="dxa"/>
              <w:left w:w="150" w:type="dxa"/>
              <w:right w:w="150" w:type="dxa"/>
            </w:tcMar>
          </w:tcPr>
          <w:p>
            <w:pPr>
              <w:spacing w:before="0" w:after="0"/>
              <w:jc w:val="center"/>
            </w:pPr>
            <w:r>
              <w:rPr>
                <w:rFonts w:ascii="Calibri" w:hAnsi="Calibri"/>
                <w:color w:val="282828"/>
                <w:sz w:val="19"/>
              </w:rPr>
              <w:t>0.915</w:t>
            </w:r>
          </w:p>
        </w:tc>
        <w:tc>
          <w:tcPr>
            <w:tcW w:type="dxa" w:w="1152"/>
            <w:tcMar>
              <w:top w:w="90" w:type="dxa"/>
              <w:bottom w:w="90" w:type="dxa"/>
              <w:left w:w="150" w:type="dxa"/>
              <w:right w:w="150" w:type="dxa"/>
            </w:tcMar>
          </w:tcPr>
          <w:p>
            <w:pPr>
              <w:spacing w:before="0" w:after="0"/>
              <w:jc w:val="center"/>
            </w:pPr>
            <w:r>
              <w:rPr>
                <w:rFonts w:ascii="Calibri" w:hAnsi="Calibri"/>
                <w:color w:val="282828"/>
                <w:sz w:val="19"/>
              </w:rPr>
              <w:t>0.892</w:t>
            </w:r>
          </w:p>
        </w:tc>
        <w:tc>
          <w:tcPr>
            <w:tcW w:type="dxa" w:w="1152"/>
            <w:tcMar>
              <w:top w:w="90" w:type="dxa"/>
              <w:bottom w:w="90" w:type="dxa"/>
              <w:left w:w="150" w:type="dxa"/>
              <w:right w:w="150" w:type="dxa"/>
            </w:tcMar>
          </w:tcPr>
          <w:p>
            <w:pPr>
              <w:spacing w:before="0" w:after="0"/>
              <w:jc w:val="center"/>
            </w:pPr>
            <w:r>
              <w:rPr>
                <w:rFonts w:ascii="Calibri" w:hAnsi="Calibri"/>
                <w:color w:val="282828"/>
                <w:sz w:val="19"/>
              </w:rPr>
              <w:t>0.903</w:t>
            </w:r>
          </w:p>
        </w:tc>
        <w:tc>
          <w:tcPr>
            <w:tcW w:type="dxa" w:w="1152"/>
            <w:tcMar>
              <w:top w:w="90" w:type="dxa"/>
              <w:bottom w:w="90" w:type="dxa"/>
              <w:left w:w="150" w:type="dxa"/>
              <w:right w:w="150" w:type="dxa"/>
            </w:tcMar>
          </w:tcPr>
          <w:p>
            <w:pPr>
              <w:spacing w:before="0" w:after="0"/>
              <w:jc w:val="center"/>
            </w:pPr>
            <w:r>
              <w:rPr>
                <w:rFonts w:ascii="Calibri" w:hAnsi="Calibri"/>
                <w:color w:val="282828"/>
                <w:sz w:val="19"/>
              </w:rPr>
              <w:t>0.908</w:t>
            </w:r>
          </w:p>
        </w:tc>
        <w:tc>
          <w:tcPr>
            <w:tcW w:type="dxa" w:w="1008"/>
            <w:tcMar>
              <w:top w:w="90" w:type="dxa"/>
              <w:bottom w:w="90" w:type="dxa"/>
              <w:left w:w="150" w:type="dxa"/>
              <w:right w:w="150" w:type="dxa"/>
            </w:tcMar>
          </w:tcPr>
          <w:p>
            <w:pPr>
              <w:spacing w:before="0" w:after="0"/>
              <w:jc w:val="center"/>
            </w:pPr>
            <w:r>
              <w:rPr>
                <w:rFonts w:ascii="Calibri" w:hAnsi="Calibri"/>
                <w:color w:val="282828"/>
                <w:sz w:val="19"/>
              </w:rPr>
              <w:t>65.0</w:t>
            </w:r>
          </w:p>
        </w:tc>
        <w:tc>
          <w:tcPr>
            <w:tcW w:type="dxa" w:w="1872"/>
            <w:tcMar>
              <w:top w:w="90" w:type="dxa"/>
              <w:bottom w:w="90" w:type="dxa"/>
              <w:left w:w="150" w:type="dxa"/>
              <w:right w:w="150" w:type="dxa"/>
            </w:tcMar>
          </w:tcPr>
          <w:p>
            <w:pPr>
              <w:spacing w:before="0" w:after="0"/>
              <w:jc w:val="left"/>
            </w:pPr>
            <w:r>
              <w:rPr>
                <w:rFonts w:ascii="Calibri" w:hAnsi="Calibri"/>
                <w:color w:val="282828"/>
                <w:sz w:val="19"/>
              </w:rPr>
              <w:t>🏆 SELECTED BEST</w:t>
            </w:r>
          </w:p>
        </w:tc>
      </w:tr>
    </w:tbl>
    <w:p>
      <w:pPr>
        <w:spacing w:before="160" w:after="40"/>
        <w:jc w:val="center"/>
      </w:pPr>
      <w:r>
        <w:drawing>
          <wp:inline xmlns:a="http://schemas.openxmlformats.org/drawingml/2006/main" xmlns:pic="http://schemas.openxmlformats.org/drawingml/2006/picture">
            <wp:extent cx="5486400" cy="2279217"/>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486400" cy="2279217"/>
                    </a:xfrm>
                    <a:prstGeom prst="rect"/>
                  </pic:spPr>
                </pic:pic>
              </a:graphicData>
            </a:graphic>
          </wp:inline>
        </w:drawing>
      </w:r>
    </w:p>
    <w:p>
      <w:pPr>
        <w:spacing w:before="40" w:after="240"/>
        <w:jc w:val="center"/>
      </w:pPr>
      <w:r>
        <w:rPr>
          <w:rFonts w:ascii="Calibri" w:hAnsi="Calibri"/>
          <w:i/>
          <w:color w:val="2B547E"/>
          <w:sz w:val="19"/>
        </w:rPr>
        <w:t>Figure 3: Comparative Multi-Model Performance — Detection Accuracy (mAP@0.5 / F1) &amp; Throughput (FPS)</w:t>
      </w:r>
    </w:p>
    <w:p>
      <w:pPr>
        <w:spacing w:before="160" w:after="40"/>
        <w:jc w:val="center"/>
      </w:pPr>
      <w:r>
        <w:drawing>
          <wp:inline xmlns:a="http://schemas.openxmlformats.org/drawingml/2006/main" xmlns:pic="http://schemas.openxmlformats.org/drawingml/2006/picture">
            <wp:extent cx="5486400" cy="4687873"/>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486400" cy="4687873"/>
                    </a:xfrm>
                    <a:prstGeom prst="rect"/>
                  </pic:spPr>
                </pic:pic>
              </a:graphicData>
            </a:graphic>
          </wp:inline>
        </w:drawing>
      </w:r>
    </w:p>
    <w:p>
      <w:pPr>
        <w:spacing w:before="40" w:after="240"/>
        <w:jc w:val="center"/>
      </w:pPr>
      <w:r>
        <w:rPr>
          <w:rFonts w:ascii="Calibri" w:hAnsi="Calibri"/>
          <w:i/>
          <w:color w:val="2B547E"/>
          <w:sz w:val="19"/>
        </w:rPr>
        <w:t>Figure 4: Confusion Matrix Heatmap for Traffic Congestion Classification (94.2% Overall Accuracy)</w:t>
      </w:r>
    </w:p>
    <w:p>
      <w:pPr>
        <w:spacing w:before="160" w:after="40"/>
        <w:jc w:val="center"/>
      </w:pPr>
      <w:r>
        <w:drawing>
          <wp:inline xmlns:a="http://schemas.openxmlformats.org/drawingml/2006/main" xmlns:pic="http://schemas.openxmlformats.org/drawingml/2006/picture">
            <wp:extent cx="5486400" cy="4097438"/>
            <wp:docPr id="5" name="Picture 5"/>
            <wp:cNvGraphicFramePr>
              <a:graphicFrameLocks noChangeAspect="1"/>
            </wp:cNvGraphicFramePr>
            <a:graphic>
              <a:graphicData uri="http://schemas.openxmlformats.org/drawingml/2006/picture">
                <pic:pic>
                  <pic:nvPicPr>
                    <pic:cNvPr id="0" name="roc_curve.png"/>
                    <pic:cNvPicPr/>
                  </pic:nvPicPr>
                  <pic:blipFill>
                    <a:blip r:embed="rId13"/>
                    <a:stretch>
                      <a:fillRect/>
                    </a:stretch>
                  </pic:blipFill>
                  <pic:spPr>
                    <a:xfrm>
                      <a:off x="0" y="0"/>
                      <a:ext cx="5486400" cy="4097438"/>
                    </a:xfrm>
                    <a:prstGeom prst="rect"/>
                  </pic:spPr>
                </pic:pic>
              </a:graphicData>
            </a:graphic>
          </wp:inline>
        </w:drawing>
      </w:r>
    </w:p>
    <w:p>
      <w:pPr>
        <w:spacing w:before="40" w:after="240"/>
        <w:jc w:val="center"/>
      </w:pPr>
      <w:r>
        <w:rPr>
          <w:rFonts w:ascii="Calibri" w:hAnsi="Calibri"/>
          <w:i/>
          <w:color w:val="2B547E"/>
          <w:sz w:val="19"/>
        </w:rPr>
        <w:t>Figure 5: Multi-Class One-vs-Rest ROC Curve with Perfect/Near-Perfect AUC Performance across Congestion Tiers</w:t>
      </w:r>
    </w:p>
    <w:p>
      <w:pPr>
        <w:spacing w:before="160" w:after="40"/>
        <w:jc w:val="center"/>
      </w:pPr>
      <w:r>
        <w:drawing>
          <wp:inline xmlns:a="http://schemas.openxmlformats.org/drawingml/2006/main" xmlns:pic="http://schemas.openxmlformats.org/drawingml/2006/picture">
            <wp:extent cx="5486400" cy="2083981"/>
            <wp:docPr id="6" name="Picture 6"/>
            <wp:cNvGraphicFramePr>
              <a:graphicFrameLocks noChangeAspect="1"/>
            </wp:cNvGraphicFramePr>
            <a:graphic>
              <a:graphicData uri="http://schemas.openxmlformats.org/drawingml/2006/picture">
                <pic:pic>
                  <pic:nvPicPr>
                    <pic:cNvPr id="0" name="traffic_analytics.png"/>
                    <pic:cNvPicPr/>
                  </pic:nvPicPr>
                  <pic:blipFill>
                    <a:blip r:embed="rId14"/>
                    <a:stretch>
                      <a:fillRect/>
                    </a:stretch>
                  </pic:blipFill>
                  <pic:spPr>
                    <a:xfrm>
                      <a:off x="0" y="0"/>
                      <a:ext cx="5486400" cy="2083981"/>
                    </a:xfrm>
                    <a:prstGeom prst="rect"/>
                  </pic:spPr>
                </pic:pic>
              </a:graphicData>
            </a:graphic>
          </wp:inline>
        </w:drawing>
      </w:r>
    </w:p>
    <w:p>
      <w:pPr>
        <w:spacing w:before="40" w:after="240"/>
        <w:jc w:val="center"/>
      </w:pPr>
      <w:r>
        <w:rPr>
          <w:rFonts w:ascii="Calibri" w:hAnsi="Calibri"/>
          <w:i/>
          <w:color w:val="2B547E"/>
          <w:sz w:val="19"/>
        </w:rPr>
        <w:t>Figure 6: 24-Hour Diurnal Traffic PCU Profile &amp; Adaptive Dynamic Green Light Time Allocation</w:t>
      </w:r>
    </w:p>
    <w:p>
      <w:pPr>
        <w:keepNext/>
        <w:spacing w:before="360" w:after="120"/>
      </w:pPr>
      <w:r>
        <w:rPr>
          <w:rFonts w:ascii="Calibri" w:hAnsi="Calibri"/>
          <w:b/>
          <w:color w:val="1B365D"/>
          <w:sz w:val="36"/>
        </w:rPr>
        <w:t>8. Front-End User Interface Component Reference</w:t>
      </w:r>
    </w:p>
    <w:p>
      <w:pPr>
        <w:spacing w:after="120" w:line="276" w:lineRule="auto"/>
      </w:pPr>
      <w:r>
        <w:rPr>
          <w:rFonts w:ascii="Calibri" w:hAnsi="Calibri"/>
          <w:color w:val="282828"/>
          <w:sz w:val="21"/>
        </w:rPr>
        <w:t>The Streamlit dashboard (app.py) provides an intuitive control interface structured across 7 functional tabs:</w:t>
      </w:r>
    </w:p>
    <w:p>
      <w:pPr>
        <w:pStyle w:val="ListBullet"/>
        <w:spacing w:after="60" w:line="276" w:lineRule="auto"/>
      </w:pPr>
      <w:r>
        <w:rPr>
          <w:rFonts w:ascii="Calibri" w:hAnsi="Calibri"/>
          <w:b/>
          <w:color w:val="1B365D"/>
          <w:sz w:val="21"/>
        </w:rPr>
        <w:t xml:space="preserve">Sidebar Controls: </w:t>
      </w:r>
      <w:r>
        <w:rPr>
          <w:rFonts w:ascii="Calibri" w:hAnsi="Calibri"/>
          <w:color w:val="282828"/>
          <w:sz w:val="21"/>
        </w:rPr>
        <w:t>Engine Selector (Auto, Custom CNN, Faster R-CNN, YOLOv8), Confidence Threshold slider (0.10 - 0.95), Directional Lanes selector (1 - 5), and dynamic Winner Badge.</w:t>
      </w:r>
    </w:p>
    <w:p>
      <w:pPr>
        <w:pStyle w:val="ListBullet"/>
        <w:spacing w:after="60" w:line="276" w:lineRule="auto"/>
      </w:pPr>
      <w:r>
        <w:rPr>
          <w:rFonts w:ascii="Calibri" w:hAnsi="Calibri"/>
          <w:b/>
          <w:color w:val="1B365D"/>
          <w:sz w:val="21"/>
        </w:rPr>
        <w:t xml:space="preserve">Tab 1: Live Detection &amp; Counting: </w:t>
      </w:r>
      <w:r>
        <w:rPr>
          <w:rFonts w:ascii="Calibri" w:hAnsi="Calibri"/>
          <w:color w:val="282828"/>
          <w:sz w:val="21"/>
        </w:rPr>
        <w:t>Allows uploading custom road images or selecting test frames. Displays annotated vehicle bounding boxes, a HUD status bar, and real-time metric cards (Total Vehicles, PCU Index, Congestion Level, Green Duration).</w:t>
      </w:r>
    </w:p>
    <w:p>
      <w:pPr>
        <w:pStyle w:val="ListBullet"/>
        <w:spacing w:after="60" w:line="276" w:lineRule="auto"/>
      </w:pPr>
      <w:r>
        <w:rPr>
          <w:rFonts w:ascii="Calibri" w:hAnsi="Calibri"/>
          <w:b/>
          <w:color w:val="1B365D"/>
          <w:sz w:val="21"/>
        </w:rPr>
        <w:t xml:space="preserve">Tab 2: OpenCV Feature Extraction: </w:t>
      </w:r>
      <w:r>
        <w:rPr>
          <w:rFonts w:ascii="Calibri" w:hAnsi="Calibri"/>
          <w:color w:val="282828"/>
          <w:sz w:val="21"/>
        </w:rPr>
        <w:t>Displays side-by-side cards for each stage of the 6-stage image pipeline: Raw BGR -&gt; Grayscale -&gt; Gaussian Blur -&gt; Canny Edges -&gt; Morphological Dilation -&gt; Contour Proposals.</w:t>
      </w:r>
    </w:p>
    <w:p>
      <w:pPr>
        <w:pStyle w:val="ListBullet"/>
        <w:spacing w:after="60" w:line="276" w:lineRule="auto"/>
      </w:pPr>
      <w:r>
        <w:rPr>
          <w:rFonts w:ascii="Calibri" w:hAnsi="Calibri"/>
          <w:b/>
          <w:color w:val="1B365D"/>
          <w:sz w:val="21"/>
        </w:rPr>
        <w:t xml:space="preserve">Tab 3: 3-Model Benchmark: </w:t>
      </w:r>
      <w:r>
        <w:rPr>
          <w:rFonts w:ascii="Calibri" w:hAnsi="Calibri"/>
          <w:color w:val="282828"/>
          <w:sz w:val="21"/>
        </w:rPr>
        <w:t>Presents the complete comparative performance table, accuracy/FPS bar charts, and highlights the auto-selected winning model.</w:t>
      </w:r>
    </w:p>
    <w:p>
      <w:pPr>
        <w:pStyle w:val="ListBullet"/>
        <w:spacing w:after="60" w:line="276" w:lineRule="auto"/>
      </w:pPr>
      <w:r>
        <w:rPr>
          <w:rFonts w:ascii="Calibri" w:hAnsi="Calibri"/>
          <w:b/>
          <w:color w:val="1B365D"/>
          <w:sz w:val="21"/>
        </w:rPr>
        <w:t xml:space="preserve">Tab 4: Train Custom CNN: </w:t>
      </w:r>
      <w:r>
        <w:rPr>
          <w:rFonts w:ascii="Calibri" w:hAnsi="Calibri"/>
          <w:color w:val="282828"/>
          <w:sz w:val="21"/>
        </w:rPr>
        <w:t>Interactive training interface with hyperparameter controls (epochs, learning rate, batch size, optimizer) and real-time loss curve updates.</w:t>
      </w:r>
    </w:p>
    <w:p>
      <w:pPr>
        <w:pStyle w:val="ListBullet"/>
        <w:spacing w:after="60" w:line="276" w:lineRule="auto"/>
      </w:pPr>
      <w:r>
        <w:rPr>
          <w:rFonts w:ascii="Calibri" w:hAnsi="Calibri"/>
          <w:b/>
          <w:color w:val="1B365D"/>
          <w:sz w:val="21"/>
        </w:rPr>
        <w:t xml:space="preserve">Tab 5: CSV Tabular ML Model: </w:t>
      </w:r>
      <w:r>
        <w:rPr>
          <w:rFonts w:ascii="Calibri" w:hAnsi="Calibri"/>
          <w:color w:val="282828"/>
          <w:sz w:val="21"/>
        </w:rPr>
        <w:t>Displays Random Forest evaluation metrics, embedded Confusion Matrix and ROC curves, and an interactive prediction form for testing custom PCU inputs.</w:t>
      </w:r>
    </w:p>
    <w:p>
      <w:pPr>
        <w:pStyle w:val="ListBullet"/>
        <w:spacing w:after="60" w:line="276" w:lineRule="auto"/>
      </w:pPr>
      <w:r>
        <w:rPr>
          <w:rFonts w:ascii="Calibri" w:hAnsi="Calibri"/>
          <w:b/>
          <w:color w:val="1B365D"/>
          <w:sz w:val="21"/>
        </w:rPr>
        <w:t xml:space="preserve">Tab 6: Signal Simulator: </w:t>
      </w:r>
      <w:r>
        <w:rPr>
          <w:rFonts w:ascii="Calibri" w:hAnsi="Calibri"/>
          <w:color w:val="282828"/>
          <w:sz w:val="21"/>
        </w:rPr>
        <w:t>Allows simulating traffic scenarios using sliders for hour, lanes, and individual vehicle counts. Displays real-time PCU metrics and an animated traffic light card.</w:t>
      </w:r>
    </w:p>
    <w:p>
      <w:pPr>
        <w:pStyle w:val="ListBullet"/>
        <w:spacing w:after="60" w:line="276" w:lineRule="auto"/>
      </w:pPr>
      <w:r>
        <w:rPr>
          <w:rFonts w:ascii="Calibri" w:hAnsi="Calibri"/>
          <w:b/>
          <w:color w:val="1B365D"/>
          <w:sz w:val="21"/>
        </w:rPr>
        <w:t xml:space="preserve">Tab 7: Analytics &amp; Visualizations: </w:t>
      </w:r>
      <w:r>
        <w:rPr>
          <w:rFonts w:ascii="Calibri" w:hAnsi="Calibri"/>
          <w:color w:val="282828"/>
          <w:sz w:val="21"/>
        </w:rPr>
        <w:t>Presents 24-hour diurnal traffic trends and green signal allocation plots, with a one-click download button for the JSON evaluation report.</w:t>
      </w:r>
    </w:p>
    <w:p>
      <w:pPr>
        <w:keepNext/>
        <w:spacing w:before="360" w:after="120"/>
      </w:pPr>
      <w:r>
        <w:rPr>
          <w:rFonts w:ascii="Calibri" w:hAnsi="Calibri"/>
          <w:b/>
          <w:color w:val="1B365D"/>
          <w:sz w:val="36"/>
        </w:rPr>
        <w:t>9. Project Novelty &amp; Key Engineering Contributions</w:t>
      </w:r>
    </w:p>
    <w:p>
      <w:pPr>
        <w:pStyle w:val="ListBullet"/>
        <w:spacing w:after="60" w:line="276" w:lineRule="auto"/>
      </w:pPr>
      <w:r>
        <w:rPr>
          <w:rFonts w:ascii="Calibri" w:hAnsi="Calibri"/>
          <w:b/>
          <w:color w:val="1B365D"/>
          <w:sz w:val="21"/>
        </w:rPr>
        <w:t xml:space="preserve">PCU Transportation Engineering Integration: </w:t>
      </w:r>
      <w:r>
        <w:rPr>
          <w:rFonts w:ascii="Calibri" w:hAnsi="Calibri"/>
          <w:color w:val="282828"/>
          <w:sz w:val="21"/>
        </w:rPr>
        <w:t>Replaces simplistic vehicle counting with civil engineering Passenger Car Unit (PCU) standards, weighting heavy commercial vehicles (2.5-3.0 PCU) appropriately relative to passenger cars (1.0 PCU) and two-wheelers (0.5 PCU).</w:t>
      </w:r>
    </w:p>
    <w:p>
      <w:pPr>
        <w:pStyle w:val="ListBullet"/>
        <w:spacing w:after="60" w:line="276" w:lineRule="auto"/>
      </w:pPr>
      <w:r>
        <w:rPr>
          <w:rFonts w:ascii="Calibri" w:hAnsi="Calibri"/>
          <w:b/>
          <w:color w:val="1B365D"/>
          <w:sz w:val="21"/>
        </w:rPr>
        <w:t xml:space="preserve">Custom PyTorch Architecture from Scratch: </w:t>
      </w:r>
      <w:r>
        <w:rPr>
          <w:rFonts w:ascii="Calibri" w:hAnsi="Calibri"/>
          <w:color w:val="282828"/>
          <w:sz w:val="21"/>
        </w:rPr>
        <w:t>Implements a custom 4-block dual-head CNN with Kaiming initialization and composite Cross-Entropy + MSE loss, demonstrating dual-head training without transfer learning.</w:t>
      </w:r>
    </w:p>
    <w:p>
      <w:pPr>
        <w:pStyle w:val="ListBullet"/>
        <w:spacing w:after="60" w:line="276" w:lineRule="auto"/>
      </w:pPr>
      <w:r>
        <w:rPr>
          <w:rFonts w:ascii="Calibri" w:hAnsi="Calibri"/>
          <w:b/>
          <w:color w:val="1B365D"/>
          <w:sz w:val="21"/>
        </w:rPr>
        <w:t xml:space="preserve">Automated Comparative Benchmarking: </w:t>
      </w:r>
      <w:r>
        <w:rPr>
          <w:rFonts w:ascii="Calibri" w:hAnsi="Calibri"/>
          <w:color w:val="282828"/>
          <w:sz w:val="21"/>
        </w:rPr>
        <w:t>Includes an automated benchmarking engine that evaluates candidate models, selects the top performer by mAP@0.5, and updates production routing via JSON configuration.</w:t>
      </w:r>
    </w:p>
    <w:p>
      <w:pPr>
        <w:pStyle w:val="ListBullet"/>
        <w:spacing w:after="60" w:line="276" w:lineRule="auto"/>
      </w:pPr>
      <w:r>
        <w:rPr>
          <w:rFonts w:ascii="Calibri" w:hAnsi="Calibri"/>
          <w:b/>
          <w:color w:val="1B365D"/>
          <w:sz w:val="21"/>
        </w:rPr>
        <w:t xml:space="preserve">Hybrid Vision + Tabular Decision Engine: </w:t>
      </w:r>
      <w:r>
        <w:rPr>
          <w:rFonts w:ascii="Calibri" w:hAnsi="Calibri"/>
          <w:color w:val="282828"/>
          <w:sz w:val="21"/>
        </w:rPr>
        <w:t>Combines spatial deep learning feature extraction with Random Forest tabular modeling to predict signal timings based on both visual and temporal/environmental features.</w:t>
      </w:r>
    </w:p>
    <w:p>
      <w:pPr>
        <w:pStyle w:val="ListBullet"/>
        <w:spacing w:after="60" w:line="276" w:lineRule="auto"/>
      </w:pPr>
      <w:r>
        <w:rPr>
          <w:rFonts w:ascii="Calibri" w:hAnsi="Calibri"/>
          <w:b/>
          <w:color w:val="1B365D"/>
          <w:sz w:val="21"/>
        </w:rPr>
        <w:t xml:space="preserve">Explainable Computer Vision Pipeline: </w:t>
      </w:r>
      <w:r>
        <w:rPr>
          <w:rFonts w:ascii="Calibri" w:hAnsi="Calibri"/>
          <w:color w:val="282828"/>
          <w:sz w:val="21"/>
        </w:rPr>
        <w:t>Features an integrated 6-stage classical OpenCV filter pipeline, providing visual insight into how edge and contour features relate to deep network representations.</w:t>
      </w:r>
    </w:p>
    <w:p>
      <w:pPr>
        <w:keepNext/>
        <w:spacing w:before="360" w:after="120"/>
      </w:pPr>
      <w:r>
        <w:rPr>
          <w:rFonts w:ascii="Calibri" w:hAnsi="Calibri"/>
          <w:b/>
          <w:color w:val="1B365D"/>
          <w:sz w:val="36"/>
        </w:rPr>
        <w:t>10. System Limitations &amp; Future Scope</w:t>
      </w:r>
    </w:p>
    <w:p>
      <w:pPr>
        <w:keepNext/>
        <w:spacing w:before="280" w:after="80"/>
      </w:pPr>
      <w:r>
        <w:rPr>
          <w:rFonts w:ascii="Calibri" w:hAnsi="Calibri"/>
          <w:b/>
          <w:color w:val="2B547E"/>
          <w:sz w:val="28"/>
        </w:rPr>
        <w:t>10.1 Limitations</w:t>
      </w:r>
    </w:p>
    <w:p>
      <w:pPr>
        <w:pStyle w:val="ListBullet"/>
        <w:spacing w:after="60" w:line="276" w:lineRule="auto"/>
      </w:pPr>
      <w:r>
        <w:rPr>
          <w:rFonts w:ascii="Calibri" w:hAnsi="Calibri"/>
          <w:b/>
          <w:color w:val="1B365D"/>
          <w:sz w:val="21"/>
        </w:rPr>
        <w:t xml:space="preserve">Atmospheric &amp; Lighting Dependencies: </w:t>
      </w:r>
      <w:r>
        <w:rPr>
          <w:rFonts w:ascii="Calibri" w:hAnsi="Calibri"/>
          <w:color w:val="282828"/>
          <w:sz w:val="21"/>
        </w:rPr>
        <w:t>Standard RGB camera detection can degrade in dense fog, heavy rain, or unlit night conditions without active infrared illumination.</w:t>
      </w:r>
    </w:p>
    <w:p>
      <w:pPr>
        <w:pStyle w:val="ListBullet"/>
        <w:spacing w:after="60" w:line="276" w:lineRule="auto"/>
      </w:pPr>
      <w:r>
        <w:rPr>
          <w:rFonts w:ascii="Calibri" w:hAnsi="Calibri"/>
          <w:b/>
          <w:color w:val="1B365D"/>
          <w:sz w:val="21"/>
        </w:rPr>
        <w:t xml:space="preserve">Visual Occlusion: </w:t>
      </w:r>
      <w:r>
        <w:rPr>
          <w:rFonts w:ascii="Calibri" w:hAnsi="Calibri"/>
          <w:color w:val="282828"/>
          <w:sz w:val="21"/>
        </w:rPr>
        <w:t>Small vehicles (motorcycles, scooters) positioned directly behind large commercial trucks can be temporarily occluded in single-camera perspectives.</w:t>
      </w:r>
    </w:p>
    <w:p>
      <w:pPr>
        <w:pStyle w:val="ListBullet"/>
        <w:spacing w:after="60" w:line="276" w:lineRule="auto"/>
      </w:pPr>
      <w:r>
        <w:rPr>
          <w:rFonts w:ascii="Calibri" w:hAnsi="Calibri"/>
          <w:b/>
          <w:color w:val="1B365D"/>
          <w:sz w:val="21"/>
        </w:rPr>
        <w:t xml:space="preserve">Simulation-Based Actuation: </w:t>
      </w:r>
      <w:r>
        <w:rPr>
          <w:rFonts w:ascii="Calibri" w:hAnsi="Calibri"/>
          <w:color w:val="282828"/>
          <w:sz w:val="21"/>
        </w:rPr>
        <w:t>Signal timing decisions are displayed digitally on the web dashboard rather than physically wired to municipal solid-state traffic controller relays.</w:t>
      </w:r>
    </w:p>
    <w:p>
      <w:pPr>
        <w:keepNext/>
        <w:spacing w:before="280" w:after="80"/>
      </w:pPr>
      <w:r>
        <w:rPr>
          <w:rFonts w:ascii="Calibri" w:hAnsi="Calibri"/>
          <w:b/>
          <w:color w:val="2B547E"/>
          <w:sz w:val="28"/>
        </w:rPr>
        <w:t>10.2 Future Scope &amp; Development Roadmap</w:t>
      </w:r>
    </w:p>
    <w:p>
      <w:pPr>
        <w:pStyle w:val="ListBullet"/>
        <w:spacing w:after="60" w:line="276" w:lineRule="auto"/>
      </w:pPr>
      <w:r>
        <w:rPr>
          <w:rFonts w:ascii="Calibri" w:hAnsi="Calibri"/>
          <w:b/>
          <w:color w:val="1B365D"/>
          <w:sz w:val="21"/>
        </w:rPr>
        <w:t xml:space="preserve">Hardware Controller Integration: </w:t>
      </w:r>
      <w:r>
        <w:rPr>
          <w:rFonts w:ascii="Calibri" w:hAnsi="Calibri"/>
          <w:color w:val="282828"/>
          <w:sz w:val="21"/>
        </w:rPr>
        <w:t>Interface with microcontrollers (Raspberry Pi 5 / Arduino) using industrial GPIO relay modules to actuate physical 12V/220V traffic signal heads.</w:t>
      </w:r>
    </w:p>
    <w:p>
      <w:pPr>
        <w:pStyle w:val="ListBullet"/>
        <w:spacing w:after="60" w:line="276" w:lineRule="auto"/>
      </w:pPr>
      <w:r>
        <w:rPr>
          <w:rFonts w:ascii="Calibri" w:hAnsi="Calibri"/>
          <w:b/>
          <w:color w:val="1B365D"/>
          <w:sz w:val="21"/>
        </w:rPr>
        <w:t xml:space="preserve">Multi-Agent Reinforcement Learning (MARL): </w:t>
      </w:r>
      <w:r>
        <w:rPr>
          <w:rFonts w:ascii="Calibri" w:hAnsi="Calibri"/>
          <w:color w:val="282828"/>
          <w:sz w:val="21"/>
        </w:rPr>
        <w:t>Extend the single-intersection optimizer into a cooperative multi-intersection network using Multi-Agent Deep Q-Networks (MADQN) to coordinate arterial green waves.</w:t>
      </w:r>
    </w:p>
    <w:p>
      <w:pPr>
        <w:pStyle w:val="ListBullet"/>
        <w:spacing w:after="60" w:line="276" w:lineRule="auto"/>
      </w:pPr>
      <w:r>
        <w:rPr>
          <w:rFonts w:ascii="Calibri" w:hAnsi="Calibri"/>
          <w:b/>
          <w:color w:val="1B365D"/>
          <w:sz w:val="21"/>
        </w:rPr>
        <w:t xml:space="preserve">Acoustic &amp; Visual Emergency Preemption: </w:t>
      </w:r>
      <w:r>
        <w:rPr>
          <w:rFonts w:ascii="Calibri" w:hAnsi="Calibri"/>
          <w:color w:val="282828"/>
          <w:sz w:val="21"/>
        </w:rPr>
        <w:t>Incorporate audio sensing (siren frequency detection) and visual classification of ambulances and fire engines to provide automated green-light priority corridors.</w:t>
      </w:r>
    </w:p>
    <w:p>
      <w:pPr>
        <w:pStyle w:val="ListBullet"/>
        <w:spacing w:after="60" w:line="276" w:lineRule="auto"/>
      </w:pPr>
      <w:r>
        <w:rPr>
          <w:rFonts w:ascii="Calibri" w:hAnsi="Calibri"/>
          <w:b/>
          <w:color w:val="1B365D"/>
          <w:sz w:val="21"/>
        </w:rPr>
        <w:t xml:space="preserve">Edge Acceleration: </w:t>
      </w:r>
      <w:r>
        <w:rPr>
          <w:rFonts w:ascii="Calibri" w:hAnsi="Calibri"/>
          <w:color w:val="282828"/>
          <w:sz w:val="21"/>
        </w:rPr>
        <w:t>Optimize YOLOv8 weights via TensorRT / ONNX Runtime for deployment on embedded platforms such as the NVIDIA Jetson Orin Nano (&lt; 15W power envelope).</w:t>
      </w:r>
    </w:p>
    <w:p>
      <w:pPr>
        <w:pStyle w:val="ListBullet"/>
        <w:spacing w:after="60" w:line="276" w:lineRule="auto"/>
      </w:pPr>
      <w:r>
        <w:rPr>
          <w:rFonts w:ascii="Calibri" w:hAnsi="Calibri"/>
          <w:b/>
          <w:color w:val="1B365D"/>
          <w:sz w:val="21"/>
        </w:rPr>
        <w:t xml:space="preserve">Multispectral Sensor Fusion: </w:t>
      </w:r>
      <w:r>
        <w:rPr>
          <w:rFonts w:ascii="Calibri" w:hAnsi="Calibri"/>
          <w:color w:val="282828"/>
          <w:sz w:val="21"/>
        </w:rPr>
        <w:t>Integrate thermal infrared sensor inputs with RGB camera feeds to maintain vehicle detection accuracy during nighttime and severe weather conditions.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