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  <w:jc w:val="center"/>
      </w:pPr>
      <w:r>
        <w:rPr>
          <w:b/>
          <w:bCs/>
          <w:color w:val="1F3864"/>
          <w:sz w:val="56"/>
          <w:szCs w:val="56"/>
        </w:rPr>
        <w:t xml:space="preserve">NeelPrajna</w:t>
      </w:r>
    </w:p>
    <w:p>
      <w:pPr>
        <w:spacing w:after="120"/>
        <w:jc w:val="center"/>
      </w:pPr>
      <w:r>
        <w:rPr>
          <w:color w:val="2E74B5"/>
          <w:sz w:val="27"/>
          <w:szCs w:val="27"/>
        </w:rPr>
        <w:t xml:space="preserve">Deep Audit Addendum: Auto-Adopt Runtime &amp; Meta-Switchers</w:t>
      </w:r>
    </w:p>
    <w:p>
      <w:pPr>
        <w:pBdr>
          <w:bottom w:val="single" w:color="2E74B5" w:sz="8" w:space="8"/>
        </w:pBdr>
        <w:jc w:val="center"/>
      </w:pPr>
      <w:r>
        <w:rPr>
          <w:sz w:val="2"/>
          <w:szCs w:val="2"/>
        </w:rPr>
        <w:t xml:space="preserve"/>
      </w:r>
    </w:p>
    <w:p>
      <w:pPr>
        <w:spacing w:after="80" w:before="200"/>
        <w:jc w:val="center"/>
      </w:pPr>
      <w:r>
        <w:rPr>
          <w:color w:val="595959"/>
          <w:sz w:val="21"/>
          <w:szCs w:val="21"/>
        </w:rPr>
        <w:t xml:space="preserve">A feature omitted from the earlier existing-implementation diagram set:</w:t>
      </w:r>
    </w:p>
    <w:p>
      <w:pPr>
        <w:spacing w:after="80"/>
        <w:jc w:val="center"/>
      </w:pPr>
      <w:r>
        <w:rPr>
          <w:color w:val="595959"/>
          <w:sz w:val="21"/>
          <w:szCs w:val="21"/>
        </w:rPr>
        <w:t xml:space="preserve">the EA's own ability to switch the real account's strategy at runtime</w:t>
      </w:r>
    </w:p>
    <w:p>
      <w:pPr>
        <w:spacing w:before="2000"/>
        <w:jc w:val="center"/>
      </w:pPr>
      <w:r>
        <w:rPr>
          <w:color w:val="595959"/>
          <w:sz w:val="20"/>
          <w:szCs w:val="20"/>
        </w:rPr>
        <w:t xml:space="preserve">Audit Addendum • Sourced from AdvisorEngine.mqh / MetaSwitcher.mqh • July 2026</w:t>
      </w:r>
    </w:p>
    <w:p>
      <w:r>
        <w:br w:type="page"/>
      </w:r>
    </w:p>
    <w:p>
      <w:pPr>
        <w:pStyle w:val="Heading1"/>
        <w:spacing w:after="140" w:before="300"/>
      </w:pPr>
      <w:r>
        <w:t xml:space="preserve">1. What was missed, and why it matters</w:t>
      </w:r>
    </w:p>
    <w:p>
      <w:pPr>
        <w:spacing w:after="140" w:line="300"/>
        <w:jc w:val="both"/>
      </w:pPr>
      <w:r>
        <w:rPr>
          <w:sz w:val="22"/>
          <w:szCs w:val="22"/>
        </w:rPr>
        <w:t xml:space="preserve">The earlier “Existing Implementation” diagram set covered NPSU's shadow universes, its four-layer verification, and — in the governance diagram — the general autonomy ladder. It did not give a dedicated diagram to a specific, already-shipped feature: InpADV_AutoAdopt, the input the person flagged directly from the live dashboard dropdown. This is a real gap, not a cosmetic one, because this single input is the one place in the entire codebase where the EA is permitted to change what the real account trades without a human clicking anything.</w:t>
      </w:r>
    </w:p>
    <w:p>
      <w:pPr>
        <w:spacing w:after="140" w:line="300"/>
        <w:jc w:val="both"/>
      </w:pPr>
      <w:r>
        <w:rPr>
          <w:sz w:val="22"/>
          <w:szCs w:val="22"/>
        </w:rPr>
        <w:t xml:space="preserve">The screenshot supplied shows the dropdown exactly as implemented: option 4 (“manual — decide from the Python reports”) is the default NONE state, and options 1–3 (win rate, account value, last trade) are the three live auto-adopt criteria. The enum values in AdvisorEngine.mqh confirm this precisely — including the seemingly reversed numbering, which is not a UI bug: NONE is enum value 0 but is labelled “4” in its own comment, matching the order the dropdown displays them in.</w:t>
      </w:r>
    </w:p>
    <w:p>
      <w:pPr>
        <w:pBdr>
          <w:left w:val="single" w:color="2E74B5" w:sz="18" w:space="12"/>
        </w:pBdr>
        <w:spacing w:after="160" w:before="120"/>
        <w:ind w:left="560" w:right="560"/>
      </w:pPr>
      <w:r>
        <w:rPr>
          <w:i/>
          <w:iCs/>
          <w:color w:val="333333"/>
          <w:sz w:val="22"/>
          <w:szCs w:val="22"/>
        </w:rPr>
        <w:t xml:space="preserve">ADV_AUTO_NONE = 0,   // 4: manual — decide from the Python reports (default)
ADV_AUTO_WINRATE = 1,   // 1: highest win rate (tiebreak: net R)
ADV_AUTO_EQUITY = 2,   // 2: highest account value (net R)
ADV_AUTO_LASTTRADE = 3    // 3: best last trade — whoever is in form right now</w:t>
      </w:r>
    </w:p>
    <w:p>
      <w:pPr>
        <w:pStyle w:val="Heading1"/>
        <w:spacing w:after="140" w:before="300"/>
      </w:pPr>
      <w:r>
        <w:t xml:space="preserve">2. The core finding: two switching paths, two different safety levels</w:t>
      </w:r>
    </w:p>
    <w:p>
      <w:pPr>
        <w:spacing w:after="140" w:line="300"/>
        <w:jc w:val="both"/>
      </w:pPr>
      <w:r>
        <w:rPr>
          <w:sz w:val="22"/>
          <w:szCs w:val="22"/>
        </w:rPr>
        <w:t xml:space="preserve">AdvisorEngine.mqh implements two genuinely separate mechanisms that are easy to conflate because they share the same ranking criteria and the same universes. Reading the source closely (ADV_OnBar) shows they are not one feature with two settings — they are two independent code paths with materially different safety properties.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sz w:val="22"/>
          <w:szCs w:val="22"/>
        </w:rPr>
        <w:t xml:space="preserve">Path A — Auto-Adopt (_ADV_AutoAdopt). </w:t>
      </w:r>
      <w:r>
        <w:rPr>
          <w:sz w:val="22"/>
          <w:szCs w:val="22"/>
        </w:rPr>
        <w:t xml:space="preserve">Runs on every single bar, unconditionally — even when the advisory module itself is disabled. Once a universe clears warm-up (InpADV_AutoWarmup trades) and the cooldown timer (InpADV_AutoCooldownMins) has elapsed, it is applied to the real account immediately, on the very first qualifying evaluation. There is no hysteresis in this path at all.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sz w:val="22"/>
          <w:szCs w:val="22"/>
        </w:rPr>
        <w:t xml:space="preserve">Path B — Advisory Recommendation (the InpADV_Enabled branch). </w:t>
      </w:r>
      <w:r>
        <w:rPr>
          <w:sz w:val="22"/>
          <w:szCs w:val="22"/>
        </w:rPr>
        <w:t xml:space="preserve">Requires an eligibility bar (InpADV_MinTrades window trades, plus an out-of-sample validated=1 flag by default) and, critically, requires a challenger to win InpADV_ConfirmEvals (default 3) consecutive evaluations before the recommendation changes — and even then it only ever produces a recommendation. It never touches the real account itself; a human must click apply.</w:t>
      </w:r>
    </w:p>
    <w:p>
      <w:pPr>
        <w:spacing w:after="140" w:line="300"/>
        <w:jc w:val="both"/>
      </w:pPr>
      <w:r>
        <w:rPr>
          <w:sz w:val="22"/>
          <w:szCs w:val="22"/>
        </w:rPr>
        <w:t xml:space="preserve">Put plainly: the safety mechanism most people would assume protects the real account — hysteresis against a single noisy window — only protects the human-facing recommendation. The mechanism that can actually move real capital has no such protection; it is guarded only by a trade-count warm-up and a cooldown timer, both of which can be satisfied by variance rather than genuine edge.</w:t>
      </w:r>
    </w:p>
    <w:p>
      <w:pPr>
        <w:pStyle w:val="Heading1"/>
        <w:spacing w:after="140" w:before="300"/>
      </w:pPr>
      <w:r>
        <w:t xml:space="preserve">3. Diagram — Auto-Adopt Runtime &amp; Meta-Switchers</w:t>
      </w:r>
    </w:p>
    <w:p>
      <w:pPr>
        <w:spacing w:after="140" w:line="300"/>
        <w:jc w:val="both"/>
      </w:pPr>
      <w:r>
        <w:rPr>
          <w:sz w:val="22"/>
          <w:szCs w:val="22"/>
        </w:rPr>
        <w:t xml:space="preserve">The diagram below traces both paths from the shared entry point (ADV_OnBar, called every M1 bar) through to the one place they converge: Portfolio_ApplyStrategy, the same radio-style, session-only real-account switch a human's one-click apply uses. It also shows where the three meta-switchers sit — racing as virtual participants under the identical criteria, but structurally barred from ever being an Auto-Adopt candidate themselves.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7258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725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80"/>
        <w:jc w:val="center"/>
      </w:pPr>
      <w:r>
        <w:rPr>
          <w:i/>
          <w:iCs/>
          <w:color w:val="595959"/>
          <w:sz w:val="19"/>
          <w:szCs w:val="19"/>
        </w:rPr>
        <w:t xml:space="preserve">Figure 9. ADV_OnBar → Auto-Adopt (no hysteresis) / Advisory (hysteresis) → shared apply path → meta-switchers.</w:t>
      </w:r>
    </w:p>
    <w:p>
      <w:r>
        <w:br w:type="page"/>
      </w:r>
    </w:p>
    <w:p>
      <w:pPr>
        <w:pStyle w:val="Heading1"/>
        <w:spacing w:after="140" w:before="300"/>
      </w:pPr>
      <w:r>
        <w:t xml:space="preserve">4. Every safety gate actually in the code (so none are assumed)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4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Input / Mechanism</w:t>
            </w:r>
          </w:p>
        </w:tc>
        <w:tc>
          <w:tcPr>
            <w:tcW w:type="dxa" w:w="3200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actually guards against</w:t>
            </w:r>
          </w:p>
        </w:tc>
        <w:tc>
          <w:tcPr>
            <w:tcW w:type="dxa" w:w="3400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does NOT guard against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InpNPSU_AllowApply (master gate)</w:t>
            </w:r>
          </w:p>
        </w:tc>
        <w:tc>
          <w:tcPr>
            <w:tcW w:type="dxa" w:w="3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Any apply at all, human or automatic, if left false</w:t>
            </w:r>
          </w:p>
        </w:tc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Nothing once true — it is a blanket on/off, not a per-criterion permission</w:t>
            </w:r>
          </w:p>
        </w:tc>
      </w:tr>
      <w:tr>
        <w:tc>
          <w:tcPr>
            <w:tcW w:type="dxa" w:w="2600"/>
            <w:shd w:fill="F2F5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InpADV_AutoWarmup (default 10 trades)</w:t>
            </w:r>
          </w:p>
        </w:tc>
        <w:tc>
          <w:tcPr>
            <w:tcW w:type="dxa" w:w="3200"/>
            <w:shd w:fill="F2F5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Adopting a universe with almost no track record</w:t>
            </w:r>
          </w:p>
        </w:tc>
        <w:tc>
          <w:tcPr>
            <w:tcW w:type="dxa" w:w="3400"/>
            <w:shd w:fill="F2F5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 universe that got lucky in exactly its first 10 trades — warm-up counts trades, not significance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InpADV_AutoRequireAll</w:t>
            </w:r>
          </w:p>
        </w:tc>
        <w:tc>
          <w:tcPr>
            <w:tcW w:type="dxa" w:w="3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Adopting before slower gates have any data, if set true</w:t>
            </w:r>
          </w:p>
        </w:tc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Off by default; can itself block adoption indefinitely on a slow gate if enabled</w:t>
            </w:r>
          </w:p>
        </w:tc>
      </w:tr>
      <w:tr>
        <w:tc>
          <w:tcPr>
            <w:tcW w:type="dxa" w:w="2600"/>
            <w:shd w:fill="F2F5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InpADV_AutoCooldownMins (default 60)</w:t>
            </w:r>
          </w:p>
        </w:tc>
        <w:tc>
          <w:tcPr>
            <w:tcW w:type="dxa" w:w="3200"/>
            <w:shd w:fill="F2F5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Rapid flip-flopping between strategies</w:t>
            </w:r>
          </w:p>
        </w:tc>
        <w:tc>
          <w:tcPr>
            <w:tcW w:type="dxa" w:w="3400"/>
            <w:shd w:fill="F2F5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 single bad switch happening at all — cooldown limits frequency, not correctness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Meta-switcher exclusion (i &lt; NPSU_META_BASE)</w:t>
            </w:r>
          </w:p>
        </w:tc>
        <w:tc>
          <w:tcPr>
            <w:tcW w:type="dxa" w:w="3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 meta-switcher ever driving the real account directly via Auto-Adopt</w:t>
            </w:r>
          </w:p>
        </w:tc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Nothing once a meta wins backtest + OOS and is promoted — that promotion is a human, governance-level decision (DR-008), not a code gate</w:t>
            </w:r>
          </w:p>
        </w:tc>
      </w:tr>
      <w:tr>
        <w:tc>
          <w:tcPr>
            <w:tcW w:type="dxa" w:w="2600"/>
            <w:shd w:fill="F2F5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Radio / session-only apply</w:t>
            </w:r>
          </w:p>
        </w:tc>
        <w:tc>
          <w:tcPr>
            <w:tcW w:type="dxa" w:w="3200"/>
            <w:shd w:fill="F2F5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More than one strategy live on the real account at once; a setting surviving an EA restart unintentionally</w:t>
            </w:r>
          </w:p>
        </w:tc>
        <w:tc>
          <w:tcPr>
            <w:tcW w:type="dxa" w:w="3400"/>
            <w:shd w:fill="F2F5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switch itself being wrong — it only bounds the blast radius, it does not validate the choice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InpADV_ConfirmEvals hysteresis</w:t>
            </w:r>
          </w:p>
        </w:tc>
        <w:tc>
          <w:tcPr>
            <w:tcW w:type="dxa" w:w="3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human-facing recommendation flipping on one noisy window</w:t>
            </w:r>
          </w:p>
        </w:tc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Auto-Adopt — this gate does not apply to Path A at all (see §2)</w:t>
            </w:r>
          </w:p>
        </w:tc>
      </w:tr>
    </w:tbl>
    <w:p>
      <w:pPr>
        <w:spacing w:after="160"/>
      </w:pPr>
    </w:p>
    <w:p>
      <w:pPr>
        <w:spacing w:after="140" w:line="300"/>
        <w:jc w:val="both"/>
      </w:pPr>
      <w:r>
        <w:rPr>
          <w:sz w:val="22"/>
          <w:szCs w:val="22"/>
        </w:rPr>
        <w:t xml:space="preserve">Read as a whole, the table shows the real protection against a bad Auto-Adopt decision today is entirely rate-based (warm-up, cooldown) rather than significance-based (a statistical test, an out-of-sample check, or the ConfirmEvals hysteresis the advisory path enjoys). This is consistent with the feature's own design comment — “the auto-switcher is itself a strategy under test” — but is worth stating explicitly rather than leaving implicit.</w:t>
      </w:r>
    </w:p>
    <w:p>
      <w:pPr>
        <w:pStyle w:val="Heading1"/>
        <w:spacing w:after="140" w:before="300"/>
      </w:pPr>
      <w:r>
        <w:t xml:space="preserve">5. Evidence this asymmetry is already known and being watched</w:t>
      </w:r>
    </w:p>
    <w:p>
      <w:pPr>
        <w:spacing w:after="140" w:line="300"/>
        <w:jc w:val="both"/>
      </w:pPr>
      <w:r>
        <w:rPr>
          <w:sz w:val="22"/>
          <w:szCs w:val="22"/>
        </w:rPr>
        <w:t xml:space="preserve">This is not a newly discovered defect; the project's own version history shows it was anticipated and is already being monitored empirically, which is itself worth recording as it strengthens confidence in the team's practice.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sz w:val="22"/>
          <w:szCs w:val="22"/>
        </w:rPr>
        <w:t xml:space="preserve">Real incident on record: </w:t>
      </w:r>
      <w:r>
        <w:rPr>
          <w:sz w:val="22"/>
          <w:szCs w:val="22"/>
        </w:rPr>
        <w:t xml:space="preserve">the LAST_TRADE criterion scored +29R on one evaluation window and −25R on the very next — n=2 evidence, exactly the failure mode a warm-up-and-cooldown-only gate cannot prevent. The real account itself was kept on manual B1|T1 as a result, and this incident is the direct origin of the rule that a criterion may only drive the real account after winning both backtest and out-of-sample.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sz w:val="22"/>
          <w:szCs w:val="22"/>
        </w:rPr>
        <w:t xml:space="preserve">Meta-switchers exist specifically to pre-test this risk virtually: </w:t>
      </w:r>
      <w:r>
        <w:rPr>
          <w:sz w:val="22"/>
          <w:szCs w:val="22"/>
        </w:rPr>
        <w:t xml:space="preserve">M_EQUITY, M_WINRATE, and M_LASTTRADE race against the base universes with predictions pre-registered before data was examined (Fable predicted EQUITY would land within noise of simply holding the best strategy and that LASTTRADE would underperform; the owner predicted the in-form strategy would adapt best). The recorded result from run 22078 was that switching did not beat holding, and LAST_TRADE was the best-performing criterion among the three — a genuinely informative, humbling result for an adaptive-switching hypothesis.</w:t>
      </w:r>
    </w:p>
    <w:p>
      <w:pPr>
        <w:pStyle w:val="Heading1"/>
        <w:spacing w:after="140" w:before="300"/>
      </w:pPr>
      <w:r>
        <w:t xml:space="preserve">6. Recommendations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sz w:val="22"/>
          <w:szCs w:val="22"/>
        </w:rPr>
        <w:t xml:space="preserve">Add this diagram and finding to the permanent record. </w:t>
      </w:r>
      <w:r>
        <w:rPr>
          <w:sz w:val="22"/>
          <w:szCs w:val="22"/>
        </w:rPr>
        <w:t xml:space="preserve">File it as DR-012 in the Decision Register (“Auto-Adopt and the advisory recommendation are separate mechanisms with different safety levels”) rather than leaving it as tribal knowledge inside AdvisorEngine.mqh's comments.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sz w:val="22"/>
          <w:szCs w:val="22"/>
        </w:rPr>
        <w:t xml:space="preserve">Consider whether Auto-Adopt should borrow the advisory path's hysteresis. </w:t>
      </w:r>
      <w:r>
        <w:rPr>
          <w:sz w:val="22"/>
          <w:szCs w:val="22"/>
        </w:rPr>
        <w:t xml:space="preserve">Even a lightweight ConfirmEvals-style check before Path A applies (not just before Path B recommends) would close the gap this audit surfaced, without changing the feature's fundamentally experimental character.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sz w:val="22"/>
          <w:szCs w:val="22"/>
        </w:rPr>
        <w:t xml:space="preserve">Extend this same audit pass to the Sequential Strategy Live Apply mechanism (SeqLive.mqh, Phase 6b). </w:t>
      </w:r>
      <w:r>
        <w:rPr>
          <w:sz w:val="22"/>
          <w:szCs w:val="22"/>
        </w:rPr>
        <w:t xml:space="preserve">It is a second place in the codebase where a runtime process can change what the real account does, and it was not covered by this pass or the prior diagram set — flagged here so it is not silently assumed equivalent to Auto-Adopt without the same line-by-line check.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sz w:val="22"/>
          <w:szCs w:val="22"/>
        </w:rPr>
        <w:t xml:space="preserve">Re-scan for other “input group” clusters before calling any future audit complete. </w:t>
      </w:r>
      <w:r>
        <w:rPr>
          <w:sz w:val="22"/>
          <w:szCs w:val="22"/>
        </w:rPr>
        <w:t xml:space="preserve">This pass found the auto-adopt gap by grepping every .mqh file's input group declarations against the two prior diagram sets — the same technique surfaced Sequential Live Apply as the next candidate and should be repeated whenever a new diagram set is planned.</w:t>
      </w:r>
    </w:p>
    <w:sectPr>
      <w:headerReference w:type="default" r:id="rId7"/>
      <w:footerReference w:type="default" r:id="rId8"/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595959"/>
        <w:sz w:val="16"/>
        <w:szCs w:val="16"/>
      </w:rPr>
      <w:t xml:space="preserve">NeelPrajna — Auto-Adopt Deep Audit Addendum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320"/>
    </w:pPr>
    <w:rPr>
      <w:rFonts w:ascii="Calibri Light" w:cs="Calibri Light" w:eastAsia="Calibri Light" w:hAnsi="Calibri Light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</w:pPr>
    <w:rPr>
      <w:rFonts w:ascii="Calibri Light" w:cs="Calibri Light" w:eastAsia="Calibri Light" w:hAnsi="Calibri Light"/>
      <w:b/>
      <w:bCs/>
      <w:color w:val="2E74B5"/>
      <w:sz w:val="25"/>
      <w:szCs w:val="25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033f833fc0807f3af010b50e70a5ab7519691e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2026-07-29T05:51:46.839Z</dcterms:created>
  <dcterms:modified xsi:type="dcterms:W3CDTF">2026-07-29T05:51:46.864Z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