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60"/>
          <w:szCs w:val="60"/>
        </w:rPr>
        <w:t xml:space="preserve">QRF</w:t>
      </w:r>
    </w:p>
    <w:p>
      <w:pPr>
        <w:spacing w:after="120"/>
        <w:jc w:val="center"/>
      </w:pPr>
      <w:r>
        <w:rPr>
          <w:color w:val="2E74B5"/>
          <w:sz w:val="30"/>
          <w:szCs w:val="30"/>
        </w:rPr>
        <w:t xml:space="preserve">Generation 1, Complete — A Deep Analysis</w:t>
      </w:r>
    </w:p>
    <w:p>
      <w:pPr>
        <w:pBdr>
          <w:bottom w:val="single" w:color="2E74B5" w:sz="8" w:space="8"/>
        </w:pBdr>
        <w:jc w:val="center"/>
      </w:pPr>
      <w:r>
        <w:rPr>
          <w:sz w:val="2"/>
          <w:szCs w:val="2"/>
        </w:rPr>
        <w:t xml:space="preserve"/>
      </w:r>
    </w:p>
    <w:p>
      <w:pPr>
        <w:spacing w:after="80" w:before="200"/>
        <w:jc w:val="center"/>
      </w:pPr>
      <w:r>
        <w:rPr>
          <w:color w:val="595959"/>
          <w:sz w:val="22"/>
          <w:szCs w:val="22"/>
        </w:rPr>
        <w:t xml:space="preserve">Analysis of the real F:\QRF repository — 10 closed sprints, 11 ADRs,</w:t>
      </w:r>
    </w:p>
    <w:p>
      <w:pPr>
        <w:spacing w:after="80"/>
        <w:jc w:val="center"/>
      </w:pPr>
      <w:r>
        <w:rPr>
          <w:color w:val="595959"/>
          <w:sz w:val="22"/>
          <w:szCs w:val="22"/>
        </w:rPr>
        <w:t xml:space="preserve">a multi-AI coordination protocol, and the ratified path to Generation 2</w:t>
      </w:r>
    </w:p>
    <w:p>
      <w:pPr>
        <w:spacing w:before="2200"/>
        <w:jc w:val="center"/>
      </w:pPr>
      <w:r>
        <w:rPr>
          <w:color w:val="595959"/>
          <w:sz w:val="22"/>
          <w:szCs w:val="22"/>
        </w:rPr>
        <w:t xml:space="preserve">Research Architecture Document, Volume III • July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40" w:line="300"/>
        <w:jc w:val="both"/>
      </w:pPr>
      <w:r>
        <w:rPr>
          <w:sz w:val="22"/>
          <w:szCs w:val="22"/>
        </w:rPr>
        <w:t xml:space="preserve">This volume analyzes F:\QRF as it actually exists — not the speculative Platform Architecture sketch examined in Volumes I and II, but a real, working repository with ten closed sprints, eleven Architecture Decision Records, a full multi-AI coordination protocol, and a completed Generation 1 that produced a genuine scientific record: four hypotheses judged, zero promoted. This is a materially different starting point from anything analyzed previously in this engagement, and the single most important finding of this volume is simple to state: the abstract Kernel described in the Platform Architecture document is not a proposal anymore. It is built, tested, and has already been used to reach real, reproducible verdicts.</w:t>
      </w:r>
    </w:p>
    <w:p>
      <w:pPr>
        <w:spacing w:after="140" w:line="300"/>
        <w:jc w:val="both"/>
      </w:pPr>
      <w:r>
        <w:rPr>
          <w:sz w:val="22"/>
          <w:szCs w:val="22"/>
        </w:rPr>
        <w:t xml:space="preserve">QRF's own one-line self-description, from its README, sets the tone precisely: "a machine for finding out what is actually true about markets — built so it cannot fool the person using it." Every subsystem analyzed below exists to make that sentence true under adversarial conditions, not merely under friendly ones.</w:t>
      </w:r>
    </w:p>
    <w:p>
      <w:pPr>
        <w:pStyle w:val="Heading2"/>
        <w:spacing w:after="120" w:before="280"/>
      </w:pPr>
      <w:r>
        <w:t xml:space="preserve">1.1 What Is New Relative to Earlier Volumes</w:t>
      </w:r>
    </w:p>
    <w:p>
      <w:pPr>
        <w:pStyle w:val="ListParagraph"/>
        <w:numPr>
          <w:ilvl w:val="0"/>
          <w:numId w:val="2"/>
        </w:numPr>
        <w:spacing w:after="90" w:line="280"/>
      </w:pPr>
      <w:r>
        <w:rPr>
          <w:b/>
          <w:bCs/>
          <w:sz w:val="22"/>
          <w:szCs w:val="22"/>
        </w:rPr>
        <w:t xml:space="preserve">A real, CI-enforced Kernel firewall (ADR-004),</w:t>
      </w:r>
      <w:r>
        <w:rPr>
          <w:sz w:val="22"/>
          <w:szCs w:val="22"/>
        </w:rPr>
        <w:t xml:space="preserve"> not a described one — tests/test_kernel_firewall.py asserts qrf/kernel never imports qrf/trading, on every commit.</w:t>
      </w:r>
    </w:p>
    <w:p>
      <w:pPr>
        <w:pStyle w:val="ListParagraph"/>
        <w:numPr>
          <w:ilvl w:val="0"/>
          <w:numId w:val="2"/>
        </w:numPr>
        <w:spacing w:after="90" w:line="280"/>
      </w:pPr>
      <w:r>
        <w:rPr>
          <w:b/>
          <w:bCs/>
          <w:sz w:val="22"/>
          <w:szCs w:val="22"/>
        </w:rPr>
        <w:t xml:space="preserve">A real, nine-step EvidenceBattery pipeline (battery.py),</w:t>
      </w:r>
      <w:r>
        <w:rPr>
          <w:sz w:val="22"/>
          <w:szCs w:val="22"/>
        </w:rPr>
        <w:t xml:space="preserve"> the sole writer of verdict and window_burn records, with a selftest gate that must re-pass a planted-edge/noise/small-n calibration check before it may judge anything real.</w:t>
      </w:r>
    </w:p>
    <w:p>
      <w:pPr>
        <w:pStyle w:val="ListParagraph"/>
        <w:numPr>
          <w:ilvl w:val="0"/>
          <w:numId w:val="2"/>
        </w:numPr>
        <w:spacing w:after="90" w:line="280"/>
      </w:pPr>
      <w:r>
        <w:rPr>
          <w:b/>
          <w:bCs/>
          <w:sz w:val="22"/>
          <w:szCs w:val="22"/>
        </w:rPr>
        <w:t xml:space="preserve">A completed Generation 1</w:t>
      </w:r>
      <w:r>
        <w:rPr>
          <w:sz w:val="22"/>
          <w:szCs w:val="22"/>
        </w:rPr>
        <w:t xml:space="preserve"> with a signed-off closing report: 4 hypotheses judged, 0 promoted, 21 findings caught across 10 sprints (Architect 17, Developer 4), and a ratified 12-principle constitution.</w:t>
      </w:r>
    </w:p>
    <w:p>
      <w:pPr>
        <w:pStyle w:val="ListParagraph"/>
        <w:numPr>
          <w:ilvl w:val="0"/>
          <w:numId w:val="2"/>
        </w:numPr>
        <w:spacing w:after="90" w:line="280"/>
      </w:pPr>
      <w:r>
        <w:rPr>
          <w:b/>
          <w:bCs/>
          <w:sz w:val="22"/>
          <w:szCs w:val="22"/>
        </w:rPr>
        <w:t xml:space="preserve">A ratified, gated roadmap for Generations 2–4,</w:t>
      </w:r>
      <w:r>
        <w:rPr>
          <w:sz w:val="22"/>
          <w:szCs w:val="22"/>
        </w:rPr>
        <w:t xml:space="preserve"> built on one rule stated once and applied three times: no layer of autonomy is built until the layer below it has produced results that prove the need.</w:t>
      </w:r>
    </w:p>
    <w:p>
      <w:pPr>
        <w:pStyle w:val="ListParagraph"/>
        <w:numPr>
          <w:ilvl w:val="0"/>
          <w:numId w:val="2"/>
        </w:numPr>
        <w:spacing w:after="90" w:line="280"/>
      </w:pPr>
      <w:r>
        <w:rPr>
          <w:b/>
          <w:bCs/>
          <w:sz w:val="22"/>
          <w:szCs w:val="22"/>
        </w:rPr>
        <w:t xml:space="preserve">A documentation hygiene finding worth surfacing:</w:t>
      </w:r>
      <w:r>
        <w:rPr>
          <w:sz w:val="22"/>
          <w:szCs w:val="22"/>
        </w:rPr>
        <w:t xml:space="preserve"> README.md and CHANGELOG.md are both stale past Sprint 2, despite Sprint 10 being the last one closed — an irony worth naming in a project whose ADR-001 is its own documentation policy.</w:t>
      </w:r>
    </w:p>
    <w:p>
      <w:r>
        <w:br w:type="page"/>
      </w:r>
    </w:p>
    <w:p>
      <w:pPr>
        <w:pStyle w:val="Heading1"/>
        <w:spacing w:after="160" w:before="360"/>
      </w:pPr>
      <w:r>
        <w:t xml:space="preserve">2. Repository Structure, As Built</w:t>
      </w:r>
    </w:p>
    <w:p>
      <w:pPr>
        <w:spacing w:after="140" w:line="300"/>
        <w:jc w:val="both"/>
      </w:pPr>
      <w:r>
        <w:rPr>
          <w:sz w:val="22"/>
          <w:szCs w:val="22"/>
        </w:rPr>
        <w:t xml:space="preserve">F:\QRF separates cleanly into a domain-blind Kernel and a trading-domain plug-in, exactly as ADR-004 specifies — and, unlike the earlier Platform Architecture analysis, this separation is now verifiable in actual code rather than inferred from a design document.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400"/>
      </w:tblGrid>
      <w:tr>
        <w:trPr>
          <w:tblHeader/>
        </w:trPr>
        <w:tc>
          <w:tcPr>
            <w:tcW w:type="dxa" w:w="1800"/>
            <w:shd w:fill="1F3864" w:val="clear"/>
            <w:tcMar>
              <w:top w:type="dxa" w:w="90"/>
              <w:left w:type="dxa" w:w="130"/>
              <w:bottom w:type="dxa" w:w="90"/>
              <w:right w:type="dxa" w:w="130"/>
            </w:tcMar>
          </w:tcPr>
          <w:p>
            <w:pPr>
              <w:spacing w:after="0"/>
            </w:pPr>
            <w:r>
              <w:rPr>
                <w:b/>
                <w:bCs/>
                <w:color w:val="FFFFFF"/>
                <w:sz w:val="19"/>
                <w:szCs w:val="19"/>
              </w:rPr>
              <w:t xml:space="preserve">Path</w:t>
            </w:r>
          </w:p>
        </w:tc>
        <w:tc>
          <w:tcPr>
            <w:tcW w:type="dxa" w:w="2600"/>
            <w:shd w:fill="1F3864" w:val="clear"/>
            <w:tcMar>
              <w:top w:type="dxa" w:w="90"/>
              <w:left w:type="dxa" w:w="130"/>
              <w:bottom w:type="dxa" w:w="90"/>
              <w:right w:type="dxa" w:w="130"/>
            </w:tcMar>
          </w:tcPr>
          <w:p>
            <w:pPr>
              <w:spacing w:after="0"/>
            </w:pPr>
            <w:r>
              <w:rPr>
                <w:b/>
                <w:bCs/>
                <w:color w:val="FFFFFF"/>
                <w:sz w:val="19"/>
                <w:szCs w:val="19"/>
              </w:rPr>
              <w:t xml:space="preserve">Contains</w:t>
            </w:r>
          </w:p>
        </w:tc>
        <w:tc>
          <w:tcPr>
            <w:tcW w:type="dxa" w:w="4400"/>
            <w:shd w:fill="1F3864" w:val="clear"/>
            <w:tcMar>
              <w:top w:type="dxa" w:w="90"/>
              <w:left w:type="dxa" w:w="130"/>
              <w:bottom w:type="dxa" w:w="90"/>
              <w:right w:type="dxa" w:w="130"/>
            </w:tcMar>
          </w:tcPr>
          <w:p>
            <w:pPr>
              <w:spacing w:after="0"/>
            </w:pPr>
            <w:r>
              <w:rPr>
                <w:b/>
                <w:bCs/>
                <w:color w:val="FFFFFF"/>
                <w:sz w:val="19"/>
                <w:szCs w:val="19"/>
              </w:rPr>
              <w:t xml:space="preserve">Real modules</w:t>
            </w:r>
          </w:p>
        </w:tc>
      </w:tr>
      <w:tr>
        <w:tc>
          <w:tcPr>
            <w:tcW w:type="dxa" w:w="1800"/>
            <w:tcMar>
              <w:top w:type="dxa" w:w="90"/>
              <w:left w:type="dxa" w:w="130"/>
              <w:bottom w:type="dxa" w:w="90"/>
              <w:right w:type="dxa" w:w="130"/>
            </w:tcMar>
          </w:tcPr>
          <w:p>
            <w:pPr>
              <w:spacing w:after="0"/>
            </w:pPr>
            <w:r>
              <w:rPr>
                <w:b w:val="false"/>
                <w:bCs w:val="false"/>
                <w:color w:val="000000"/>
                <w:sz w:val="19"/>
                <w:szCs w:val="19"/>
              </w:rPr>
              <w:t xml:space="preserve">qrf/kernel/</w:t>
            </w:r>
          </w:p>
        </w:tc>
        <w:tc>
          <w:tcPr>
            <w:tcW w:type="dxa" w:w="2600"/>
            <w:tcMar>
              <w:top w:type="dxa" w:w="90"/>
              <w:left w:type="dxa" w:w="130"/>
              <w:bottom w:type="dxa" w:w="90"/>
              <w:right w:type="dxa" w:w="130"/>
            </w:tcMar>
          </w:tcPr>
          <w:p>
            <w:pPr>
              <w:spacing w:after="0"/>
            </w:pPr>
            <w:r>
              <w:rPr>
                <w:b w:val="false"/>
                <w:bCs w:val="false"/>
                <w:color w:val="000000"/>
                <w:sz w:val="19"/>
                <w:szCs w:val="19"/>
              </w:rPr>
              <w:t xml:space="preserve">Domain-blind core</w:t>
            </w:r>
          </w:p>
        </w:tc>
        <w:tc>
          <w:tcPr>
            <w:tcW w:type="dxa" w:w="4400"/>
            <w:tcMar>
              <w:top w:type="dxa" w:w="90"/>
              <w:left w:type="dxa" w:w="130"/>
              <w:bottom w:type="dxa" w:w="90"/>
              <w:right w:type="dxa" w:w="130"/>
            </w:tcMar>
          </w:tcPr>
          <w:p>
            <w:pPr>
              <w:spacing w:after="0"/>
            </w:pPr>
            <w:r>
              <w:rPr>
                <w:b w:val="false"/>
                <w:bCs w:val="false"/>
                <w:color w:val="000000"/>
                <w:sz w:val="19"/>
                <w:szCs w:val="19"/>
              </w:rPr>
              <w:t xml:space="preserve">records (store, bulk, schemas) · instruments (registry, calibration) · protocol (windows, hypotheses, splits, seeds) · battery (battery, simulator, placebo, selftest) · corrections (trials, deflation) · belief · observatory · graph/registry (reserved)</w:t>
            </w:r>
          </w:p>
        </w:tc>
      </w:tr>
      <w:tr>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qrf/trading/</w:t>
            </w:r>
          </w:p>
        </w:tc>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The domain plug-in</w:t>
            </w:r>
          </w:p>
        </w:tc>
        <w:tc>
          <w:tcPr>
            <w:tcW w:type="dxa" w:w="4400"/>
            <w:shd w:fill="F2F5FA" w:val="clear"/>
            <w:tcMar>
              <w:top w:type="dxa" w:w="90"/>
              <w:left w:type="dxa" w:w="130"/>
              <w:bottom w:type="dxa" w:w="90"/>
              <w:right w:type="dxa" w:w="130"/>
            </w:tcMar>
          </w:tcPr>
          <w:p>
            <w:pPr>
              <w:spacing w:after="0"/>
            </w:pPr>
            <w:r>
              <w:rPr>
                <w:b w:val="false"/>
                <w:bCs w:val="false"/>
                <w:color w:val="000000"/>
                <w:sz w:val="19"/>
                <w:szCs w:val="19"/>
              </w:rPr>
              <w:t xml:space="preserve">adapters (mt5_csv, schemas) · concepts (classical/RSI, seasonality, smc) · simulator (engine, fills, screener_vbt) · utility (cost_models)</w:t>
            </w:r>
          </w:p>
        </w:tc>
      </w:tr>
      <w:tr>
        <w:tc>
          <w:tcPr>
            <w:tcW w:type="dxa" w:w="1800"/>
            <w:tcMar>
              <w:top w:type="dxa" w:w="90"/>
              <w:left w:type="dxa" w:w="130"/>
              <w:bottom w:type="dxa" w:w="90"/>
              <w:right w:type="dxa" w:w="130"/>
            </w:tcMar>
          </w:tcPr>
          <w:p>
            <w:pPr>
              <w:spacing w:after="0"/>
            </w:pPr>
            <w:r>
              <w:rPr>
                <w:b w:val="false"/>
                <w:bCs w:val="false"/>
                <w:color w:val="000000"/>
                <w:sz w:val="19"/>
                <w:szCs w:val="19"/>
              </w:rPr>
              <w:t xml:space="preserve">ivf/</w:t>
            </w:r>
          </w:p>
        </w:tc>
        <w:tc>
          <w:tcPr>
            <w:tcW w:type="dxa" w:w="2600"/>
            <w:tcMar>
              <w:top w:type="dxa" w:w="90"/>
              <w:left w:type="dxa" w:w="130"/>
              <w:bottom w:type="dxa" w:w="90"/>
              <w:right w:type="dxa" w:w="130"/>
            </w:tcMar>
          </w:tcPr>
          <w:p>
            <w:pPr>
              <w:spacing w:after="0"/>
            </w:pPr>
            <w:r>
              <w:rPr>
                <w:b w:val="false"/>
                <w:bCs w:val="false"/>
                <w:color w:val="000000"/>
                <w:sz w:val="19"/>
                <w:szCs w:val="19"/>
              </w:rPr>
              <w:t xml:space="preserve">Independent Verification Framework</w:t>
            </w:r>
          </w:p>
        </w:tc>
        <w:tc>
          <w:tcPr>
            <w:tcW w:type="dxa" w:w="4400"/>
            <w:tcMar>
              <w:top w:type="dxa" w:w="90"/>
              <w:left w:type="dxa" w:w="130"/>
              <w:bottom w:type="dxa" w:w="90"/>
              <w:right w:type="dxa" w:w="130"/>
            </w:tcMar>
          </w:tcPr>
          <w:p>
            <w:pPr>
              <w:spacing w:after="0"/>
            </w:pPr>
            <w:r>
              <w:rPr>
                <w:b w:val="false"/>
                <w:bCs w:val="false"/>
                <w:color w:val="000000"/>
                <w:sz w:val="19"/>
                <w:szCs w:val="19"/>
              </w:rPr>
              <w:t xml:space="preserve">Never imports qrf/; re-implements every rule from NORMATIVE texts; human checklists; per-sprint drill + verify reports</w:t>
            </w:r>
          </w:p>
        </w:tc>
      </w:tr>
      <w:tr>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tests/</w:t>
            </w:r>
          </w:p>
        </w:tc>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Mirrors qrf/</w:t>
            </w:r>
          </w:p>
        </w:tc>
        <w:tc>
          <w:tcPr>
            <w:tcW w:type="dxa" w:w="4400"/>
            <w:shd w:fill="F2F5FA" w:val="clear"/>
            <w:tcMar>
              <w:top w:type="dxa" w:w="90"/>
              <w:left w:type="dxa" w:w="130"/>
              <w:bottom w:type="dxa" w:w="90"/>
              <w:right w:type="dxa" w:w="130"/>
            </w:tcMar>
          </w:tcPr>
          <w:p>
            <w:pPr>
              <w:spacing w:after="0"/>
            </w:pPr>
            <w:r>
              <w:rPr>
                <w:b w:val="false"/>
                <w:bCs w:val="false"/>
                <w:color w:val="000000"/>
                <w:sz w:val="19"/>
                <w:szCs w:val="19"/>
              </w:rPr>
              <w:t xml:space="preserve">Includes the kernel firewall test itself</w:t>
            </w:r>
          </w:p>
        </w:tc>
      </w:tr>
      <w:tr>
        <w:tc>
          <w:tcPr>
            <w:tcW w:type="dxa" w:w="1800"/>
            <w:tcMar>
              <w:top w:type="dxa" w:w="90"/>
              <w:left w:type="dxa" w:w="130"/>
              <w:bottom w:type="dxa" w:w="90"/>
              <w:right w:type="dxa" w:w="130"/>
            </w:tcMar>
          </w:tcPr>
          <w:p>
            <w:pPr>
              <w:spacing w:after="0"/>
            </w:pPr>
            <w:r>
              <w:rPr>
                <w:b w:val="false"/>
                <w:bCs w:val="false"/>
                <w:color w:val="000000"/>
                <w:sz w:val="19"/>
                <w:szCs w:val="19"/>
              </w:rPr>
              <w:t xml:space="preserve">configs/, hypotheses/</w:t>
            </w:r>
          </w:p>
        </w:tc>
        <w:tc>
          <w:tcPr>
            <w:tcW w:type="dxa" w:w="2600"/>
            <w:tcMar>
              <w:top w:type="dxa" w:w="90"/>
              <w:left w:type="dxa" w:w="130"/>
              <w:bottom w:type="dxa" w:w="90"/>
              <w:right w:type="dxa" w:w="130"/>
            </w:tcMar>
          </w:tcPr>
          <w:p>
            <w:pPr>
              <w:spacing w:after="0"/>
            </w:pPr>
            <w:r>
              <w:rPr>
                <w:b w:val="false"/>
                <w:bCs w:val="false"/>
                <w:color w:val="000000"/>
                <w:sz w:val="19"/>
                <w:szCs w:val="19"/>
              </w:rPr>
              <w:t xml:space="preserve">Venues, priors, pre-registered H-*.yaml</w:t>
            </w:r>
          </w:p>
        </w:tc>
        <w:tc>
          <w:tcPr>
            <w:tcW w:type="dxa" w:w="4400"/>
            <w:tcMar>
              <w:top w:type="dxa" w:w="90"/>
              <w:left w:type="dxa" w:w="130"/>
              <w:bottom w:type="dxa" w:w="90"/>
              <w:right w:type="dxa" w:w="130"/>
            </w:tcMar>
          </w:tcPr>
          <w:p>
            <w:pPr>
              <w:spacing w:after="0"/>
            </w:pPr>
            <w:r>
              <w:rPr>
                <w:b w:val="false"/>
                <w:bCs w:val="false"/>
                <w:color w:val="000000"/>
                <w:sz w:val="19"/>
                <w:szCs w:val="19"/>
              </w:rPr>
              <w:t xml:space="preserve">Hashed into the ledger at registration</w:t>
            </w:r>
          </w:p>
        </w:tc>
      </w:tr>
      <w:tr>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docs/coordination/</w:t>
            </w:r>
          </w:p>
        </w:tc>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The multi-AI protocol's own file-based channel</w:t>
            </w:r>
          </w:p>
        </w:tc>
        <w:tc>
          <w:tcPr>
            <w:tcW w:type="dxa" w:w="4400"/>
            <w:shd w:fill="F2F5FA" w:val="clear"/>
            <w:tcMar>
              <w:top w:type="dxa" w:w="90"/>
              <w:left w:type="dxa" w:w="130"/>
              <w:bottom w:type="dxa" w:w="90"/>
              <w:right w:type="dxa" w:w="130"/>
            </w:tcMar>
          </w:tcPr>
          <w:p>
            <w:pPr>
              <w:spacing w:after="0"/>
            </w:pPr>
            <w:r>
              <w:rPr>
                <w:b w:val="false"/>
                <w:bCs w:val="false"/>
                <w:color w:val="000000"/>
                <w:sz w:val="19"/>
                <w:szCs w:val="19"/>
              </w:rPr>
              <w:t xml:space="preserve">instructions/, inbox/CLOSED/, notes/, reviews/, sessions/</w:t>
            </w:r>
          </w:p>
        </w:tc>
      </w:tr>
    </w:tbl>
    <w:p>
      <w:pPr>
        <w:spacing w:after="160"/>
      </w:pPr>
    </w:p>
    <w:p>
      <w:pPr>
        <w:spacing w:after="140" w:line="300"/>
        <w:jc w:val="both"/>
      </w:pPr>
      <w:r>
        <w:rPr>
          <w:sz w:val="22"/>
          <w:szCs w:val="22"/>
        </w:rPr>
        <w:t xml:space="preserve">The Architecture Map's own idea flow — data → detectors → events → composer → screener → battery → verdict → beliefs/graph → next question — states its authoritative order explicitly: journal.jsonl outranks bulk parquet (accessed via manifests), which outranks a derived, deletable DuckDB index, which outranks dashboards, which are views only. Only four things may write: store.append (all records), the battery (verdict, window_burn), the screener (trial_count bumps), and belief.update. Everything else in the system proposes files or reads them.</w:t>
      </w:r>
    </w:p>
    <w:p>
      <w:pPr>
        <w:pStyle w:val="Heading1"/>
        <w:spacing w:after="160" w:before="360"/>
      </w:pPr>
      <w:r>
        <w:t xml:space="preserve">3. The Kernel Firewall and the EvidenceBattery</w:t>
      </w:r>
    </w:p>
    <w:p>
      <w:pPr>
        <w:pStyle w:val="Heading2"/>
        <w:spacing w:after="120" w:before="280"/>
      </w:pPr>
      <w:r>
        <w:t xml:space="preserve">3.1 The Firewall Is Mechanical, Not a Convention</w:t>
      </w:r>
    </w:p>
    <w:p>
      <w:pPr>
        <w:pBdr>
          <w:left w:val="single" w:color="2E74B5" w:sz="18" w:space="12"/>
        </w:pBdr>
        <w:spacing w:after="160" w:before="120"/>
        <w:ind w:left="560" w:right="560"/>
      </w:pPr>
      <w:r>
        <w:rPr>
          <w:i/>
          <w:iCs/>
          <w:color w:val="333333"/>
          <w:sz w:val="22"/>
          <w:szCs w:val="22"/>
        </w:rPr>
        <w:t xml:space="preserve">The honesty rules are the scientific method, not house policy; keeping them domain-blind makes them harder to bend on a disappointing trading week.</w:t>
      </w:r>
    </w:p>
    <w:p>
      <w:pPr>
        <w:spacing w:after="140" w:line="300"/>
        <w:jc w:val="both"/>
      </w:pPr>
      <w:r>
        <w:rPr>
          <w:sz w:val="22"/>
          <w:szCs w:val="22"/>
        </w:rPr>
        <w:t xml:space="preserve">ADR-004 rejects both a premature two-package split (abstractions are earned from a second example, not assumed from the first) and a convention-without-CI approach ("conventions decay; the firewall must be a test"). tests/test_kernel_firewall.py is a permanent CI gate, not a one-time audit — the same discipline the Platform Architecture document described in the abstract, now enforced on every commit.</w:t>
      </w:r>
    </w:p>
    <w:p>
      <w:pPr>
        <w:pStyle w:val="Heading2"/>
        <w:spacing w:after="120" w:before="280"/>
      </w:pPr>
      <w:r>
        <w:t xml:space="preserve">3.2 The Battery's Nine-Step Pipeline</w:t>
      </w:r>
    </w:p>
    <w:p>
      <w:pPr>
        <w:spacing w:after="140" w:line="300"/>
        <w:jc w:val="both"/>
      </w:pPr>
      <w:r>
        <w:rPr>
          <w:sz w:val="22"/>
          <w:szCs w:val="22"/>
        </w:rPr>
        <w:t xml:space="preserve">battery.py is the only code path allowed to write a verdict or a window_burn record, and it fails closed at every step: a screener rejected by type before it is ever inspected for behavior; a selftest gate that must, today, still resolve a planted edge to PASS, noise to FAIL, and a small sample to INSUFFICIENT, or the whole run raises JudgeNotCalibratedError; a window check that refuses VIRGIN data (ContaminationError) and refuses re-judging an already-burned window (WindowBurnedError); anchored walk-forward splits; an audited, pessimistic-fill simulator; a placebo matched to the claim's own type, never a generic "beats zero" null; a trial-count correction sized from the TrialCountLedger's accumulated attempts; a tri-state verdict where INSUFFICIENT is explicitly not a weak FAIL; and finally an atomic write of the verdict together with its window burn, so that a verdict without a burned window is impossible by construction.</w:t>
      </w:r>
    </w:p>
    <w:p>
      <w:pPr>
        <w:spacing w:after="140" w:line="300"/>
        <w:jc w:val="both"/>
      </w:pPr>
      <w:r>
        <w:rPr>
          <w:sz w:val="22"/>
          <w:szCs w:val="22"/>
        </w:rPr>
        <w:t xml:space="preserve">This is a considerably more precise and more defensive design than the Platform Architecture document's abstract PASS/FAIL/INSUFFICIENT description conveyed. In particular, the selftest gate's requirement that calibration be re-verified on every run — not merely once, at build time — directly answers a risk this engagement's own NeelPrajna audit raised: a verifier that was calibrated once and trusted forever is exactly the failure mode QRF's battery refuses to allow.</w:t>
      </w:r>
    </w:p>
    <w:p>
      <w:pPr>
        <w:pStyle w:val="Heading2"/>
        <w:spacing w:after="120" w:before="280"/>
      </w:pPr>
      <w:r>
        <w:t xml:space="preserve">3.3 The Ledger and Window-Burn Mechanism</w:t>
      </w:r>
    </w:p>
    <w:p>
      <w:pPr>
        <w:spacing w:after="140" w:line="300"/>
        <w:jc w:val="both"/>
      </w:pPr>
      <w:r>
        <w:rPr>
          <w:sz w:val="22"/>
          <w:szCs w:val="22"/>
        </w:rPr>
        <w:t xml:space="preserve">RecordStore's journal.jsonl is hash-chained, single-writer, and fsync'd per line; a crash mid-append leaves a detectable torn tail that must be explicitly healed by an operator, never silently discarded. WindowLedger designates TRAINING/EXPLORATION/VIRGIN intervals as half-open ranges and burns them per lineage on use; any later claim whose interval intersects an already-burned interval for the same lineage is refused outright. The reserve-by-market-time doctrine — "a bar's hours, not its dataset label, are what is reserved" — is a subtle and important design choice: it closes a class of reuse loophole where the same market hours could otherwise be reintroduced to a hypothesis under a different dataset name.</w:t>
      </w:r>
    </w:p>
    <w:p>
      <w:pPr>
        <w:pStyle w:val="Heading1"/>
        <w:spacing w:after="160" w:before="360"/>
      </w:pPr>
      <w:r>
        <w:t xml:space="preserve">4. The Scientific Record: Four Hypotheses, Zero Promotions</w:t>
      </w:r>
    </w:p>
    <w:p>
      <w:pPr>
        <w:spacing w:after="140" w:line="300"/>
        <w:jc w:val="both"/>
      </w:pPr>
      <w:r>
        <w:rPr>
          <w:sz w:val="22"/>
          <w:szCs w:val="22"/>
        </w:rPr>
        <w:t xml:space="preserve">Generation 1's own closing report treats zero promotions as the headline result, not a disappointment — a stance this analysis endorses as methodologically correct rather than merely stoic.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600"/>
        <w:gridCol w:w="2600"/>
      </w:tblGrid>
      <w:tr>
        <w:trPr>
          <w:tblHeader/>
        </w:trPr>
        <w:tc>
          <w:tcPr>
            <w:tcW w:type="dxa" w:w="1200"/>
            <w:shd w:fill="1F3864" w:val="clear"/>
            <w:tcMar>
              <w:top w:type="dxa" w:w="90"/>
              <w:left w:type="dxa" w:w="130"/>
              <w:bottom w:type="dxa" w:w="90"/>
              <w:right w:type="dxa" w:w="130"/>
            </w:tcMar>
          </w:tcPr>
          <w:p>
            <w:pPr>
              <w:spacing w:after="0"/>
            </w:pPr>
            <w:r>
              <w:rPr>
                <w:b/>
                <w:bCs/>
                <w:color w:val="FFFFFF"/>
                <w:sz w:val="19"/>
                <w:szCs w:val="19"/>
              </w:rPr>
              <w:t xml:space="preserve">Hypothesis</w:t>
            </w:r>
          </w:p>
        </w:tc>
        <w:tc>
          <w:tcPr>
            <w:tcW w:type="dxa" w:w="3400"/>
            <w:shd w:fill="1F3864" w:val="clear"/>
            <w:tcMar>
              <w:top w:type="dxa" w:w="90"/>
              <w:left w:type="dxa" w:w="130"/>
              <w:bottom w:type="dxa" w:w="90"/>
              <w:right w:type="dxa" w:w="130"/>
            </w:tcMar>
          </w:tcPr>
          <w:p>
            <w:pPr>
              <w:spacing w:after="0"/>
            </w:pPr>
            <w:r>
              <w:rPr>
                <w:b/>
                <w:bCs/>
                <w:color w:val="FFFFFF"/>
                <w:sz w:val="19"/>
                <w:szCs w:val="19"/>
              </w:rPr>
              <w:t xml:space="preserve">Claim</w:t>
            </w:r>
          </w:p>
        </w:tc>
        <w:tc>
          <w:tcPr>
            <w:tcW w:type="dxa" w:w="1600"/>
            <w:shd w:fill="1F3864" w:val="clear"/>
            <w:tcMar>
              <w:top w:type="dxa" w:w="90"/>
              <w:left w:type="dxa" w:w="130"/>
              <w:bottom w:type="dxa" w:w="90"/>
              <w:right w:type="dxa" w:w="130"/>
            </w:tcMar>
          </w:tcPr>
          <w:p>
            <w:pPr>
              <w:spacing w:after="0"/>
            </w:pPr>
            <w:r>
              <w:rPr>
                <w:b/>
                <w:bCs/>
                <w:color w:val="FFFFFF"/>
                <w:sz w:val="19"/>
                <w:szCs w:val="19"/>
              </w:rPr>
              <w:t xml:space="preserve">Verdict</w:t>
            </w:r>
          </w:p>
        </w:tc>
        <w:tc>
          <w:tcPr>
            <w:tcW w:type="dxa" w:w="2600"/>
            <w:shd w:fill="1F3864" w:val="clear"/>
            <w:tcMar>
              <w:top w:type="dxa" w:w="90"/>
              <w:left w:type="dxa" w:w="130"/>
              <w:bottom w:type="dxa" w:w="90"/>
              <w:right w:type="dxa" w:w="130"/>
            </w:tcMar>
          </w:tcPr>
          <w:p>
            <w:pPr>
              <w:spacing w:after="0"/>
            </w:pPr>
            <w:r>
              <w:rPr>
                <w:b/>
                <w:bCs/>
                <w:color w:val="FFFFFF"/>
                <w:sz w:val="19"/>
                <w:szCs w:val="19"/>
              </w:rPr>
              <w:t xml:space="preserve">Detail</w:t>
            </w:r>
          </w:p>
        </w:tc>
      </w:tr>
      <w:tr>
        <w:tc>
          <w:tcPr>
            <w:tcW w:type="dxa" w:w="1200"/>
            <w:tcMar>
              <w:top w:type="dxa" w:w="90"/>
              <w:left w:type="dxa" w:w="130"/>
              <w:bottom w:type="dxa" w:w="90"/>
              <w:right w:type="dxa" w:w="130"/>
            </w:tcMar>
          </w:tcPr>
          <w:p>
            <w:pPr>
              <w:spacing w:after="0"/>
            </w:pPr>
            <w:r>
              <w:rPr>
                <w:b w:val="false"/>
                <w:bCs w:val="false"/>
                <w:color w:val="000000"/>
                <w:sz w:val="19"/>
                <w:szCs w:val="19"/>
              </w:rPr>
              <w:t xml:space="preserve">H-001</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FVG follow-through has edge</w:t>
            </w:r>
          </w:p>
        </w:tc>
        <w:tc>
          <w:tcPr>
            <w:tcW w:type="dxa" w:w="1600"/>
            <w:tcMar>
              <w:top w:type="dxa" w:w="90"/>
              <w:left w:type="dxa" w:w="130"/>
              <w:bottom w:type="dxa" w:w="90"/>
              <w:right w:type="dxa" w:w="130"/>
            </w:tcMar>
          </w:tcPr>
          <w:p>
            <w:pPr>
              <w:spacing w:after="0"/>
            </w:pPr>
            <w:r>
              <w:rPr>
                <w:b w:val="false"/>
                <w:bCs w:val="false"/>
                <w:color w:val="000000"/>
                <w:sz w:val="19"/>
                <w:szCs w:val="19"/>
              </w:rPr>
              <w:t xml:space="preserve">FAIL</w:t>
            </w:r>
          </w:p>
        </w:tc>
        <w:tc>
          <w:tcPr>
            <w:tcW w:type="dxa" w:w="2600"/>
            <w:tcMar>
              <w:top w:type="dxa" w:w="90"/>
              <w:left w:type="dxa" w:w="130"/>
              <w:bottom w:type="dxa" w:w="90"/>
              <w:right w:type="dxa" w:w="130"/>
            </w:tcMar>
          </w:tcPr>
          <w:p>
            <w:pPr>
              <w:spacing w:after="0"/>
            </w:pPr>
            <w:r>
              <w:rPr>
                <w:b w:val="false"/>
                <w:bCs w:val="false"/>
                <w:color w:val="000000"/>
                <w:sz w:val="19"/>
                <w:szCs w:val="19"/>
              </w:rPr>
              <w:t xml:space="preserve">—</w:t>
            </w:r>
          </w:p>
        </w:tc>
      </w:tr>
      <w:tr>
        <w:tc>
          <w:tcPr>
            <w:tcW w:type="dxa" w:w="1200"/>
            <w:shd w:fill="F2F5FA" w:val="clear"/>
            <w:tcMar>
              <w:top w:type="dxa" w:w="90"/>
              <w:left w:type="dxa" w:w="130"/>
              <w:bottom w:type="dxa" w:w="90"/>
              <w:right w:type="dxa" w:w="130"/>
            </w:tcMar>
          </w:tcPr>
          <w:p>
            <w:pPr>
              <w:spacing w:after="0"/>
            </w:pPr>
            <w:r>
              <w:rPr>
                <w:b w:val="false"/>
                <w:bCs w:val="false"/>
                <w:color w:val="000000"/>
                <w:sz w:val="19"/>
                <w:szCs w:val="19"/>
              </w:rPr>
              <w:t xml:space="preserve">H-002</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Intra-week FVG follow-through</w:t>
            </w:r>
          </w:p>
        </w:tc>
        <w:tc>
          <w:tcPr>
            <w:tcW w:type="dxa" w:w="1600"/>
            <w:shd w:fill="F2F5FA" w:val="clear"/>
            <w:tcMar>
              <w:top w:type="dxa" w:w="90"/>
              <w:left w:type="dxa" w:w="130"/>
              <w:bottom w:type="dxa" w:w="90"/>
              <w:right w:type="dxa" w:w="130"/>
            </w:tcMar>
          </w:tcPr>
          <w:p>
            <w:pPr>
              <w:spacing w:after="0"/>
            </w:pPr>
            <w:r>
              <w:rPr>
                <w:b w:val="false"/>
                <w:bCs w:val="false"/>
                <w:color w:val="000000"/>
                <w:sz w:val="19"/>
                <w:szCs w:val="19"/>
              </w:rPr>
              <w:t xml:space="preserve">FAIL</w:t>
            </w:r>
          </w:p>
        </w:tc>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n=637, p=0.93 — the weekend question answered; excluding weekend-born FVGs does not rescue the claim</w:t>
            </w:r>
          </w:p>
        </w:tc>
      </w:tr>
      <w:tr>
        <w:tc>
          <w:tcPr>
            <w:tcW w:type="dxa" w:w="1200"/>
            <w:tcMar>
              <w:top w:type="dxa" w:w="90"/>
              <w:left w:type="dxa" w:w="130"/>
              <w:bottom w:type="dxa" w:w="90"/>
              <w:right w:type="dxa" w:w="130"/>
            </w:tcMar>
          </w:tcPr>
          <w:p>
            <w:pPr>
              <w:spacing w:after="0"/>
            </w:pPr>
            <w:r>
              <w:rPr>
                <w:b w:val="false"/>
                <w:bCs w:val="false"/>
                <w:color w:val="000000"/>
                <w:sz w:val="19"/>
                <w:szCs w:val="19"/>
              </w:rPr>
              <w:t xml:space="preserve">H-003</w:t>
            </w:r>
          </w:p>
        </w:tc>
        <w:tc>
          <w:tcPr>
            <w:tcW w:type="dxa" w:w="3400"/>
            <w:tcMar>
              <w:top w:type="dxa" w:w="90"/>
              <w:left w:type="dxa" w:w="130"/>
              <w:bottom w:type="dxa" w:w="90"/>
              <w:right w:type="dxa" w:w="130"/>
            </w:tcMar>
          </w:tcPr>
          <w:p>
            <w:pPr>
              <w:spacing w:after="0"/>
            </w:pPr>
            <w:r>
              <w:rPr>
                <w:b w:val="false"/>
                <w:bCs w:val="false"/>
                <w:color w:val="000000"/>
                <w:sz w:val="19"/>
                <w:szCs w:val="19"/>
              </w:rPr>
              <w:t xml:space="preserve">Monday drift has edge</w:t>
            </w:r>
          </w:p>
        </w:tc>
        <w:tc>
          <w:tcPr>
            <w:tcW w:type="dxa" w:w="1600"/>
            <w:tcMar>
              <w:top w:type="dxa" w:w="90"/>
              <w:left w:type="dxa" w:w="130"/>
              <w:bottom w:type="dxa" w:w="90"/>
              <w:right w:type="dxa" w:w="130"/>
            </w:tcMar>
          </w:tcPr>
          <w:p>
            <w:pPr>
              <w:spacing w:after="0"/>
            </w:pPr>
            <w:r>
              <w:rPr>
                <w:b w:val="false"/>
                <w:bCs w:val="false"/>
                <w:color w:val="000000"/>
                <w:sz w:val="19"/>
                <w:szCs w:val="19"/>
              </w:rPr>
              <w:t xml:space="preserve">INSUFFICIENT</w:t>
            </w:r>
          </w:p>
        </w:tc>
        <w:tc>
          <w:tcPr>
            <w:tcW w:type="dxa" w:w="2600"/>
            <w:tcMar>
              <w:top w:type="dxa" w:w="90"/>
              <w:left w:type="dxa" w:w="130"/>
              <w:bottom w:type="dxa" w:w="90"/>
              <w:right w:type="dxa" w:w="130"/>
            </w:tcMar>
          </w:tcPr>
          <w:p>
            <w:pPr>
              <w:spacing w:after="0"/>
            </w:pPr>
            <w:r>
              <w:rPr>
                <w:b w:val="false"/>
                <w:bCs w:val="false"/>
                <w:color w:val="000000"/>
                <w:sz w:val="19"/>
                <w:szCs w:val="19"/>
              </w:rPr>
              <w:t xml:space="preserve">n=28 &lt; 40 — the sample floor refused to let 28 Mondays impersonate evidence</w:t>
            </w:r>
          </w:p>
        </w:tc>
      </w:tr>
      <w:tr>
        <w:tc>
          <w:tcPr>
            <w:tcW w:type="dxa" w:w="1200"/>
            <w:shd w:fill="F2F5FA" w:val="clear"/>
            <w:tcMar>
              <w:top w:type="dxa" w:w="90"/>
              <w:left w:type="dxa" w:w="130"/>
              <w:bottom w:type="dxa" w:w="90"/>
              <w:right w:type="dxa" w:w="130"/>
            </w:tcMar>
          </w:tcPr>
          <w:p>
            <w:pPr>
              <w:spacing w:after="0"/>
            </w:pPr>
            <w:r>
              <w:rPr>
                <w:b w:val="false"/>
                <w:bCs w:val="false"/>
                <w:color w:val="000000"/>
                <w:sz w:val="19"/>
                <w:szCs w:val="19"/>
              </w:rPr>
              <w:t xml:space="preserve">H-004</w:t>
            </w:r>
          </w:p>
        </w:tc>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Monday drift v2 (multi-window, sealed placebo)</w:t>
            </w:r>
          </w:p>
        </w:tc>
        <w:tc>
          <w:tcPr>
            <w:tcW w:type="dxa" w:w="1600"/>
            <w:shd w:fill="F2F5FA" w:val="clear"/>
            <w:tcMar>
              <w:top w:type="dxa" w:w="90"/>
              <w:left w:type="dxa" w:w="130"/>
              <w:bottom w:type="dxa" w:w="90"/>
              <w:right w:type="dxa" w:w="130"/>
            </w:tcMar>
          </w:tcPr>
          <w:p>
            <w:pPr>
              <w:spacing w:after="0"/>
            </w:pPr>
            <w:r>
              <w:rPr>
                <w:b w:val="false"/>
                <w:bCs w:val="false"/>
                <w:color w:val="000000"/>
                <w:sz w:val="19"/>
                <w:szCs w:val="19"/>
              </w:rPr>
              <w:t xml:space="preserve">FAIL</w:t>
            </w:r>
          </w:p>
        </w:tc>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n=56, +5.00/trade net, p=0.108 — indistinguishable from random timing</w:t>
            </w:r>
          </w:p>
        </w:tc>
      </w:tr>
    </w:tbl>
    <w:p>
      <w:pPr>
        <w:spacing w:after="160"/>
      </w:pPr>
    </w:p>
    <w:p>
      <w:pPr>
        <w:spacing w:after="140" w:line="300"/>
        <w:jc w:val="both"/>
      </w:pPr>
      <w:r>
        <w:rPr>
          <w:sz w:val="22"/>
          <w:szCs w:val="22"/>
        </w:rPr>
        <w:t xml:space="preserve">The family-level trial accounting matters as much as any single verdict: xauusd_h1/smc.fvg carries 1,004 counted trials (2 decisive FAILs plus a 500-trial Wave-2 sweep, all charged honestly per ADR-011), which by its own pre-registered interpretation prices any new claim in that family at α≈5×10⁻⁵ — a self-imposed, escalating burden of proof exactly proportional to how much the family has already been searched. This is the trial-count deflation mechanism working as designed: it does not merely count successes, it counts attempts, including screener sweeps that never became named hypotheses.</w:t>
      </w:r>
    </w:p>
    <w:p>
      <w:pPr>
        <w:spacing w:after="140" w:line="300"/>
        <w:jc w:val="both"/>
      </w:pPr>
      <w:r>
        <w:rPr>
          <w:sz w:val="22"/>
          <w:szCs w:val="22"/>
        </w:rPr>
        <w:t xml:space="preserve">A single Independent Observation Lens has been established (Exness, declared at broker tier, agreement 0.9544 against a pre-thresholded 0.95 bar) — corroboration exists, but only at the shallowest declared tier of independence, a limitation the closing report states about itself rather than leaving implicit.</w:t>
      </w:r>
    </w:p>
    <w:p>
      <w:pPr>
        <w:pStyle w:val="Heading1"/>
        <w:spacing w:after="160" w:before="360"/>
      </w:pPr>
      <w:r>
        <w:t xml:space="preserve">5. Governance: The Multi-AI Coordination Protocol</w:t>
      </w:r>
    </w:p>
    <w:p>
      <w:pPr>
        <w:spacing w:after="140" w:line="300"/>
        <w:jc w:val="both"/>
      </w:pPr>
      <w:r>
        <w:rPr>
          <w:sz w:val="22"/>
          <w:szCs w:val="22"/>
        </w:rPr>
        <w:t xml:space="preserve">ADR-008 establishes three roles — Owner (Girish), Architect (Fable, in a Claude chat), Developer (Claude Code) — communicating through a file-based channel at docs/coordination/, with a vocabulary of artifact types that gives every interaction a durable, auditable shape: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600"/>
      </w:tblGrid>
      <w:tr>
        <w:trPr>
          <w:tblHeader/>
        </w:trPr>
        <w:tc>
          <w:tcPr>
            <w:tcW w:type="dxa" w:w="1800"/>
            <w:shd w:fill="1F3864" w:val="clear"/>
            <w:tcMar>
              <w:top w:type="dxa" w:w="90"/>
              <w:left w:type="dxa" w:w="130"/>
              <w:bottom w:type="dxa" w:w="90"/>
              <w:right w:type="dxa" w:w="130"/>
            </w:tcMar>
          </w:tcPr>
          <w:p>
            <w:pPr>
              <w:spacing w:after="0"/>
            </w:pPr>
            <w:r>
              <w:rPr>
                <w:b/>
                <w:bCs/>
                <w:color w:val="FFFFFF"/>
                <w:sz w:val="19"/>
                <w:szCs w:val="19"/>
              </w:rPr>
              <w:t xml:space="preserve">Artifact</w:t>
            </w:r>
          </w:p>
        </w:tc>
        <w:tc>
          <w:tcPr>
            <w:tcW w:type="dxa" w:w="2400"/>
            <w:shd w:fill="1F3864" w:val="clear"/>
            <w:tcMar>
              <w:top w:type="dxa" w:w="90"/>
              <w:left w:type="dxa" w:w="130"/>
              <w:bottom w:type="dxa" w:w="90"/>
              <w:right w:type="dxa" w:w="130"/>
            </w:tcMar>
          </w:tcPr>
          <w:p>
            <w:pPr>
              <w:spacing w:after="0"/>
            </w:pPr>
            <w:r>
              <w:rPr>
                <w:b/>
                <w:bCs/>
                <w:color w:val="FFFFFF"/>
                <w:sz w:val="19"/>
                <w:szCs w:val="19"/>
              </w:rPr>
              <w:t xml:space="preserve">Direction</w:t>
            </w:r>
          </w:p>
        </w:tc>
        <w:tc>
          <w:tcPr>
            <w:tcW w:type="dxa" w:w="4600"/>
            <w:shd w:fill="1F3864" w:val="clear"/>
            <w:tcMar>
              <w:top w:type="dxa" w:w="90"/>
              <w:left w:type="dxa" w:w="130"/>
              <w:bottom w:type="dxa" w:w="90"/>
              <w:right w:type="dxa" w:w="130"/>
            </w:tcMar>
          </w:tcPr>
          <w:p>
            <w:pPr>
              <w:spacing w:after="0"/>
            </w:pPr>
            <w:r>
              <w:rPr>
                <w:b/>
                <w:bCs/>
                <w:color w:val="FFFFFF"/>
                <w:sz w:val="19"/>
                <w:szCs w:val="19"/>
              </w:rPr>
              <w:t xml:space="preserve">Purpose</w:t>
            </w:r>
          </w:p>
        </w:tc>
      </w:tr>
      <w:tr>
        <w:tc>
          <w:tcPr>
            <w:tcW w:type="dxa" w:w="1800"/>
            <w:tcMar>
              <w:top w:type="dxa" w:w="90"/>
              <w:left w:type="dxa" w:w="130"/>
              <w:bottom w:type="dxa" w:w="90"/>
              <w:right w:type="dxa" w:w="130"/>
            </w:tcMar>
          </w:tcPr>
          <w:p>
            <w:pPr>
              <w:spacing w:after="0"/>
            </w:pPr>
            <w:r>
              <w:rPr>
                <w:b w:val="false"/>
                <w:bCs w:val="false"/>
                <w:color w:val="000000"/>
                <w:sz w:val="19"/>
                <w:szCs w:val="19"/>
              </w:rPr>
              <w:t xml:space="preserve">ARCH-NNN</w:t>
            </w:r>
          </w:p>
        </w:tc>
        <w:tc>
          <w:tcPr>
            <w:tcW w:type="dxa" w:w="2400"/>
            <w:tcMar>
              <w:top w:type="dxa" w:w="90"/>
              <w:left w:type="dxa" w:w="130"/>
              <w:bottom w:type="dxa" w:w="90"/>
              <w:right w:type="dxa" w:w="130"/>
            </w:tcMar>
          </w:tcPr>
          <w:p>
            <w:pPr>
              <w:spacing w:after="0"/>
            </w:pPr>
            <w:r>
              <w:rPr>
                <w:b w:val="false"/>
                <w:bCs w:val="false"/>
                <w:color w:val="000000"/>
                <w:sz w:val="19"/>
                <w:szCs w:val="19"/>
              </w:rPr>
              <w:t xml:space="preserve">Architect → Developer</w:t>
            </w:r>
          </w:p>
        </w:tc>
        <w:tc>
          <w:tcPr>
            <w:tcW w:type="dxa" w:w="4600"/>
            <w:tcMar>
              <w:top w:type="dxa" w:w="90"/>
              <w:left w:type="dxa" w:w="130"/>
              <w:bottom w:type="dxa" w:w="90"/>
              <w:right w:type="dxa" w:w="130"/>
            </w:tcMar>
          </w:tcPr>
          <w:p>
            <w:pPr>
              <w:spacing w:after="0"/>
            </w:pPr>
            <w:r>
              <w:rPr>
                <w:b w:val="false"/>
                <w:bCs w:val="false"/>
                <w:color w:val="000000"/>
                <w:sz w:val="19"/>
                <w:szCs w:val="19"/>
              </w:rPr>
              <w:t xml:space="preserve">Sprint instruction (scope, acceptance criteria)</w:t>
            </w:r>
          </w:p>
        </w:tc>
      </w:tr>
      <w:tr>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DEVQ-NNN</w:t>
            </w:r>
          </w:p>
        </w:tc>
        <w:tc>
          <w:tcPr>
            <w:tcW w:type="dxa" w:w="2400"/>
            <w:shd w:fill="F2F5FA" w:val="clear"/>
            <w:tcMar>
              <w:top w:type="dxa" w:w="90"/>
              <w:left w:type="dxa" w:w="130"/>
              <w:bottom w:type="dxa" w:w="90"/>
              <w:right w:type="dxa" w:w="130"/>
            </w:tcMar>
          </w:tcPr>
          <w:p>
            <w:pPr>
              <w:spacing w:after="0"/>
            </w:pPr>
            <w:r>
              <w:rPr>
                <w:b w:val="false"/>
                <w:bCs w:val="false"/>
                <w:color w:val="000000"/>
                <w:sz w:val="19"/>
                <w:szCs w:val="19"/>
              </w:rPr>
              <w:t xml:space="preserve">Developer → Architect/Owner</w:t>
            </w:r>
          </w:p>
        </w:tc>
        <w:tc>
          <w:tcPr>
            <w:tcW w:type="dxa" w:w="4600"/>
            <w:shd w:fill="F2F5FA" w:val="clear"/>
            <w:tcMar>
              <w:top w:type="dxa" w:w="90"/>
              <w:left w:type="dxa" w:w="130"/>
              <w:bottom w:type="dxa" w:w="90"/>
              <w:right w:type="dxa" w:w="130"/>
            </w:tcMar>
          </w:tcPr>
          <w:p>
            <w:pPr>
              <w:spacing w:after="0"/>
            </w:pPr>
            <w:r>
              <w:rPr>
                <w:b w:val="false"/>
                <w:bCs w:val="false"/>
                <w:color w:val="000000"/>
                <w:sz w:val="19"/>
                <w:szCs w:val="19"/>
              </w:rPr>
              <w:t xml:space="preserve">Question at a decision boundary; CLOSED once ratified</w:t>
            </w:r>
          </w:p>
        </w:tc>
      </w:tr>
      <w:tr>
        <w:tc>
          <w:tcPr>
            <w:tcW w:type="dxa" w:w="1800"/>
            <w:tcMar>
              <w:top w:type="dxa" w:w="90"/>
              <w:left w:type="dxa" w:w="130"/>
              <w:bottom w:type="dxa" w:w="90"/>
              <w:right w:type="dxa" w:w="130"/>
            </w:tcMar>
          </w:tcPr>
          <w:p>
            <w:pPr>
              <w:spacing w:after="0"/>
            </w:pPr>
            <w:r>
              <w:rPr>
                <w:b w:val="false"/>
                <w:bCs w:val="false"/>
                <w:color w:val="000000"/>
                <w:sz w:val="19"/>
                <w:szCs w:val="19"/>
              </w:rPr>
              <w:t xml:space="preserve">NOTE-NNN</w:t>
            </w:r>
          </w:p>
        </w:tc>
        <w:tc>
          <w:tcPr>
            <w:tcW w:type="dxa" w:w="2400"/>
            <w:tcMar>
              <w:top w:type="dxa" w:w="90"/>
              <w:left w:type="dxa" w:w="130"/>
              <w:bottom w:type="dxa" w:w="90"/>
              <w:right w:type="dxa" w:w="130"/>
            </w:tcMar>
          </w:tcPr>
          <w:p>
            <w:pPr>
              <w:spacing w:after="0"/>
            </w:pPr>
            <w:r>
              <w:rPr>
                <w:b w:val="false"/>
                <w:bCs w:val="false"/>
                <w:color w:val="000000"/>
                <w:sz w:val="19"/>
                <w:szCs w:val="19"/>
              </w:rPr>
              <w:t xml:space="preserve">Either → standing record</w:t>
            </w:r>
          </w:p>
        </w:tc>
        <w:tc>
          <w:tcPr>
            <w:tcW w:type="dxa" w:w="4600"/>
            <w:tcMar>
              <w:top w:type="dxa" w:w="90"/>
              <w:left w:type="dxa" w:w="130"/>
              <w:bottom w:type="dxa" w:w="90"/>
              <w:right w:type="dxa" w:w="130"/>
            </w:tcMar>
          </w:tcPr>
          <w:p>
            <w:pPr>
              <w:spacing w:after="0"/>
            </w:pPr>
            <w:r>
              <w:rPr>
                <w:b w:val="false"/>
                <w:bCs w:val="false"/>
                <w:color w:val="000000"/>
                <w:sz w:val="19"/>
                <w:szCs w:val="19"/>
              </w:rPr>
              <w:t xml:space="preserve">A lesson or ruling referenced going forward, never re-litigated</w:t>
            </w:r>
          </w:p>
        </w:tc>
      </w:tr>
      <w:tr>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GO-SN / REV-SN</w:t>
            </w:r>
          </w:p>
        </w:tc>
        <w:tc>
          <w:tcPr>
            <w:tcW w:type="dxa" w:w="2400"/>
            <w:shd w:fill="F2F5FA" w:val="clear"/>
            <w:tcMar>
              <w:top w:type="dxa" w:w="90"/>
              <w:left w:type="dxa" w:w="130"/>
              <w:bottom w:type="dxa" w:w="90"/>
              <w:right w:type="dxa" w:w="130"/>
            </w:tcMar>
          </w:tcPr>
          <w:p>
            <w:pPr>
              <w:spacing w:after="0"/>
            </w:pPr>
            <w:r>
              <w:rPr>
                <w:b w:val="false"/>
                <w:bCs w:val="false"/>
                <w:color w:val="000000"/>
                <w:sz w:val="19"/>
                <w:szCs w:val="19"/>
              </w:rPr>
              <w:t xml:space="preserve">Owner / Architect</w:t>
            </w:r>
          </w:p>
        </w:tc>
        <w:tc>
          <w:tcPr>
            <w:tcW w:type="dxa" w:w="4600"/>
            <w:shd w:fill="F2F5FA" w:val="clear"/>
            <w:tcMar>
              <w:top w:type="dxa" w:w="90"/>
              <w:left w:type="dxa" w:w="130"/>
              <w:bottom w:type="dxa" w:w="90"/>
              <w:right w:type="dxa" w:w="130"/>
            </w:tcMar>
          </w:tcPr>
          <w:p>
            <w:pPr>
              <w:spacing w:after="0"/>
            </w:pPr>
            <w:r>
              <w:rPr>
                <w:b w:val="false"/>
                <w:bCs w:val="false"/>
                <w:color w:val="000000"/>
                <w:sz w:val="19"/>
                <w:szCs w:val="19"/>
              </w:rPr>
              <w:t xml:space="preserve">Sign-off and review, once per sprint</w:t>
            </w:r>
          </w:p>
        </w:tc>
      </w:tr>
    </w:tbl>
    <w:p>
      <w:pPr>
        <w:spacing w:after="160"/>
      </w:pPr>
    </w:p>
    <w:p>
      <w:pPr>
        <w:spacing w:after="140" w:line="300"/>
        <w:jc w:val="both"/>
      </w:pPr>
      <w:r>
        <w:rPr>
          <w:sz w:val="22"/>
          <w:szCs w:val="22"/>
        </w:rPr>
        <w:t xml:space="preserve">The proven rhythm — instruction, Developer sessions, IVF (drill before verify), a human-checklist (HC) pass, Architect review, Owner Go/No-Go, then a retro — repeated identically across all ten Generation 1 sprints. The findings tally is itself a governance artifact: 21 findings across ten sprints, 17 attributed to the Architect and 4 to the Developer, each one caught before it reached the real ledger. The closing report frames this candidly: "a system is its behavior at exactly those moments" when a role refuses work its own rules forbid, even when compliance would have been easier — citing, as its clearest example, the Developer declining to author an ADR its own rules disallowed.</w:t>
      </w:r>
    </w:p>
    <w:p>
      <w:pPr>
        <w:spacing w:after="140" w:line="300"/>
        <w:jc w:val="both"/>
      </w:pPr>
      <w:r>
        <w:rPr>
          <w:sz w:val="22"/>
          <w:szCs w:val="22"/>
        </w:rPr>
        <w:t xml:space="preserve">A short, explicit list of powers remain permanently human in every generation, unamendable by any future ARCH without the Owner's own typed hand: VIRGIN reserve designation and unlock; verdict authority (no orchestrating layer may override, re-weight, or re-litigate a Battery verdict); freeze and charter amendments; α-budget ceilings (a future Orchestrator may spend down, never up); promotion decisions; and the findings tally itself.</w:t>
      </w:r>
    </w:p>
    <w:p>
      <w:pPr>
        <w:pStyle w:val="Heading1"/>
        <w:spacing w:after="160" w:before="360"/>
      </w:pPr>
      <w:r>
        <w:t xml:space="preserve">6. The Gated Roadmap: Generation 1 → 2 → 3 → 4</w:t>
      </w:r>
    </w:p>
    <w:p>
      <w:pPr>
        <w:pBdr>
          <w:left w:val="single" w:color="2E74B5" w:sz="18" w:space="12"/>
        </w:pBdr>
        <w:spacing w:after="160" w:before="120"/>
        <w:ind w:left="560" w:right="560"/>
      </w:pPr>
      <w:r>
        <w:rPr>
          <w:i/>
          <w:iCs/>
          <w:color w:val="333333"/>
          <w:sz w:val="22"/>
          <w:szCs w:val="22"/>
        </w:rPr>
        <w:t xml:space="preserve">No layer of autonomy is built until the layer below it has produced scientific results that prove the need — and every new piece of machinery earns trust the way Generation 1's did: drilled, planted-fraud-tested, clean control, before it touches the real ledger.</w:t>
      </w:r>
    </w:p>
    <w:p>
      <w:pPr>
        <w:spacing w:after="140" w:line="300"/>
        <w:jc w:val="both"/>
      </w:pPr>
      <w:r>
        <w:rPr>
          <w:sz w:val="22"/>
          <w:szCs w:val="22"/>
        </w:rPr>
        <w:t xml:space="preserve">This single rule, applied three times, is the entire roadmap. Generation 2 ("Knowledge, on labeled foundations") runs two tracks: a primary Knowledge track carrying 4–6 concept families to decisive verdict or priced deprioritization, and a secondary Foundations track (vocabulary, an Observation Model taxonomy, Observation Space scope labels, a narrow append-only Atlas) that is explicitly forbidden from delaying the primary track — "if the sprint produced foundations but no progress toward verdicts, that is a recorded No-Go finding against the Architect."</w:t>
      </w:r>
    </w:p>
    <w:p>
      <w:pPr>
        <w:spacing w:after="140" w:line="300"/>
        <w:jc w:val="both"/>
      </w:pPr>
      <w:r>
        <w:rPr>
          <w:sz w:val="22"/>
          <w:szCs w:val="22"/>
        </w:rPr>
        <w:t xml:space="preserve">Generation 3 ("Supervised discovery") may be chartered only after Gate A: the Knowledge track's own N-family target met, at least three documented instances where a human did by hand exactly the work a Generation-3 subsystem would mechanize, and evidence the Foundations vocabulary held up under real use without constant schema repair. Generation 4 ("Bounded autonomy") may be chartered only after Gate B: a certified Discovery Engine, a track-recorded Experiment Designer, a populated knowledge graph, and a sealed-envelope doctrine drilled on a shadow run before it ever touches live registration. Both gates are evidence thresholds stated in advance, not aspirational targets — the same falsifiability discipline the Battery itself enforces on every hypothesis, now applied to the framework's own growth.</w:t>
      </w:r>
    </w:p>
    <w:p>
      <w:pPr>
        <w:pStyle w:val="Heading1"/>
        <w:spacing w:after="160" w:before="360"/>
      </w:pPr>
      <w:r>
        <w:t xml:space="preserve">7. A Documentation Hygiene Finding</w:t>
      </w:r>
    </w:p>
    <w:p>
      <w:pPr>
        <w:spacing w:after="140" w:line="300"/>
        <w:jc w:val="both"/>
      </w:pPr>
      <w:r>
        <w:rPr>
          <w:sz w:val="22"/>
          <w:szCs w:val="22"/>
        </w:rPr>
        <w:t xml:space="preserve">Both README.md and CHANGELOG.md describe the project as being at the close of Sprint 2 ("Documentation complete and frozen... Next: Sprint 1" in the README; the CHANGELOG's newest entry is the Sprint 2 close). The repository's other artifacts — the coordination reviews (GO-S3 through GO-S10), the IVF reports (s3 through s10, drill and verify), and the Generation 1 Final Report itself — make clear the project actually reached Sprint 10 and closed all of Generation 1 on 2026-07-26.</w:t>
      </w:r>
    </w:p>
    <w:p>
      <w:pPr>
        <w:spacing w:after="140" w:line="300"/>
        <w:jc w:val="both"/>
      </w:pPr>
      <w:r>
        <w:rPr>
          <w:sz w:val="22"/>
          <w:szCs w:val="22"/>
        </w:rPr>
        <w:t xml:space="preserve">This is a minor, easily-fixed gap, but worth naming precisely because of where it occurs: a project whose ADR-001 is its own documentation policy, and whose AI_PROJECT_STATE.md is explicitly generated by script specifically to prevent this class of drift, still has two of its most visible entry-point files lagging seven sprints behind reality. The likely mechanism is mundane — README and CHANGELOG are hand-maintained while AI_PROJECT_STATE.md is regenerated — but the fix is equally mundane: fold README's status line and CHANGELOG's entries into the same generation step that already produces AI_PROJECT_STATE.md, so the entry points a newcomer reads first cannot silently fall behind the state a machine already knows how to compute.</w:t>
      </w:r>
    </w:p>
    <w:p>
      <w:pPr>
        <w:pStyle w:val="Heading1"/>
        <w:spacing w:after="160" w:before="360"/>
      </w:pPr>
      <w:r>
        <w:t xml:space="preserve">8. QRF Against the Earlier Platform Architecture Analysis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rPr>
          <w:tblHeader/>
        </w:trPr>
        <w:tc>
          <w:tcPr>
            <w:tcW w:type="dxa" w:w="3800"/>
            <w:shd w:fill="1F3864" w:val="clear"/>
            <w:tcMar>
              <w:top w:type="dxa" w:w="90"/>
              <w:left w:type="dxa" w:w="130"/>
              <w:bottom w:type="dxa" w:w="90"/>
              <w:right w:type="dxa" w:w="130"/>
            </w:tcMar>
          </w:tcPr>
          <w:p>
            <w:pPr>
              <w:spacing w:after="0"/>
            </w:pPr>
            <w:r>
              <w:rPr>
                <w:b/>
                <w:bCs/>
                <w:color w:val="FFFFFF"/>
                <w:sz w:val="19"/>
                <w:szCs w:val="19"/>
              </w:rPr>
              <w:t xml:space="preserve">Platform Architecture concept (Volume I/II)</w:t>
            </w:r>
          </w:p>
        </w:tc>
        <w:tc>
          <w:tcPr>
            <w:tcW w:type="dxa" w:w="5000"/>
            <w:shd w:fill="1F3864" w:val="clear"/>
            <w:tcMar>
              <w:top w:type="dxa" w:w="90"/>
              <w:left w:type="dxa" w:w="130"/>
              <w:bottom w:type="dxa" w:w="90"/>
              <w:right w:type="dxa" w:w="130"/>
            </w:tcMar>
          </w:tcPr>
          <w:p>
            <w:pPr>
              <w:spacing w:after="0"/>
            </w:pPr>
            <w:r>
              <w:rPr>
                <w:b/>
                <w:bCs/>
                <w:color w:val="FFFFFF"/>
                <w:sz w:val="19"/>
                <w:szCs w:val="19"/>
              </w:rPr>
              <w:t xml:space="preserve">Status found in the real F:\QRF repository</w:t>
            </w:r>
          </w:p>
        </w:tc>
      </w:tr>
      <w:tr>
        <w:tc>
          <w:tcPr>
            <w:tcW w:type="dxa" w:w="3800"/>
            <w:tcMar>
              <w:top w:type="dxa" w:w="90"/>
              <w:left w:type="dxa" w:w="130"/>
              <w:bottom w:type="dxa" w:w="90"/>
              <w:right w:type="dxa" w:w="130"/>
            </w:tcMar>
          </w:tcPr>
          <w:p>
            <w:pPr>
              <w:spacing w:after="0"/>
            </w:pPr>
            <w:r>
              <w:rPr>
                <w:b w:val="false"/>
                <w:bCs w:val="false"/>
                <w:color w:val="000000"/>
                <w:sz w:val="19"/>
                <w:szCs w:val="19"/>
              </w:rPr>
              <w:t xml:space="preserve">Domain-blind Kernel, CI-firewalled</w:t>
            </w:r>
          </w:p>
        </w:tc>
        <w:tc>
          <w:tcPr>
            <w:tcW w:type="dxa" w:w="5000"/>
            <w:tcMar>
              <w:top w:type="dxa" w:w="90"/>
              <w:left w:type="dxa" w:w="130"/>
              <w:bottom w:type="dxa" w:w="90"/>
              <w:right w:type="dxa" w:w="130"/>
            </w:tcMar>
          </w:tcPr>
          <w:p>
            <w:pPr>
              <w:spacing w:after="0"/>
            </w:pPr>
            <w:r>
              <w:rPr>
                <w:b w:val="false"/>
                <w:bCs w:val="false"/>
                <w:color w:val="000000"/>
                <w:sz w:val="19"/>
                <w:szCs w:val="19"/>
              </w:rPr>
              <w:t xml:space="preserve">Built exactly as described — ADR-004, tests/test_kernel_firewall.py</w:t>
            </w:r>
          </w:p>
        </w:tc>
      </w:tr>
      <w:tr>
        <w:tc>
          <w:tcPr>
            <w:tcW w:type="dxa" w:w="3800"/>
            <w:shd w:fill="F2F5FA" w:val="clear"/>
            <w:tcMar>
              <w:top w:type="dxa" w:w="90"/>
              <w:left w:type="dxa" w:w="130"/>
              <w:bottom w:type="dxa" w:w="90"/>
              <w:right w:type="dxa" w:w="130"/>
            </w:tcMar>
          </w:tcPr>
          <w:p>
            <w:pPr>
              <w:spacing w:after="0"/>
            </w:pPr>
            <w:r>
              <w:rPr>
                <w:b w:val="false"/>
                <w:bCs w:val="false"/>
                <w:color w:val="000000"/>
                <w:sz w:val="19"/>
                <w:szCs w:val="19"/>
              </w:rPr>
              <w:t xml:space="preserve">EvidenceBattery: PASS/FAIL/INSUFFICIENT</w:t>
            </w:r>
          </w:p>
        </w:tc>
        <w:tc>
          <w:tcPr>
            <w:tcW w:type="dxa" w:w="5000"/>
            <w:shd w:fill="F2F5FA" w:val="clear"/>
            <w:tcMar>
              <w:top w:type="dxa" w:w="90"/>
              <w:left w:type="dxa" w:w="130"/>
              <w:bottom w:type="dxa" w:w="90"/>
              <w:right w:type="dxa" w:w="130"/>
            </w:tcMar>
          </w:tcPr>
          <w:p>
            <w:pPr>
              <w:spacing w:after="0"/>
            </w:pPr>
            <w:r>
              <w:rPr>
                <w:b w:val="false"/>
                <w:bCs w:val="false"/>
                <w:color w:val="000000"/>
                <w:sz w:val="19"/>
                <w:szCs w:val="19"/>
              </w:rPr>
              <w:t xml:space="preserve">Built with materially more precision: 9 enforced steps, a re-verified selftest gate, atomic verdict+burn</w:t>
            </w:r>
          </w:p>
        </w:tc>
      </w:tr>
      <w:tr>
        <w:tc>
          <w:tcPr>
            <w:tcW w:type="dxa" w:w="3800"/>
            <w:tcMar>
              <w:top w:type="dxa" w:w="90"/>
              <w:left w:type="dxa" w:w="130"/>
              <w:bottom w:type="dxa" w:w="90"/>
              <w:right w:type="dxa" w:w="130"/>
            </w:tcMar>
          </w:tcPr>
          <w:p>
            <w:pPr>
              <w:spacing w:after="0"/>
            </w:pPr>
            <w:r>
              <w:rPr>
                <w:b w:val="false"/>
                <w:bCs w:val="false"/>
                <w:color w:val="000000"/>
                <w:sz w:val="19"/>
                <w:szCs w:val="19"/>
              </w:rPr>
              <w:t xml:space="preserve">WindowLedger, TrialCountLedger, BeliefLayer</w:t>
            </w:r>
          </w:p>
        </w:tc>
        <w:tc>
          <w:tcPr>
            <w:tcW w:type="dxa" w:w="5000"/>
            <w:tcMar>
              <w:top w:type="dxa" w:w="90"/>
              <w:left w:type="dxa" w:w="130"/>
              <w:bottom w:type="dxa" w:w="90"/>
              <w:right w:type="dxa" w:w="130"/>
            </w:tcMar>
          </w:tcPr>
          <w:p>
            <w:pPr>
              <w:spacing w:after="0"/>
            </w:pPr>
            <w:r>
              <w:rPr>
                <w:b w:val="false"/>
                <w:bCs w:val="false"/>
                <w:color w:val="000000"/>
                <w:sz w:val="19"/>
                <w:szCs w:val="19"/>
              </w:rPr>
              <w:t xml:space="preserve">All built and in production use; TrialCountLedger's registration-spends-the-attempt rule (ADR-011) exceeds the original design's specificity</w:t>
            </w:r>
          </w:p>
        </w:tc>
      </w:tr>
      <w:tr>
        <w:tc>
          <w:tcPr>
            <w:tcW w:type="dxa" w:w="3800"/>
            <w:shd w:fill="F2F5FA" w:val="clear"/>
            <w:tcMar>
              <w:top w:type="dxa" w:w="90"/>
              <w:left w:type="dxa" w:w="130"/>
              <w:bottom w:type="dxa" w:w="90"/>
              <w:right w:type="dxa" w:w="130"/>
            </w:tcMar>
          </w:tcPr>
          <w:p>
            <w:pPr>
              <w:spacing w:after="0"/>
            </w:pPr>
            <w:r>
              <w:rPr>
                <w:b w:val="false"/>
                <w:bCs w:val="false"/>
                <w:color w:val="000000"/>
                <w:sz w:val="19"/>
                <w:szCs w:val="19"/>
              </w:rPr>
              <w:t xml:space="preserve">Observatory (anomaly scanning, no verdict)</w:t>
            </w:r>
          </w:p>
        </w:tc>
        <w:tc>
          <w:tcPr>
            <w:tcW w:type="dxa" w:w="5000"/>
            <w:shd w:fill="F2F5FA" w:val="clear"/>
            <w:tcMar>
              <w:top w:type="dxa" w:w="90"/>
              <w:left w:type="dxa" w:w="130"/>
              <w:bottom w:type="dxa" w:w="90"/>
              <w:right w:type="dxa" w:w="130"/>
            </w:tcMar>
          </w:tcPr>
          <w:p>
            <w:pPr>
              <w:spacing w:after="0"/>
            </w:pPr>
            <w:r>
              <w:rPr>
                <w:b w:val="false"/>
                <w:bCs w:val="false"/>
                <w:color w:val="000000"/>
                <w:sz w:val="19"/>
                <w:szCs w:val="19"/>
              </w:rPr>
              <w:t xml:space="preserve">Built (S7); Generation 1 used it but Generation 2's Foundations track is where its output becomes more structured</w:t>
            </w:r>
          </w:p>
        </w:tc>
      </w:tr>
      <w:tr>
        <w:tc>
          <w:tcPr>
            <w:tcW w:type="dxa" w:w="3800"/>
            <w:tcMar>
              <w:top w:type="dxa" w:w="90"/>
              <w:left w:type="dxa" w:w="130"/>
              <w:bottom w:type="dxa" w:w="90"/>
              <w:right w:type="dxa" w:w="130"/>
            </w:tcMar>
          </w:tcPr>
          <w:p>
            <w:pPr>
              <w:spacing w:after="0"/>
            </w:pPr>
            <w:r>
              <w:rPr>
                <w:b w:val="false"/>
                <w:bCs w:val="false"/>
                <w:color w:val="000000"/>
                <w:sz w:val="19"/>
                <w:szCs w:val="19"/>
              </w:rPr>
              <w:t xml:space="preserve">Screener/candidate discovery, no evidentiary weight</w:t>
            </w:r>
          </w:p>
        </w:tc>
        <w:tc>
          <w:tcPr>
            <w:tcW w:type="dxa" w:w="5000"/>
            <w:tcMar>
              <w:top w:type="dxa" w:w="90"/>
              <w:left w:type="dxa" w:w="130"/>
              <w:bottom w:type="dxa" w:w="90"/>
              <w:right w:type="dxa" w:w="130"/>
            </w:tcMar>
          </w:tcPr>
          <w:p>
            <w:pPr>
              <w:spacing w:after="0"/>
            </w:pPr>
            <w:r>
              <w:rPr>
                <w:b w:val="false"/>
                <w:bCs w:val="false"/>
                <w:color w:val="000000"/>
                <w:sz w:val="19"/>
                <w:szCs w:val="19"/>
              </w:rPr>
              <w:t xml:space="preserve">Built and honored exactly as specified — screener sweeps are counted trials, never claims</w:t>
            </w:r>
          </w:p>
        </w:tc>
      </w:tr>
      <w:tr>
        <w:tc>
          <w:tcPr>
            <w:tcW w:type="dxa" w:w="3800"/>
            <w:shd w:fill="F2F5FA" w:val="clear"/>
            <w:tcMar>
              <w:top w:type="dxa" w:w="90"/>
              <w:left w:type="dxa" w:w="130"/>
              <w:bottom w:type="dxa" w:w="90"/>
              <w:right w:type="dxa" w:w="130"/>
            </w:tcMar>
          </w:tcPr>
          <w:p>
            <w:pPr>
              <w:spacing w:after="0"/>
            </w:pPr>
            <w:r>
              <w:rPr>
                <w:b w:val="false"/>
                <w:bCs w:val="false"/>
                <w:color w:val="000000"/>
                <w:sz w:val="19"/>
                <w:szCs w:val="19"/>
              </w:rPr>
              <w:t xml:space="preserve">Autonomous discovery (Generation 2 in the original vision documents)</w:t>
            </w:r>
          </w:p>
        </w:tc>
        <w:tc>
          <w:tcPr>
            <w:tcW w:type="dxa" w:w="5000"/>
            <w:shd w:fill="F2F5FA" w:val="clear"/>
            <w:tcMar>
              <w:top w:type="dxa" w:w="90"/>
              <w:left w:type="dxa" w:w="130"/>
              <w:bottom w:type="dxa" w:w="90"/>
              <w:right w:type="dxa" w:w="130"/>
            </w:tcMar>
          </w:tcPr>
          <w:p>
            <w:pPr>
              <w:spacing w:after="0"/>
            </w:pPr>
            <w:r>
              <w:rPr>
                <w:b w:val="false"/>
                <w:bCs w:val="false"/>
                <w:color w:val="000000"/>
                <w:sz w:val="19"/>
                <w:szCs w:val="19"/>
              </w:rPr>
              <w:t xml:space="preserve">Explicitly re-scoped: Generation 2 here is "humans propose, machinery labels" — autonomous proposal is deferred to Generation 3, gated on Gate A evidence</w:t>
            </w:r>
          </w:p>
        </w:tc>
      </w:tr>
      <w:tr>
        <w:tc>
          <w:tcPr>
            <w:tcW w:type="dxa" w:w="3800"/>
            <w:tcMar>
              <w:top w:type="dxa" w:w="90"/>
              <w:left w:type="dxa" w:w="130"/>
              <w:bottom w:type="dxa" w:w="90"/>
              <w:right w:type="dxa" w:w="130"/>
            </w:tcMar>
          </w:tcPr>
          <w:p>
            <w:pPr>
              <w:spacing w:after="0"/>
            </w:pPr>
            <w:r>
              <w:rPr>
                <w:b w:val="false"/>
                <w:bCs w:val="false"/>
                <w:color w:val="000000"/>
                <w:sz w:val="19"/>
                <w:szCs w:val="19"/>
              </w:rPr>
              <w:t xml:space="preserve">Knowledge Graph</w:t>
            </w:r>
          </w:p>
        </w:tc>
        <w:tc>
          <w:tcPr>
            <w:tcW w:type="dxa" w:w="5000"/>
            <w:tcMar>
              <w:top w:type="dxa" w:w="90"/>
              <w:left w:type="dxa" w:w="130"/>
              <w:bottom w:type="dxa" w:w="90"/>
              <w:right w:type="dxa" w:w="130"/>
            </w:tcMar>
          </w:tcPr>
          <w:p>
            <w:pPr>
              <w:spacing w:after="0"/>
            </w:pPr>
            <w:r>
              <w:rPr>
                <w:b w:val="false"/>
                <w:bCs w:val="false"/>
                <w:color w:val="000000"/>
                <w:sz w:val="19"/>
                <w:szCs w:val="19"/>
              </w:rPr>
              <w:t xml:space="preserve">Reserved package (graph/, registry/) — not yet populated; correctly deferred per the roadmap's own sequencing rule</w:t>
            </w:r>
          </w:p>
        </w:tc>
      </w:tr>
    </w:tbl>
    <w:p>
      <w:pPr>
        <w:spacing w:after="160"/>
      </w:pPr>
    </w:p>
    <w:p>
      <w:pPr>
        <w:spacing w:after="140" w:line="300"/>
        <w:jc w:val="both"/>
      </w:pPr>
      <w:r>
        <w:rPr>
          <w:sz w:val="22"/>
          <w:szCs w:val="22"/>
        </w:rPr>
        <w:t xml:space="preserve">The most important divergence is the last row above: the original vision documents used "Generation 2" to mean the Kernel beginning to discover hypotheses on its own. The ratified roadmap redefines Generation 2 as still human-proposed, and pushes autonomous discovery to Generation 3 — gated on documented evidence of the manual labor autonomy would actually save, not on the architecture being ready to accept it. This is a more conservative and, on the evidence of Generation 1's own findings tally, a better-earned sequencing than the original documents assumed.</w:t>
      </w:r>
    </w:p>
    <w:p>
      <w:pPr>
        <w:pStyle w:val="Heading1"/>
        <w:spacing w:after="160" w:before="360"/>
      </w:pPr>
      <w:r>
        <w:t xml:space="preserve">9. Recommendations</w:t>
      </w:r>
    </w:p>
    <w:p>
      <w:pPr>
        <w:pStyle w:val="ListParagraph"/>
        <w:numPr>
          <w:ilvl w:val="0"/>
          <w:numId w:val="2"/>
        </w:numPr>
        <w:spacing w:after="90" w:line="280"/>
      </w:pPr>
      <w:r>
        <w:rPr>
          <w:b/>
          <w:bCs/>
          <w:sz w:val="22"/>
          <w:szCs w:val="22"/>
        </w:rPr>
        <w:t xml:space="preserve">Fix the README/CHANGELOG drift</w:t>
      </w:r>
      <w:r>
        <w:rPr>
          <w:sz w:val="22"/>
          <w:szCs w:val="22"/>
        </w:rPr>
        <w:t xml:space="preserve"> identified in Section 7 — low effort, meaningful trust signal for any new reader or AI session bootstrapping from these files.</w:t>
      </w:r>
    </w:p>
    <w:p>
      <w:pPr>
        <w:pStyle w:val="ListParagraph"/>
        <w:numPr>
          <w:ilvl w:val="0"/>
          <w:numId w:val="2"/>
        </w:numPr>
        <w:spacing w:after="90" w:line="280"/>
      </w:pPr>
      <w:r>
        <w:rPr>
          <w:b/>
          <w:bCs/>
          <w:sz w:val="22"/>
          <w:szCs w:val="22"/>
        </w:rPr>
        <w:t xml:space="preserve">Track Generation 2's own “No-Go if foundations without verdicts” tripwire visibly,</w:t>
      </w:r>
      <w:r>
        <w:rPr>
          <w:sz w:val="22"/>
          <w:szCs w:val="22"/>
        </w:rPr>
        <w:t xml:space="preserve"> the same way Generation 1's findings tally was kept — it is the single mechanism standing between Gen 2 and repeating the over-abstraction risk Gen 1 was designed to avoid.</w:t>
      </w:r>
    </w:p>
    <w:p>
      <w:pPr>
        <w:pStyle w:val="ListParagraph"/>
        <w:numPr>
          <w:ilvl w:val="0"/>
          <w:numId w:val="2"/>
        </w:numPr>
        <w:spacing w:after="90" w:line="280"/>
      </w:pPr>
      <w:r>
        <w:rPr>
          <w:b/>
          <w:bCs/>
          <w:sz w:val="22"/>
          <w:szCs w:val="22"/>
        </w:rPr>
        <w:t xml:space="preserve">Consider a QRF-side dashboard companion,</w:t>
      </w:r>
      <w:r>
        <w:rPr>
          <w:sz w:val="22"/>
          <w:szCs w:val="22"/>
        </w:rPr>
        <w:t xml:space="preserve"> analogous to the NeelPrajna Live Advisor deep-dive produced earlier in this engagement, once Generation 2 produces its first beliefs document — the existing README already names a read-only Streamlit dashboard as a planned surface.</w:t>
      </w:r>
    </w:p>
    <w:p>
      <w:pPr>
        <w:pStyle w:val="ListParagraph"/>
        <w:numPr>
          <w:ilvl w:val="0"/>
          <w:numId w:val="2"/>
        </w:numPr>
        <w:spacing w:after="90" w:line="280"/>
      </w:pPr>
      <w:r>
        <w:rPr>
          <w:b/>
          <w:bCs/>
          <w:sz w:val="22"/>
          <w:szCs w:val="22"/>
        </w:rPr>
        <w:t xml:space="preserve">Revisit the Independent Observation Lens's tier</w:t>
      </w:r>
      <w:r>
        <w:rPr>
          <w:sz w:val="22"/>
          <w:szCs w:val="22"/>
        </w:rPr>
        <w:t xml:space="preserve"> (currently broker-level only) before any Generation 2 verdict is treated as strong enough to inform a real trading decision, per the closing report's own stated limitation.</w:t>
      </w:r>
    </w:p>
    <w:p>
      <w:pPr>
        <w:pStyle w:val="Heading1"/>
        <w:spacing w:after="160" w:before="360"/>
      </w:pPr>
      <w:r>
        <w:t xml:space="preserve">10. Conclusion</w:t>
      </w:r>
    </w:p>
    <w:p>
      <w:pPr>
        <w:spacing w:after="140" w:line="300"/>
        <w:jc w:val="both"/>
      </w:pPr>
      <w:r>
        <w:rPr>
          <w:sz w:val="22"/>
          <w:szCs w:val="22"/>
        </w:rPr>
        <w:t xml:space="preserve">QRF's Generation 1 is not a prototype of the scientific-platform vision described in the earlier Platform Architecture analysis — it is that vision, built, drilled, and closed, with a signed-off report and a ledger that answers, reproducibly, whether ten sprints of work honestly counted every opportunity to fool itself. The answer the project gives about itself is yes, and the strongest evidence for that claim is the least exciting-sounding line in its own closing report: four hypotheses judged, zero promoted. A framework that could not produce that sentence — that always somehow found an edge — would be the one to distrust. The gated roadmap for Generations 2 through 4 extends the same discipline forward, refusing to grant any future subsystem the trust Generation 1 spent ten sprints earning for itself.</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QRF — Generation 1, Complete: A Deep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20" w:before="280"/>
    </w:pPr>
    <w:rPr>
      <w:rFonts w:ascii="Calibri Light" w:cs="Calibri Light" w:eastAsia="Calibri Light" w:hAnsi="Calibri Light"/>
      <w:b/>
      <w:bCs/>
      <w:color w:val="2E74B5"/>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2026-07-29T07:19:47.014Z</dcterms:created>
  <dcterms:modified xsi:type="dcterms:W3CDTF">2026-07-29T07:19:47.014Z</dcterms:modified>
</cp:coreProperties>
</file>

<file path=docProps/custom.xml><?xml version="1.0" encoding="utf-8"?>
<Properties xmlns="http://schemas.openxmlformats.org/officeDocument/2006/custom-properties" xmlns:vt="http://schemas.openxmlformats.org/officeDocument/2006/docPropsVTypes"/>
</file>