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4"/>
          <w:szCs w:val="54"/>
        </w:rPr>
        <w:t xml:space="preserve">NeelPrajnaPro</w:t>
      </w:r>
    </w:p>
    <w:p>
      <w:pPr>
        <w:spacing w:after="160"/>
        <w:jc w:val="center"/>
      </w:pPr>
      <w:r>
        <w:rPr>
          <w:color w:val="2E74B5"/>
          <w:sz w:val="30"/>
          <w:szCs w:val="30"/>
        </w:rPr>
        <w:t xml:space="preserve">Research — v1.0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Whiteboard companion to docs\research\NeelPrajnaPro_Research-v1.0.md — the living RQ backlog, in three diagrams.</w:t>
      </w:r>
    </w:p>
    <w:p>
      <w:pPr>
        <w:spacing w:after="100"/>
        <w:jc w:val="center"/>
      </w:pPr>
      <w:r>
        <w:rPr>
          <w:color w:val="595959"/>
          <w:sz w:val="18"/>
          <w:szCs w:val="18"/>
        </w:rPr>
        <w:t xml:space="preserve">Author: Fable (Architect) · 2026-07-29 · Twin rule applies: the .md is the normative text and living register; this .docx teaches its shape as of this version</w:t>
      </w:r>
    </w:p>
    <w:p>
      <w:r>
        <w:br w:type="page"/>
      </w:r>
    </w:p>
    <w:p>
      <w:pPr>
        <w:pStyle w:val="Heading1"/>
        <w:spacing w:after="140" w:before="300"/>
      </w:pPr>
      <w:r>
        <w:t xml:space="preserve">How to Read This Document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is the teaching form of the Research backlog — the questions this programme has decided are worth asking, but has not yet let change anything. The three diagrams go in the order a reader needs them: the whole landscape at once, the two questions born from this week's integration work specifically, and finally which questions are actionable today versus waiting on data that doesn't exist.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diagram carries an anchor sentence. The md twin is normative and living — new RQs append there, not here; if this document and the md ever disagree on content, the md wins and the disagreement is a finding.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940"/>
      </w:tblGrid>
      <w:tr>
        <w:trPr>
          <w:tblHeader/>
        </w:trPr>
        <w:tc>
          <w:tcPr>
            <w:tcW w:type="dxa" w:w="3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</w:t>
            </w:r>
          </w:p>
        </w:tc>
        <w:tc>
          <w:tcPr>
            <w:tcW w:type="dxa" w:w="59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The RQ Landscape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Where does every open question sit, by priority and by generation?</w:t>
            </w:r>
          </w:p>
        </w:tc>
      </w:tr>
      <w:tr>
        <w:tc>
          <w:tcPr>
            <w:tcW w:type="dxa" w:w="3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The Two New Integration Questions</w:t>
            </w:r>
          </w:p>
        </w:tc>
        <w:tc>
          <w:tcPr>
            <w:tcW w:type="dxa" w:w="59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did the integration work itself teach us to ask?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What's Blocked, What's Open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Which questions can move today, and which are waiting on data?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Diagram 1 — The RQ Landscape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Fifteen open questions, none yet permitted to change a line of ratified architecture — QRF-ADR-009a's rule holds them all to the same standard: evidence and an approved decision, or the interfaces stay frozen and the thinking stays free. Two of them, marked in gold, are new — born the same day the integration work began.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1. Figure 1. Priority (rows) × generation gate (columns) — all fifteen RQs at a glance.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2 — The Two New Integration Questions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RQ-014 and RQ-015 didn't exist a week ago — they were born from doing the work, not from planning it. Both are already load-bearing: NP-S1's own central deliverable is RQ-014's first evidence, and RQ-015 feeds the null certification an entire class of NP-S3 judgments is waiting on.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2. Figure 2. RQ-014 (two-judge concordance) and RQ-015 (E2 arrangement nulls) — registered and already load-bearing.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3 — What's Blocked, What's Open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Twelve of fifteen questions can move today with no new data. Three — all touching order-flow microstructure — are gated on L3 data this programme doesn't have, and stay honestly marked as gated rather than quietly dropped. A backlog entry, whatever its priority, is never itself a license to spend a reserved window.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3. Figure 3. Twelve open, three gated on L3 order-flow data — gated, not abandoned.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Change Record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v1.0 (2026-07-29): first whiteboard render of the Research backlog, built per docs\archive\governance\HOW_THIS_DOC_WAS_BUILT.md (hand-built SVG, rasterized, one diagram per page, PDF-verified). Companion to the normative docs\research\NeelPrajnaPro_Research-v1.0.md — that file is authoritative and living; this document teaches its shape as of this version, and will need a v1.1 render whenever the backlog changes enough to warrant one.</w:t>
      </w:r>
    </w:p>
    <w:p>
      <w:pPr>
        <w:spacing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freeze the interfaces, not the thinking.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NeelPrajnaPro — Research v1.0 (Whiteboard)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660bd6bfecd0212ff300ae9f14c0a4658fb2dc.png"/><Relationship Id="rId10" Type="http://schemas.openxmlformats.org/officeDocument/2006/relationships/image" Target="media/19702ec906f2391f6394392d10292e3357b47890.png"/><Relationship Id="rId11" Type="http://schemas.openxmlformats.org/officeDocument/2006/relationships/image" Target="media/cb80835a38c3d1f37bd8fffc6a980296233974a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2026-07-29T19:13:14.102Z</dcterms:created>
  <dcterms:modified xsi:type="dcterms:W3CDTF">2026-07-29T19:13:14.102Z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