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4"/>
          <w:szCs w:val="54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28"/>
          <w:szCs w:val="28"/>
        </w:rPr>
        <w:t xml:space="preserve">Writing Standard — v1.0</w:t>
      </w:r>
    </w:p>
    <w:p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 xml:space="preserve">Whiteboard companion to docs\writing_standard\NeelPrajnaPro_Writing_Standard-v1.0.md — how this whole estate is taught, in four diagrams.</w:t>
      </w:r>
    </w:p>
    <w:p>
      <w:pPr>
        <w:spacing w:after="100"/>
        <w:jc w:val="center"/>
      </w:pPr>
      <w:r>
        <w:rPr>
          <w:color w:val="595959"/>
          <w:sz w:val="18"/>
          <w:szCs w:val="18"/>
        </w:rPr>
        <w:t xml:space="preserve">Author: Fable (Architect) · 2026-07-29 · Twin rule applies: the .md is the normative text; this .docx is its human render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the teaching form of the standard that governs how everything else in this estate gets taught — including, recursively, this very document. The four diagrams go in the order a reader needs them: the mandatory sequence for introducing any idea, the nine principles that govern how, the one skill of knowing when to stop explaining, and the toolkit proven on a real document.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diagram carries an anchor sentence. The md twin is normative; if this document and the md ever disagree, the md wins and the disagreement is a finding.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140"/>
      </w:tblGrid>
      <w:tr>
        <w:trPr>
          <w:tblHeader/>
        </w:trPr>
        <w:tc>
          <w:tcPr>
            <w:tcW w:type="dxa" w:w="3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Diagram</w:t>
            </w:r>
          </w:p>
        </w:tc>
        <w:tc>
          <w:tcPr>
            <w:tcW w:type="dxa" w:w="61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— The Teaching Order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what sequence must a new idea be introduced?</w:t>
            </w:r>
          </w:p>
        </w:tc>
      </w:tr>
      <w:tr>
        <w:tc>
          <w:tcPr>
            <w:tcW w:type="dxa" w:w="3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— The Nine Principles</w:t>
            </w:r>
          </w:p>
        </w:tc>
        <w:tc>
          <w:tcPr>
            <w:tcW w:type="dxa" w:w="6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governs the telling, not the reasoning?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— Adaptive Depth</w:t>
            </w:r>
          </w:p>
        </w:tc>
        <w:tc>
          <w:tcPr>
            <w:tcW w:type="dxa" w:w="6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much explanation is actually enough?</w:t>
            </w:r>
          </w:p>
        </w:tc>
      </w:tr>
      <w:tr>
        <w:tc>
          <w:tcPr>
            <w:tcW w:type="dxa" w:w="3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— The Field-Tested Techniques</w:t>
            </w:r>
          </w:p>
        </w:tc>
        <w:tc>
          <w:tcPr>
            <w:tcW w:type="dxa" w:w="614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 concrete toolkit is proven, not just theorized?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Diagram 1 — The Teaching Order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Eight steps, in this order, always: the question first, then why it matters, then a concrete example, then the plain-word intuition — and only then, the fifth step, the technical term. By the time the label arrives, it costs the reader nothing.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1. Figure 1. Question → why it matters → example → intuition → TERM → details → connect back → summarize.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The Nine Principles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These nine principles govern how an idea is revealed, never what the idea is. Two of them are about knowing when to stop — Adaptive Depth (stop explaining) and the Editorial Finish Line (stop rewriting) — and they are, by a wide margin, the hardest to actually practice.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2. Figure 2. Reader Model through the Editorial Finish Line — nine principles, unchanged since v4 except for the ninth.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Adaptive Depth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same question can have four correct answers at four different depths, and giving the reader the wrong one is a failure whichever direction it errs in. Over-explaining past what's needed is not a safe default — it's its own kind of failure to serve the reader.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3. Figure 3. Awareness → Working Knowledge → Implementation Knowledge → Expert Knowledge — stop once the level is served.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Field-Tested Techniques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Six techniques, none of them new philosophy — each is an existing principle made concrete, and each earned its place by being tested on a real document and confirmed by its review. B3, mid-stream questions, was the single most repeated finding across every review this estate has produced.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4. Figure 4. B1 through B6 — the reading route, recap points, mid-stream questions, whiteboard connectives, anchor sentences, the dense-paragraph split.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Change Record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v1.0 (2026-07-29): first whiteboard render of the Writing Standard, built per docs\archive\governance\HOW_THIS_DOC_WAS_BUILT.md (hand-built SVG, rasterized, one diagram per page, PDF-verified). Companion to the normative docs\writing_standard\NeelPrajnaPro_Writing_Standard-v1.0.md — that file is authoritative; this document teaches it, and was itself built by following it.</w:t>
      </w:r>
    </w:p>
    <w:p>
      <w:pPr>
        <w:spacing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the reader should feel they figured it out, not that they were told it.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Writing Standard v1.0 (Whiteboard)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ffb85cdeae4ecc9730a9900bc952588744758a.png"/><Relationship Id="rId10" Type="http://schemas.openxmlformats.org/officeDocument/2006/relationships/image" Target="media/2d23b802ff05ae6ce35cf68e52588df5b27d041e.png"/><Relationship Id="rId11" Type="http://schemas.openxmlformats.org/officeDocument/2006/relationships/image" Target="media/a97fc2680667f77ed5681f98ceb94b157bab7ee9.png"/><Relationship Id="rId12" Type="http://schemas.openxmlformats.org/officeDocument/2006/relationships/image" Target="media/cc6c5b1efe7c53b9263ed788f5a7260c8a00e65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2026-07-29T19:06:48.611Z</dcterms:created>
  <dcterms:modified xsi:type="dcterms:W3CDTF">2026-07-29T19:06:48.611Z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