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864"/>
          <w:sz w:val="52"/>
          <w:szCs w:val="52"/>
        </w:rPr>
        <w:t xml:space="preserve">NeelPrajna × QRF</w:t>
      </w:r>
    </w:p>
    <w:p>
      <w:pPr>
        <w:spacing w:after="200"/>
        <w:jc w:val="center"/>
      </w:pPr>
      <w:r>
        <w:rPr>
          <w:color w:val="2E74B5"/>
          <w:sz w:val="28"/>
          <w:szCs w:val="28"/>
        </w:rPr>
        <w:t xml:space="preserve">Integration Execution Roadmap — Wave 1</w:t>
      </w:r>
    </w:p>
    <w:p>
      <w:pPr>
        <w:spacing w:after="120"/>
        <w:jc w:val="center"/>
      </w:pPr>
      <w:r>
        <w:rPr>
          <w:i/>
          <w:iCs/>
          <w:color w:val="595959"/>
          <w:sz w:val="22"/>
          <w:szCs w:val="22"/>
        </w:rPr>
        <w:t xml:space="preserve">DRAFT — Architect proposal, conditional on the Owner's ratifications. Operational half of ARCH-NP-001.</w:t>
      </w:r>
    </w:p>
    <w:p>
      <w:pPr>
        <w:spacing w:after="120"/>
        <w:jc w:val="center"/>
      </w:pPr>
      <w:r>
        <w:rPr>
          <w:color w:val="595959"/>
          <w:sz w:val="19"/>
          <w:szCs w:val="19"/>
        </w:rPr>
        <w:t xml:space="preserve">Author: Fable (Architect) · 2026-07-29 · Canonical source: the .md of the same name</w:t>
      </w:r>
    </w:p>
    <w:p>
      <w:r>
        <w:br w:type="page"/>
      </w:r>
    </w:p>
    <w:p>
      <w:pPr>
        <w:pStyle w:val="Heading1"/>
        <w:spacing w:after="140" w:before="320"/>
      </w:pPr>
      <w:r>
        <w:t xml:space="preserve">Relationship to the Gen-2 Track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This roadmap runs as a parallel track to GEN2_EXECUTION_ROADMAP S1–S8 and directly executes the Generation 1 Final Report's Recommendations 1 and 2 — build knowledge, not framework; new families over deeper mining. The neelprajna concept family arrives exactly as Generation 1 prescribed: family + detectors + sealed hypotheses — an application, not a subsystem.</w:t>
      </w:r>
    </w:p>
    <w:p>
      <w:pPr>
        <w:spacing w:after="140" w:line="300"/>
        <w:jc w:val="both"/>
      </w:pPr>
      <w:r>
        <w:rPr>
          <w:b/>
          <w:bCs/>
          <w:sz w:val="22"/>
          <w:szCs w:val="22"/>
        </w:rPr>
        <w:t xml:space="preserve">NP-S1 and NP-S2 depend only on Generation-1-certified machinery </w:t>
      </w:r>
      <w:r>
        <w:rPr>
          <w:sz w:val="22"/>
          <w:szCs w:val="22"/>
        </w:rPr>
        <w:t xml:space="preserve">(the existing Battery, WindowLedger, TrialCountLedger, IVF). They need nothing from Gen-2's MML/ECF certification sprints (S2–S4) and may run in parallel with them. The one shared dependency is Gen-2 S1: both tracks boot from the same ratification write window.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ARCH numbering is namespaced (ARCH-NP-###) per Constitution v2.0 §5.4 to avoid collision with Gen-2's ARCH-011+ sequence — a rule adopted after the Architect committed exactly that collision, and tallied it.</w:t>
      </w:r>
    </w:p>
    <w:p>
      <w:pPr>
        <w:pStyle w:val="Heading1"/>
        <w:spacing w:after="140" w:before="320"/>
      </w:pPr>
      <w:r>
        <w:t xml:space="preserve">Cadence and Roles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Roles unchanged and shared with the QRF tracks. Owner ratifies, declares write windows, types window designations, holds reserves and α-budgets, rules every Go/No-Go. Architect writes ARCH-NP instructions and owns IVF. Developer implements in fresh sessions on worktrees, DEVQs at boundaries. Independent Reviewer and Data &amp; Research Analyst participate relay-only. The per-sprint rhythm is Generation 1's, proven: instruction → Developer sessions → IVF (drill first) → HC → REV → Owner Go/No-Go → GO + retro → handover rewrite.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Cadence: quality gates, not clocks; the Owner sets calendar pace at each Go/No-Go.</w:t>
      </w:r>
    </w:p>
    <w:p>
      <w:pPr>
        <w:spacing w:after="140" w:line="300"/>
        <w:jc w:val="both"/>
      </w:pPr>
      <w:r>
        <w:rPr>
          <w:b/>
          <w:bCs/>
          <w:sz w:val="22"/>
          <w:szCs w:val="22"/>
        </w:rPr>
        <w:t xml:space="preserve">Standing tripwires: </w:t>
      </w:r>
      <w:r>
        <w:rPr>
          <w:sz w:val="22"/>
          <w:szCs w:val="22"/>
        </w:rPr>
        <w:t xml:space="preserve">(a) any sprint producing documents but no progress toward a verdict or the R6 dataset is a recorded No-Go finding against the Architect; (b) any evidentiary use of the retired bespoke stack is a finding against whoever invoked it.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The Four Sprints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800"/>
        <w:gridCol w:w="314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4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Delivers</w:t>
            </w:r>
          </w:p>
        </w:tc>
        <w:tc>
          <w:tcPr>
            <w:tcW w:type="dxa" w:w="31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Exit criterion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NP-S1 — H-07 Twice-Judged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Certified liquidity_sweep detector · sealed H-07 registration · one real Battery run · gate-by-gate comparison vs bespoke B1–B7 · 17 registrations as counted attempts</w:t>
            </w:r>
          </w:p>
        </w:tc>
        <w:tc>
          <w:tcPr>
            <w:tcW w:type="dxa" w:w="3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First NP verdict in the real ledger, reproducible; comparison ruled on; family trials ≥ 18</w:t>
            </w:r>
          </w:p>
        </w:tc>
      </w:tr>
      <w:tr>
        <w:tc>
          <w:tcPr>
            <w:tcW w:type="dxa" w:w="17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NP-S2 — R6 Long Run</w:t>
            </w:r>
          </w:p>
        </w:tc>
        <w:tc>
          <w:tcPr>
            <w:tcW w:type="dxa" w:w="48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3–6 months real-tick collection · Owner-typed OOS designation before completion · data-quality report (gaps, seams, DST verified from data)</w:t>
            </w:r>
          </w:p>
        </w:tc>
        <w:tc>
          <w:tcPr>
            <w:tcW w:type="dxa" w:w="31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Dataset exists, designated, hashed, untouched beyond designation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NP-S3 — Family Migration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Owner ruling on the 17 · certified detectors one by one · sealed registrations · verdicts as designated data permits · deferred items priced and recorded</w:t>
            </w:r>
          </w:p>
        </w:tc>
        <w:tc>
          <w:tcPr>
            <w:tcW w:type="dxa" w:w="3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neelprajna family is a real, honestly-counted family in the ledger</w:t>
            </w:r>
          </w:p>
        </w:tc>
      </w:tr>
      <w:tr>
        <w:tc>
          <w:tcPr>
            <w:tcW w:type="dxa" w:w="17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NP-S4 — Acceptance &amp; Gate</w:t>
            </w:r>
          </w:p>
        </w:tc>
        <w:tc>
          <w:tcPr>
            <w:tcW w:type="dxa" w:w="48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Blinded campaign NB-1..NB-5 incl. negative-control instrument · Wave-1 review · findings tally · Owner boundary rulings</w:t>
            </w:r>
          </w:p>
        </w:tc>
        <w:tc>
          <w:tcPr>
            <w:tcW w:type="dxa" w:w="31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integration is an accepted instrument, or the campaign says precisely why not</w:t>
            </w:r>
          </w:p>
        </w:tc>
      </w:tr>
    </w:tbl>
    <w:p>
      <w:pPr>
        <w:pStyle w:val="Heading2"/>
        <w:spacing w:after="100" w:before="240"/>
      </w:pPr>
      <w:r>
        <w:t xml:space="preserve">Sprint NP-S1 Preconditions (block start)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Owner's window designation typed for the H-07 population (seen data — TRAINING or EXPLORATION, never VIRGIN).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Family α-budget ceiling set by the Owner.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Cost-model reconciliation ruled into one frozen configs/venues.yaml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standing Auto-Adopt safety ruling recorded.</w:t>
      </w:r>
    </w:p>
    <w:p>
      <w:pPr>
        <w:pStyle w:val="Heading1"/>
        <w:spacing w:after="140" w:before="320"/>
      </w:pPr>
      <w:r>
        <w:t xml:space="preserve">What NP-S4's Owner Ruling Decides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With acceptance passed: the Research Console unblock (spec v1.3's precondition satisfied or not); whether runtime consumption of belief releases enters design — a design decision only, with arming anything real remaining its own permanently-human ruling; whether R6-judged NP verdicts begin contributing to any future promotion conversation, with the Gen-1 Final Report's independence-tier and regime-honesty caveats restated alongside; and the standing boundary question — is the strategy mix still right? That review is the Owner's, forever.</w:t>
      </w:r>
    </w:p>
    <w:p>
      <w:pPr>
        <w:pStyle w:val="Heading1"/>
        <w:spacing w:after="140" w:before="320"/>
      </w:pPr>
      <w:r>
        <w:t xml:space="preserve">Cross-Track Synchronization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500"/>
        <w:gridCol w:w="284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Point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NP track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Gen-2 track</w:t>
            </w:r>
          </w:p>
        </w:tc>
        <w:tc>
          <w:tcPr>
            <w:tcW w:type="dxa" w:w="28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Ratification window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NP-S1 boot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S1 boot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window, both charters; Owner's hand only</w:t>
            </w:r>
          </w:p>
        </w:tc>
      </w:tr>
      <w:tr>
        <w:tc>
          <w:tcPr>
            <w:tcW w:type="dxa" w:w="20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Battery / IVF</w:t>
            </w:r>
          </w:p>
        </w:tc>
        <w:tc>
          <w:tcPr>
            <w:tcW w:type="dxa" w:w="23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Consumes as-is</w:t>
            </w:r>
          </w:p>
        </w:tc>
        <w:tc>
          <w:tcPr>
            <w:tcW w:type="dxa" w:w="25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Consumes as-is</w:t>
            </w:r>
          </w:p>
        </w:tc>
        <w:tc>
          <w:tcPr>
            <w:tcW w:type="dxa" w:w="28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Frozen; any change re-triggers V&amp;V on both tracks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TrialCountLedger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neelprajna family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MRCG/PLM families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Same ledger; families priced independently</w:t>
            </w:r>
          </w:p>
        </w:tc>
      </w:tr>
      <w:tr>
        <w:tc>
          <w:tcPr>
            <w:tcW w:type="dxa" w:w="20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VIRGIN reserves</w:t>
            </w:r>
          </w:p>
        </w:tc>
        <w:tc>
          <w:tcPr>
            <w:tcW w:type="dxa" w:w="23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R6 OOS window</w:t>
            </w:r>
          </w:p>
        </w:tc>
        <w:tc>
          <w:tcPr>
            <w:tcW w:type="dxa" w:w="25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Q3 2026 designation</w:t>
            </w:r>
          </w:p>
        </w:tc>
        <w:tc>
          <w:tcPr>
            <w:tcW w:type="dxa" w:w="28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Separate designations, same ceremony, same typed hand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Findings tally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Shared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Shared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tally, all voices, kept by the Owner</w:t>
            </w:r>
          </w:p>
        </w:tc>
      </w:tr>
      <w:tr>
        <w:tc>
          <w:tcPr>
            <w:tcW w:type="dxa" w:w="20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Wave-1 reviews</w:t>
            </w:r>
          </w:p>
        </w:tc>
        <w:tc>
          <w:tcPr>
            <w:tcW w:type="dxa" w:w="23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NP-S4</w:t>
            </w:r>
          </w:p>
        </w:tc>
        <w:tc>
          <w:tcPr>
            <w:tcW w:type="dxa" w:w="25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S8</w:t>
            </w:r>
          </w:p>
        </w:tc>
        <w:tc>
          <w:tcPr>
            <w:tcW w:type="dxa" w:w="28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May converge into one boundary session at the Owner's option</w:t>
            </w:r>
          </w:p>
        </w:tc>
      </w:tr>
    </w:tbl>
    <w:p>
      <w:pPr>
        <w:spacing w:after="100" w:before="200"/>
        <w:jc w:val="center"/>
      </w:pPr>
      <w:r>
        <w:rPr>
          <w:i/>
          <w:iCs/>
          <w:color w:val="1F3864"/>
          <w:sz w:val="21"/>
          <w:szCs w:val="21"/>
        </w:rPr>
        <w:t xml:space="preserve">Anchor: the family arrives the way Gen 1 said all knowledge must — a detector, a seal, a verdict — and the first thing it proves is whether two judges agree.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NeelPrajna × QRF — Integration Execution Roadmap, Wave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2026-07-29T10:04:59.097Z</dcterms:created>
  <dcterms:modified xsi:type="dcterms:W3CDTF">2026-07-29T10:04:59.110Z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