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rFonts w:ascii="Calibri" w:cs="Calibri" w:eastAsia="Calibri" w:hAnsi="Calibri"/>
        </w:rPr>
        <w:t xml:space="preserve">QRF Generation 2 — Execution Roadmap</w:t>
      </w:r>
    </w:p>
    <w:p>
      <w:pPr>
        <w:spacing w:after="120"/>
      </w:pPr>
      <w:r>
        <w:rPr>
          <w:rFonts w:ascii="Calibri" w:cs="Calibri" w:eastAsia="Calibri" w:hAnsi="Calibri"/>
          <w:i/>
          <w:iCs/>
          <w:color w:val="444444"/>
          <w:sz w:val="22"/>
          <w:szCs w:val="22"/>
        </w:rPr>
        <w:t xml:space="preserve">Sprints and phases, from ratification to the first accepted verdicts · DRAFT, conditional on the Owner's six ratifications · Becomes the operational half of ARCH-011 on ratification · Companion document: the Generation 2 Verification, Validation &amp; Acceptance Plan (all testing content lives there)</w:t>
      </w:r>
    </w:p>
    <w:p>
      <w:pPr>
        <w:spacing w:after="120"/>
      </w:pPr>
      <w:r>
        <w:rPr>
          <w:rFonts w:ascii="Calibri" w:cs="Calibri" w:eastAsia="Calibri" w:hAnsi="Calibri"/>
          <w:b/>
          <w:bCs/>
          <w:sz w:val="22"/>
          <w:szCs w:val="22"/>
        </w:rPr>
        <w:t xml:space="preserve">Binding clause (review board): </w:t>
      </w:r>
      <w:r>
        <w:rPr>
          <w:rFonts w:ascii="Calibri" w:cs="Calibri" w:eastAsia="Calibri" w:hAnsi="Calibri"/>
          <w:sz w:val="22"/>
          <w:szCs w:val="22"/>
        </w:rPr>
        <w:t xml:space="preserve">after the six ratifications, no major architectural additions until RP-001/RP-002 evidence challenges the framework. The market is the next reviewer.</w:t>
      </w:r>
    </w:p>
    <w:p>
      <w:pPr>
        <w:pStyle w:val="Heading1"/>
        <w:spacing w:after="150" w:before="300"/>
      </w:pPr>
      <w:r>
        <w:rPr>
          <w:rFonts w:ascii="Calibri" w:cs="Calibri" w:eastAsia="Calibri" w:hAnsi="Calibri"/>
        </w:rPr>
        <w:t xml:space="preserve">1. Cadence and Roles (Charter Question Q6)</w:t>
      </w:r>
    </w:p>
    <w:p>
      <w:pPr>
        <w:spacing w:after="120"/>
      </w:pPr>
      <w:r>
        <w:rPr>
          <w:rFonts w:ascii="Calibri" w:cs="Calibri" w:eastAsia="Calibri" w:hAnsi="Calibri"/>
          <w:b/>
          <w:bCs/>
          <w:sz w:val="22"/>
          <w:szCs w:val="22"/>
        </w:rPr>
        <w:t xml:space="preserve">Roles unchanged. </w:t>
      </w:r>
      <w:r>
        <w:rPr>
          <w:rFonts w:ascii="Calibri" w:cs="Calibri" w:eastAsia="Calibri" w:hAnsi="Calibri"/>
          <w:sz w:val="22"/>
          <w:szCs w:val="22"/>
        </w:rPr>
        <w:t xml:space="preserve">The Owner ratifies, declares write windows, holds VIRGIN reserves, and rules every Go/No-Go. The Architect writes instructions (ARCHs) and owns the independent verifier (IVF). The Developer implements in fresh sessions and raises DEVQs at every boundary. The per-sprint rhythm is Generation 1's, proven over ten sprints: instruction → Developer sessions → IVF (drill first) → Human Check → Review → Owner Go/No-Go → GO with retrospective → handover rewrite.</w:t>
      </w:r>
    </w:p>
    <w:p>
      <w:pPr>
        <w:spacing w:after="120"/>
      </w:pPr>
      <w:r>
        <w:rPr>
          <w:rFonts w:ascii="Calibri" w:cs="Calibri" w:eastAsia="Calibri" w:hAnsi="Calibri"/>
          <w:b/>
          <w:bCs/>
          <w:sz w:val="22"/>
          <w:szCs w:val="22"/>
        </w:rPr>
        <w:t xml:space="preserve">Cadence deliberate, not Generation 1's two-day tempo. </w:t>
      </w:r>
      <w:r>
        <w:rPr>
          <w:rFonts w:ascii="Calibri" w:cs="Calibri" w:eastAsia="Calibri" w:hAnsi="Calibri"/>
          <w:sz w:val="22"/>
          <w:szCs w:val="22"/>
        </w:rPr>
        <w:t xml:space="preserve">Generation 1's sprints shipped machinery; Generation 2's certification sprints (S3–S4) gate every verdict that will ever follow and must not be rushed. Sprints complete on quality gates, never on clocks; the Owner sets calendar pace at each Go/No-Go.</w:t>
      </w:r>
    </w:p>
    <w:p>
      <w:pPr>
        <w:spacing w:after="120"/>
      </w:pPr>
      <w:r>
        <w:rPr>
          <w:rFonts w:ascii="Calibri" w:cs="Calibri" w:eastAsia="Calibri" w:hAnsi="Calibri"/>
          <w:b/>
          <w:bCs/>
          <w:sz w:val="22"/>
          <w:szCs w:val="22"/>
        </w:rPr>
        <w:t xml:space="preserve">Standing tripwire: </w:t>
      </w:r>
      <w:r>
        <w:rPr>
          <w:rFonts w:ascii="Calibri" w:cs="Calibri" w:eastAsia="Calibri" w:hAnsi="Calibri"/>
          <w:sz w:val="22"/>
          <w:szCs w:val="22"/>
        </w:rPr>
        <w:t xml:space="preserve">any sprint that produces foundations but no progress toward verdicts is a recorded No-Go finding against the Architect. Framework serves knowledge.</w:t>
      </w:r>
    </w:p>
    <w:p>
      <w:pPr>
        <w:pStyle w:val="Heading1"/>
        <w:spacing w:after="150" w:before="300"/>
      </w:pPr>
      <w:r>
        <w:rPr>
          <w:rFonts w:ascii="Calibri" w:cs="Calibri" w:eastAsia="Calibri" w:hAnsi="Calibri"/>
        </w:rPr>
        <w:t xml:space="preserve">2. Phase Structure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800"/>
        <w:gridCol w:w="2200"/>
      </w:tblGrid>
      <w:tr>
        <w:tc>
          <w:tcPr>
            <w:tcW w:type="dxa" w:w="15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Phase</w:t>
            </w:r>
          </w:p>
        </w:tc>
        <w:tc>
          <w:tcPr>
            <w:tcW w:type="dxa" w:w="32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Sprints</w:t>
            </w:r>
          </w:p>
        </w:tc>
        <w:tc>
          <w:tcPr>
            <w:tcW w:type="dxa" w:w="28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Produces</w:t>
            </w:r>
          </w:p>
        </w:tc>
        <w:tc>
          <w:tcPr>
            <w:tcW w:type="dxa" w:w="22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Gate to next phase</w:t>
            </w:r>
          </w:p>
        </w:tc>
      </w:tr>
      <w:tr>
        <w:tc>
          <w:tcPr>
            <w:tcW w:type="dxa" w:w="1500"/>
            <w:tcMar>
              <w:top w:type="dxa" w:w="60"/>
              <w:left w:type="dxa" w:w="100"/>
              <w:bottom w:type="dxa" w:w="60"/>
              <w:right w:type="dxa" w:w="100"/>
            </w:tcMar>
          </w:tcPr>
          <w:p>
            <w:r>
              <w:rPr>
                <w:rFonts w:ascii="Calibri" w:cs="Calibri" w:eastAsia="Calibri" w:hAnsi="Calibri"/>
                <w:b w:val="false"/>
                <w:bCs w:val="false"/>
                <w:color w:val="000000"/>
                <w:sz w:val="20"/>
                <w:szCs w:val="20"/>
              </w:rPr>
              <w:t xml:space="preserve">Phase A — Constitution &amp; Vocabulary</w:t>
            </w:r>
          </w:p>
        </w:tc>
        <w:tc>
          <w:tcPr>
            <w:tcW w:type="dxa" w:w="3200"/>
            <w:tcMar>
              <w:top w:type="dxa" w:w="60"/>
              <w:left w:type="dxa" w:w="100"/>
              <w:bottom w:type="dxa" w:w="60"/>
              <w:right w:type="dxa" w:w="100"/>
            </w:tcMar>
          </w:tcPr>
          <w:p>
            <w:r>
              <w:rPr>
                <w:rFonts w:ascii="Calibri" w:cs="Calibri" w:eastAsia="Calibri" w:hAnsi="Calibri"/>
                <w:b w:val="false"/>
                <w:bCs w:val="false"/>
                <w:color w:val="000000"/>
                <w:sz w:val="20"/>
                <w:szCs w:val="20"/>
              </w:rPr>
              <w:t xml:space="preserve">S1</w:t>
            </w:r>
          </w:p>
        </w:tc>
        <w:tc>
          <w:tcPr>
            <w:tcW w:type="dxa" w:w="2800"/>
            <w:tcMar>
              <w:top w:type="dxa" w:w="60"/>
              <w:left w:type="dxa" w:w="100"/>
              <w:bottom w:type="dxa" w:w="60"/>
              <w:right w:type="dxa" w:w="100"/>
            </w:tcMar>
          </w:tcPr>
          <w:p>
            <w:r>
              <w:rPr>
                <w:rFonts w:ascii="Calibri" w:cs="Calibri" w:eastAsia="Calibri" w:hAnsi="Calibri"/>
                <w:b w:val="false"/>
                <w:bCs w:val="false"/>
                <w:color w:val="000000"/>
                <w:sz w:val="20"/>
                <w:szCs w:val="20"/>
              </w:rPr>
              <w:t xml:space="preserve">Ratified Volume 0, Constitution, MML, ECF design; sealed primitives; ARCH-011</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All ratification records GREEN in the journal</w:t>
            </w:r>
          </w:p>
        </w:tc>
      </w:tr>
      <w:tr>
        <w:tc>
          <w:tcPr>
            <w:tcW w:type="dxa" w:w="1500"/>
            <w:tcMar>
              <w:top w:type="dxa" w:w="60"/>
              <w:left w:type="dxa" w:w="100"/>
              <w:bottom w:type="dxa" w:w="60"/>
              <w:right w:type="dxa" w:w="100"/>
            </w:tcMar>
          </w:tcPr>
          <w:p>
            <w:r>
              <w:rPr>
                <w:rFonts w:ascii="Calibri" w:cs="Calibri" w:eastAsia="Calibri" w:hAnsi="Calibri"/>
                <w:b w:val="false"/>
                <w:bCs w:val="false"/>
                <w:color w:val="000000"/>
                <w:sz w:val="20"/>
                <w:szCs w:val="20"/>
              </w:rPr>
              <w:t xml:space="preserve">Phase B — Instruments</w:t>
            </w:r>
          </w:p>
        </w:tc>
        <w:tc>
          <w:tcPr>
            <w:tcW w:type="dxa" w:w="3200"/>
            <w:tcMar>
              <w:top w:type="dxa" w:w="60"/>
              <w:left w:type="dxa" w:w="100"/>
              <w:bottom w:type="dxa" w:w="60"/>
              <w:right w:type="dxa" w:w="100"/>
            </w:tcMar>
          </w:tcPr>
          <w:p>
            <w:r>
              <w:rPr>
                <w:rFonts w:ascii="Calibri" w:cs="Calibri" w:eastAsia="Calibri" w:hAnsi="Calibri"/>
                <w:b w:val="false"/>
                <w:bCs w:val="false"/>
                <w:color w:val="000000"/>
                <w:sz w:val="20"/>
                <w:szCs w:val="20"/>
              </w:rPr>
              <w:t xml:space="preserve">S2, S3, S4</w:t>
            </w:r>
          </w:p>
        </w:tc>
        <w:tc>
          <w:tcPr>
            <w:tcW w:type="dxa" w:w="2800"/>
            <w:tcMar>
              <w:top w:type="dxa" w:w="60"/>
              <w:left w:type="dxa" w:w="100"/>
              <w:bottom w:type="dxa" w:w="60"/>
              <w:right w:type="dxa" w:w="100"/>
            </w:tcMar>
          </w:tcPr>
          <w:p>
            <w:r>
              <w:rPr>
                <w:rFonts w:ascii="Calibri" w:cs="Calibri" w:eastAsia="Calibri" w:hAnsi="Calibri"/>
                <w:b w:val="false"/>
                <w:bCs w:val="false"/>
                <w:color w:val="000000"/>
                <w:sz w:val="20"/>
                <w:szCs w:val="20"/>
              </w:rPr>
              <w:t xml:space="preserve">Certified MML engine; certified ECF null library; certified Wave-1 detectors; sealed n-floors</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All certification drills passed with clean controls; IVF parity GREEN</w:t>
            </w:r>
          </w:p>
        </w:tc>
      </w:tr>
      <w:tr>
        <w:tc>
          <w:tcPr>
            <w:tcW w:type="dxa" w:w="1500"/>
            <w:tcMar>
              <w:top w:type="dxa" w:w="60"/>
              <w:left w:type="dxa" w:w="100"/>
              <w:bottom w:type="dxa" w:w="60"/>
              <w:right w:type="dxa" w:w="100"/>
            </w:tcMar>
          </w:tcPr>
          <w:p>
            <w:r>
              <w:rPr>
                <w:rFonts w:ascii="Calibri" w:cs="Calibri" w:eastAsia="Calibri" w:hAnsi="Calibri"/>
                <w:b w:val="false"/>
                <w:bCs w:val="false"/>
                <w:color w:val="000000"/>
                <w:sz w:val="20"/>
                <w:szCs w:val="20"/>
              </w:rPr>
              <w:t xml:space="preserve">Phase C — First Science</w:t>
            </w:r>
          </w:p>
        </w:tc>
        <w:tc>
          <w:tcPr>
            <w:tcW w:type="dxa" w:w="3200"/>
            <w:tcMar>
              <w:top w:type="dxa" w:w="60"/>
              <w:left w:type="dxa" w:w="100"/>
              <w:bottom w:type="dxa" w:w="60"/>
              <w:right w:type="dxa" w:w="100"/>
            </w:tcMar>
          </w:tcPr>
          <w:p>
            <w:r>
              <w:rPr>
                <w:rFonts w:ascii="Calibri" w:cs="Calibri" w:eastAsia="Calibri" w:hAnsi="Calibri"/>
                <w:b w:val="false"/>
                <w:bCs w:val="false"/>
                <w:color w:val="000000"/>
                <w:sz w:val="20"/>
                <w:szCs w:val="20"/>
              </w:rPr>
              <w:t xml:space="preserve">S5, S6</w:t>
            </w:r>
          </w:p>
        </w:tc>
        <w:tc>
          <w:tcPr>
            <w:tcW w:type="dxa" w:w="2800"/>
            <w:tcMar>
              <w:top w:type="dxa" w:w="60"/>
              <w:left w:type="dxa" w:w="100"/>
              <w:bottom w:type="dxa" w:w="60"/>
              <w:right w:type="dxa" w:w="100"/>
            </w:tcMar>
          </w:tcPr>
          <w:p>
            <w:r>
              <w:rPr>
                <w:rFonts w:ascii="Calibri" w:cs="Calibri" w:eastAsia="Calibri" w:hAnsi="Calibri"/>
                <w:b w:val="false"/>
                <w:bCs w:val="false"/>
                <w:color w:val="000000"/>
                <w:sz w:val="20"/>
                <w:szCs w:val="20"/>
              </w:rPr>
              <w:t xml:space="preserve">RP-001 (MRCG) and RP-002 (PLM) verdicts; MCEC null design task</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Verdicts reproduced by IVF to the last digit</w:t>
            </w:r>
          </w:p>
        </w:tc>
      </w:tr>
      <w:tr>
        <w:tc>
          <w:tcPr>
            <w:tcW w:type="dxa" w:w="1500"/>
            <w:tcMar>
              <w:top w:type="dxa" w:w="60"/>
              <w:left w:type="dxa" w:w="100"/>
              <w:bottom w:type="dxa" w:w="60"/>
              <w:right w:type="dxa" w:w="100"/>
            </w:tcMar>
          </w:tcPr>
          <w:p>
            <w:r>
              <w:rPr>
                <w:rFonts w:ascii="Calibri" w:cs="Calibri" w:eastAsia="Calibri" w:hAnsi="Calibri"/>
                <w:b w:val="false"/>
                <w:bCs w:val="false"/>
                <w:color w:val="000000"/>
                <w:sz w:val="20"/>
                <w:szCs w:val="20"/>
              </w:rPr>
              <w:t xml:space="preserve">Phase D — Knowledge &amp; Acceptance</w:t>
            </w:r>
          </w:p>
        </w:tc>
        <w:tc>
          <w:tcPr>
            <w:tcW w:type="dxa" w:w="3200"/>
            <w:tcMar>
              <w:top w:type="dxa" w:w="60"/>
              <w:left w:type="dxa" w:w="100"/>
              <w:bottom w:type="dxa" w:w="60"/>
              <w:right w:type="dxa" w:w="100"/>
            </w:tcMar>
          </w:tcPr>
          <w:p>
            <w:r>
              <w:rPr>
                <w:rFonts w:ascii="Calibri" w:cs="Calibri" w:eastAsia="Calibri" w:hAnsi="Calibri"/>
                <w:b w:val="false"/>
                <w:bCs w:val="false"/>
                <w:color w:val="000000"/>
                <w:sz w:val="20"/>
                <w:szCs w:val="20"/>
              </w:rPr>
              <w:t xml:space="preserve">S7, S8</w:t>
            </w:r>
          </w:p>
        </w:tc>
        <w:tc>
          <w:tcPr>
            <w:tcW w:type="dxa" w:w="2800"/>
            <w:tcMar>
              <w:top w:type="dxa" w:w="60"/>
              <w:left w:type="dxa" w:w="100"/>
              <w:bottom w:type="dxa" w:w="60"/>
              <w:right w:type="dxa" w:w="100"/>
            </w:tcMar>
          </w:tcPr>
          <w:p>
            <w:r>
              <w:rPr>
                <w:rFonts w:ascii="Calibri" w:cs="Calibri" w:eastAsia="Calibri" w:hAnsi="Calibri"/>
                <w:b w:val="false"/>
                <w:bCs w:val="false"/>
                <w:color w:val="000000"/>
                <w:sz w:val="20"/>
                <w:szCs w:val="20"/>
              </w:rPr>
              <w:t xml:space="preserve">Beliefs document; Atlas entries; Q3 decision package; black-box acceptance campaign; boundary ruling</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All six acceptance drill classes passed in one unbroken campaign (see V&amp;V Plan)</w:t>
            </w:r>
          </w:p>
        </w:tc>
      </w:tr>
    </w:tbl>
    <w:p>
      <w:pPr>
        <w:pStyle w:val="Heading1"/>
        <w:spacing w:after="150" w:before="300"/>
      </w:pPr>
      <w:r>
        <w:rPr>
          <w:rFonts w:ascii="Calibri" w:cs="Calibri" w:eastAsia="Calibri" w:hAnsi="Calibri"/>
        </w:rPr>
        <w:t xml:space="preserve">3. The Eight Sprints</w:t>
      </w:r>
    </w:p>
    <w:p>
      <w:pPr>
        <w:pStyle w:val="Heading2"/>
        <w:spacing w:after="120" w:before="240"/>
      </w:pPr>
      <w:r>
        <w:rPr>
          <w:rFonts w:ascii="Calibri" w:cs="Calibri" w:eastAsia="Calibri" w:hAnsi="Calibri"/>
        </w:rPr>
        <w:t xml:space="preserve">Sprint 1 — Ratify &amp; Speak (Phase A)</w:t>
      </w:r>
    </w:p>
    <w:p>
      <w:pPr>
        <w:pStyle w:val="ListParagraph"/>
        <w:numPr>
          <w:ilvl w:val="0"/>
          <w:numId w:val="2"/>
        </w:numPr>
        <w:spacing w:after="80"/>
      </w:pPr>
      <w:r>
        <w:rPr>
          <w:rFonts w:ascii="Calibri" w:cs="Calibri" w:eastAsia="Calibri" w:hAnsi="Calibri"/>
          <w:b/>
          <w:bCs/>
          <w:sz w:val="22"/>
          <w:szCs w:val="22"/>
        </w:rPr>
        <w:t xml:space="preserve">Write window: </w:t>
      </w:r>
      <w:r>
        <w:rPr>
          <w:rFonts w:ascii="Calibri" w:cs="Calibri" w:eastAsia="Calibri" w:hAnsi="Calibri"/>
          <w:sz w:val="22"/>
          <w:szCs w:val="22"/>
        </w:rPr>
        <w:t xml:space="preserve">Volume 0 (Scientific Method), the Constitution (Twelve Principles + Principle 13 Informative Outcomes + Ontological Discipline + Research Ethos + permanently-human powers + the narrow freeze amendment), the MML standard, the ECF design, and the Rejected Concepts Register enter the repository as ratified records. The Owner's six rulings become journal entries by the Owner's hand.</w:t>
      </w:r>
    </w:p>
    <w:p>
      <w:pPr>
        <w:pStyle w:val="ListParagraph"/>
        <w:numPr>
          <w:ilvl w:val="0"/>
          <w:numId w:val="2"/>
        </w:numPr>
        <w:spacing w:after="80"/>
      </w:pPr>
      <w:r>
        <w:rPr>
          <w:rFonts w:ascii="Calibri" w:cs="Calibri" w:eastAsia="Calibri" w:hAnsi="Calibri"/>
          <w:b/>
          <w:bCs/>
          <w:sz w:val="22"/>
          <w:szCs w:val="22"/>
        </w:rPr>
        <w:t xml:space="preserve">F1 — the primitives session: </w:t>
      </w:r>
      <w:r>
        <w:rPr>
          <w:rFonts w:ascii="Calibri" w:cs="Calibri" w:eastAsia="Calibri" w:hAnsi="Calibri"/>
          <w:sz w:val="22"/>
          <w:szCs w:val="22"/>
        </w:rPr>
        <w:t xml:space="preserve">the eleven candidate words through the four questions (primitive? derivable? overlapping? missing?); output sealed as a record.</w:t>
      </w:r>
    </w:p>
    <w:p>
      <w:pPr>
        <w:pStyle w:val="ListParagraph"/>
        <w:numPr>
          <w:ilvl w:val="0"/>
          <w:numId w:val="2"/>
        </w:numPr>
        <w:spacing w:after="80"/>
      </w:pPr>
      <w:r>
        <w:rPr>
          <w:rFonts w:ascii="Calibri" w:cs="Calibri" w:eastAsia="Calibri" w:hAnsi="Calibri"/>
          <w:b/>
          <w:bCs/>
          <w:sz w:val="22"/>
          <w:szCs w:val="22"/>
        </w:rPr>
        <w:t xml:space="preserve">F2 — decomposition pass: </w:t>
      </w:r>
      <w:r>
        <w:rPr>
          <w:rFonts w:ascii="Calibri" w:cs="Calibri" w:eastAsia="Calibri" w:hAnsi="Calibri"/>
          <w:sz w:val="22"/>
          <w:szCs w:val="22"/>
        </w:rPr>
        <w:t xml:space="preserve">every Generation-1 concept decomposed into Measurement → Observation → Phenomenon form; discrepancies recorded.</w:t>
      </w:r>
    </w:p>
    <w:p>
      <w:pPr>
        <w:pStyle w:val="ListParagraph"/>
        <w:numPr>
          <w:ilvl w:val="0"/>
          <w:numId w:val="2"/>
        </w:numPr>
        <w:spacing w:after="80"/>
      </w:pPr>
      <w:r>
        <w:rPr>
          <w:rFonts w:ascii="Calibri" w:cs="Calibri" w:eastAsia="Calibri" w:hAnsi="Calibri"/>
          <w:b/>
          <w:bCs/>
          <w:sz w:val="22"/>
          <w:szCs w:val="22"/>
        </w:rPr>
        <w:t xml:space="preserve">ARCH-011 issued; Developer boots. </w:t>
      </w:r>
      <w:r>
        <w:rPr>
          <w:rFonts w:ascii="Calibri" w:cs="Calibri" w:eastAsia="Calibri" w:hAnsi="Calibri"/>
          <w:sz w:val="22"/>
          <w:szCs w:val="22"/>
        </w:rPr>
        <w:t xml:space="preserve">Exit: constitution ratified, vocabulary sealed.</w:t>
      </w:r>
    </w:p>
    <w:p>
      <w:pPr>
        <w:pStyle w:val="Heading2"/>
        <w:spacing w:after="120" w:before="240"/>
      </w:pPr>
      <w:r>
        <w:rPr>
          <w:rFonts w:ascii="Calibri" w:cs="Calibri" w:eastAsia="Calibri" w:hAnsi="Calibri"/>
        </w:rPr>
        <w:t xml:space="preserve">Sprint 2 — MML Live (Phase B)</w:t>
      </w:r>
    </w:p>
    <w:p>
      <w:pPr>
        <w:pStyle w:val="ListParagraph"/>
        <w:numPr>
          <w:ilvl w:val="0"/>
          <w:numId w:val="2"/>
        </w:numPr>
        <w:spacing w:after="80"/>
      </w:pPr>
      <w:r>
        <w:rPr>
          <w:rFonts w:ascii="Calibri" w:cs="Calibri" w:eastAsia="Calibri" w:hAnsi="Calibri"/>
          <w:sz w:val="22"/>
          <w:szCs w:val="22"/>
        </w:rPr>
        <w:t xml:space="preserve">Descriptor engine implemented: component fractions, decile classifier, simplex feasibility check (an infeasible code is a hard error), merge operator, hidden-gate evaluator, suffix grammar.</w:t>
      </w:r>
    </w:p>
    <w:p>
      <w:pPr>
        <w:pStyle w:val="ListParagraph"/>
        <w:numPr>
          <w:ilvl w:val="0"/>
          <w:numId w:val="2"/>
        </w:numPr>
        <w:spacing w:after="80"/>
      </w:pPr>
      <w:r>
        <w:rPr>
          <w:rFonts w:ascii="Calibri" w:cs="Calibri" w:eastAsia="Calibri" w:hAnsi="Calibri"/>
          <w:sz w:val="22"/>
          <w:szCs w:val="22"/>
        </w:rPr>
        <w:t xml:space="preserve">Calibrated against planted truth per the V&amp;V Plan (L1 unit fixtures; L2 IVF parity on every fixture).</w:t>
      </w:r>
    </w:p>
    <w:p>
      <w:pPr>
        <w:pStyle w:val="ListParagraph"/>
        <w:numPr>
          <w:ilvl w:val="0"/>
          <w:numId w:val="2"/>
        </w:numPr>
        <w:spacing w:after="80"/>
      </w:pPr>
      <w:r>
        <w:rPr>
          <w:rFonts w:ascii="Calibri" w:cs="Calibri" w:eastAsia="Calibri" w:hAnsi="Calibri"/>
          <w:sz w:val="22"/>
          <w:szCs w:val="22"/>
        </w:rPr>
        <w:t xml:space="preserve">Descriptor census over burned exploration windows only, seeding the Narrow Atlas. Exit: MML certified; zero VIRGIN contact.</w:t>
      </w:r>
    </w:p>
    <w:p>
      <w:pPr>
        <w:pStyle w:val="Heading2"/>
        <w:spacing w:after="120" w:before="240"/>
      </w:pPr>
      <w:r>
        <w:rPr>
          <w:rFonts w:ascii="Calibri" w:cs="Calibri" w:eastAsia="Calibri" w:hAnsi="Calibri"/>
        </w:rPr>
        <w:t xml:space="preserve">Sprint 3 — ECF Forge (Phase B)</w:t>
      </w:r>
    </w:p>
    <w:p>
      <w:pPr>
        <w:pStyle w:val="ListParagraph"/>
        <w:numPr>
          <w:ilvl w:val="0"/>
          <w:numId w:val="2"/>
        </w:numPr>
        <w:spacing w:after="80"/>
      </w:pPr>
      <w:r>
        <w:rPr>
          <w:rFonts w:ascii="Calibri" w:cs="Calibri" w:eastAsia="Calibri" w:hAnsi="Calibri"/>
          <w:sz w:val="22"/>
          <w:szCs w:val="22"/>
        </w:rPr>
        <w:t xml:space="preserve">Null library construction: N1 rotation nulls (session-aware day rotation) and N2 block-resampling nulls (calendar-template, seam-preserving).</w:t>
      </w:r>
    </w:p>
    <w:p>
      <w:pPr>
        <w:pStyle w:val="ListParagraph"/>
        <w:numPr>
          <w:ilvl w:val="0"/>
          <w:numId w:val="2"/>
        </w:numPr>
        <w:spacing w:after="80"/>
      </w:pPr>
      <w:r>
        <w:rPr>
          <w:rFonts w:ascii="Calibri" w:cs="Calibri" w:eastAsia="Calibri" w:hAnsi="Calibri"/>
          <w:sz w:val="22"/>
          <w:szCs w:val="22"/>
        </w:rPr>
        <w:t xml:space="preserve">First planted-truth and clean-control drills, with drill designs sealed before running (L3 validation, per the V&amp;V Plan). Exit: N1/N2 running; first drill report; findings tallied.</w:t>
      </w:r>
    </w:p>
    <w:p>
      <w:pPr>
        <w:pStyle w:val="Heading2"/>
        <w:spacing w:after="120" w:before="240"/>
      </w:pPr>
      <w:r>
        <w:rPr>
          <w:rFonts w:ascii="Calibri" w:cs="Calibri" w:eastAsia="Calibri" w:hAnsi="Calibri"/>
        </w:rPr>
        <w:t xml:space="preserve">Sprint 4 — ECF Certified (Phase B)</w:t>
      </w:r>
    </w:p>
    <w:p>
      <w:pPr>
        <w:pStyle w:val="ListParagraph"/>
        <w:numPr>
          <w:ilvl w:val="0"/>
          <w:numId w:val="2"/>
        </w:numPr>
        <w:spacing w:after="80"/>
      </w:pPr>
      <w:r>
        <w:rPr>
          <w:rFonts w:ascii="Calibri" w:cs="Calibri" w:eastAsia="Calibri" w:hAnsi="Calibri"/>
          <w:sz w:val="22"/>
          <w:szCs w:val="22"/>
        </w:rPr>
        <w:t xml:space="preserve">N3 model-based surrogates built, their model assumptions documented explicitly.</w:t>
      </w:r>
    </w:p>
    <w:p>
      <w:pPr>
        <w:pStyle w:val="ListParagraph"/>
        <w:numPr>
          <w:ilvl w:val="0"/>
          <w:numId w:val="2"/>
        </w:numPr>
        <w:spacing w:after="80"/>
      </w:pPr>
      <w:r>
        <w:rPr>
          <w:rFonts w:ascii="Calibri" w:cs="Calibri" w:eastAsia="Calibri" w:hAnsi="Calibri"/>
          <w:sz w:val="22"/>
          <w:szCs w:val="22"/>
        </w:rPr>
        <w:t xml:space="preserve">Injection-calibrated power curves per claim form, producing the sealed n-floors used by every registration.</w:t>
      </w:r>
    </w:p>
    <w:p>
      <w:pPr>
        <w:pStyle w:val="ListParagraph"/>
        <w:numPr>
          <w:ilvl w:val="0"/>
          <w:numId w:val="2"/>
        </w:numPr>
        <w:spacing w:after="80"/>
      </w:pPr>
      <w:r>
        <w:rPr>
          <w:rFonts w:ascii="Calibri" w:cs="Calibri" w:eastAsia="Calibri" w:hAnsi="Calibri"/>
          <w:sz w:val="22"/>
          <w:szCs w:val="22"/>
        </w:rPr>
        <w:t xml:space="preserve">Detector certifications: merge/hidden-gate detector and ordinal-k swing detector — knowability contracts, DST and weekend seam tests, and the machine-checked monotone-invariance property (log price and raw price must yield identical extrema).</w:t>
      </w:r>
    </w:p>
    <w:p>
      <w:pPr>
        <w:pStyle w:val="ListParagraph"/>
        <w:numPr>
          <w:ilvl w:val="0"/>
          <w:numId w:val="2"/>
        </w:numPr>
        <w:spacing w:after="80"/>
      </w:pPr>
      <w:r>
        <w:rPr>
          <w:rFonts w:ascii="Calibri" w:cs="Calibri" w:eastAsia="Calibri" w:hAnsi="Calibri"/>
          <w:sz w:val="22"/>
          <w:szCs w:val="22"/>
        </w:rPr>
        <w:t xml:space="preserve">Exit: the ECF may judge real claims; certification records GREEN.</w:t>
      </w:r>
    </w:p>
    <w:p>
      <w:pPr>
        <w:pStyle w:val="Heading2"/>
        <w:spacing w:after="120" w:before="240"/>
      </w:pPr>
      <w:r>
        <w:rPr>
          <w:rFonts w:ascii="Calibri" w:cs="Calibri" w:eastAsia="Calibri" w:hAnsi="Calibri"/>
        </w:rPr>
        <w:t xml:space="preserve">Sprint 5 — RP-001 Judged: Merge-Revealed Geometry (Phase C)</w:t>
      </w:r>
    </w:p>
    <w:p>
      <w:pPr>
        <w:pStyle w:val="ListParagraph"/>
        <w:numPr>
          <w:ilvl w:val="0"/>
          <w:numId w:val="2"/>
        </w:numPr>
        <w:spacing w:after="80"/>
      </w:pPr>
      <w:r>
        <w:rPr>
          <w:rFonts w:ascii="Calibri" w:cs="Calibri" w:eastAsia="Calibri" w:hAnsi="Calibri"/>
          <w:sz w:val="22"/>
          <w:szCs w:val="22"/>
        </w:rPr>
        <w:t xml:space="preserve">Registration sealed before the judging window is touched: descriptor set S, merge windows n ∈ {2,3,5}, claim forms E2 + E3, null set, thresholds at family-priced alpha, event floors from Sprint 4's power curves, and the interpretation of every possible outcome.</w:t>
      </w:r>
    </w:p>
    <w:p>
      <w:pPr>
        <w:pStyle w:val="ListParagraph"/>
        <w:numPr>
          <w:ilvl w:val="0"/>
          <w:numId w:val="2"/>
        </w:numPr>
        <w:spacing w:after="80"/>
      </w:pPr>
      <w:r>
        <w:rPr>
          <w:rFonts w:ascii="Calibri" w:cs="Calibri" w:eastAsia="Calibri" w:hAnsi="Calibri"/>
          <w:sz w:val="22"/>
          <w:szCs w:val="22"/>
        </w:rPr>
        <w:t xml:space="preserve">Run → Battery rules → IVF re-derives to the last digit → HC samples → Belief record v1 written, whatever the verdict (Principle 13). Exit: Generation 2's first phenomenon verdict, reproducible.</w:t>
      </w:r>
    </w:p>
    <w:p>
      <w:pPr>
        <w:pStyle w:val="Heading2"/>
        <w:spacing w:after="120" w:before="240"/>
      </w:pPr>
      <w:r>
        <w:rPr>
          <w:rFonts w:ascii="Calibri" w:cs="Calibri" w:eastAsia="Calibri" w:hAnsi="Calibri"/>
        </w:rPr>
        <w:t xml:space="preserve">Sprint 6 — RP-002 Judged: Price-Level Memory (Phase C)</w:t>
      </w:r>
    </w:p>
    <w:p>
      <w:pPr>
        <w:pStyle w:val="ListParagraph"/>
        <w:numPr>
          <w:ilvl w:val="0"/>
          <w:numId w:val="2"/>
        </w:numPr>
        <w:spacing w:after="80"/>
      </w:pPr>
      <w:r>
        <w:rPr>
          <w:rFonts w:ascii="Calibri" w:cs="Calibri" w:eastAsia="Calibri" w:hAnsi="Calibri"/>
          <w:sz w:val="22"/>
          <w:szCs w:val="22"/>
        </w:rPr>
        <w:t xml:space="preserve">Same discipline: ordinal-k primary detector plus the sealed robustness companion (second k), E2 revisit/dwell arrangement + E3 approach-interaction association, rotation-null primary.</w:t>
      </w:r>
    </w:p>
    <w:p>
      <w:pPr>
        <w:pStyle w:val="ListParagraph"/>
        <w:numPr>
          <w:ilvl w:val="0"/>
          <w:numId w:val="2"/>
        </w:numPr>
        <w:spacing w:after="80"/>
      </w:pPr>
      <w:r>
        <w:rPr>
          <w:rFonts w:ascii="Calibri" w:cs="Calibri" w:eastAsia="Calibri" w:hAnsi="Calibri"/>
          <w:sz w:val="22"/>
          <w:szCs w:val="22"/>
        </w:rPr>
        <w:t xml:space="preserve">In parallel: the MCEC null-design task registers as a design deliverable — the clustering-versus-discrete-states null specification. Designed, not judged. Exit: second verdict; MCEC's hard problem in progress.</w:t>
      </w:r>
    </w:p>
    <w:p>
      <w:pPr>
        <w:pStyle w:val="Heading2"/>
        <w:spacing w:after="120" w:before="240"/>
      </w:pPr>
      <w:r>
        <w:rPr>
          <w:rFonts w:ascii="Calibri" w:cs="Calibri" w:eastAsia="Calibri" w:hAnsi="Calibri"/>
        </w:rPr>
        <w:t xml:space="preserve">Sprint 7 — Synthesis (Phase D)</w:t>
      </w:r>
    </w:p>
    <w:p>
      <w:pPr>
        <w:pStyle w:val="ListParagraph"/>
        <w:numPr>
          <w:ilvl w:val="0"/>
          <w:numId w:val="2"/>
        </w:numPr>
        <w:spacing w:after="80"/>
      </w:pPr>
      <w:r>
        <w:rPr>
          <w:rFonts w:ascii="Calibri" w:cs="Calibri" w:eastAsia="Calibri" w:hAnsi="Calibri"/>
          <w:sz w:val="22"/>
          <w:szCs w:val="22"/>
        </w:rPr>
        <w:t xml:space="preserve">The auditable beliefs document assembled: per-phenomenon stances, operationalization-scoped, regime-conditioned, alpha-annotated, negatives included.</w:t>
      </w:r>
    </w:p>
    <w:p>
      <w:pPr>
        <w:pStyle w:val="ListParagraph"/>
        <w:numPr>
          <w:ilvl w:val="0"/>
          <w:numId w:val="2"/>
        </w:numPr>
        <w:spacing w:after="80"/>
      </w:pPr>
      <w:r>
        <w:rPr>
          <w:rFonts w:ascii="Calibri" w:cs="Calibri" w:eastAsia="Calibri" w:hAnsi="Calibri"/>
          <w:sz w:val="22"/>
          <w:szCs w:val="22"/>
        </w:rPr>
        <w:t xml:space="preserve">Atlas entries appended; contradiction check across all standing records; Wave-2 candidate list drafted (MCEC if its null certifies; taxonomy-guided successors).</w:t>
      </w:r>
    </w:p>
    <w:p>
      <w:pPr>
        <w:pStyle w:val="ListParagraph"/>
        <w:numPr>
          <w:ilvl w:val="0"/>
          <w:numId w:val="2"/>
        </w:numPr>
        <w:spacing w:after="80"/>
      </w:pPr>
      <w:r>
        <w:rPr>
          <w:rFonts w:ascii="Calibri" w:cs="Calibri" w:eastAsia="Calibri" w:hAnsi="Calibri"/>
          <w:sz w:val="22"/>
          <w:szCs w:val="22"/>
        </w:rPr>
        <w:t xml:space="preserve">Q3 decision package prepared for the Owner: extension into 2026 data (new reserves by the Owner's typed phrase) and/or second-instrument ingest. Exit: a knowledge estate, not just verdicts.</w:t>
      </w:r>
    </w:p>
    <w:p>
      <w:pPr>
        <w:pStyle w:val="Heading2"/>
        <w:spacing w:after="120" w:before="240"/>
      </w:pPr>
      <w:r>
        <w:rPr>
          <w:rFonts w:ascii="Calibri" w:cs="Calibri" w:eastAsia="Calibri" w:hAnsi="Calibri"/>
        </w:rPr>
        <w:t xml:space="preserve">Sprint 8 — Black Box &amp; Gate (Phase D)</w:t>
      </w:r>
    </w:p>
    <w:p>
      <w:pPr>
        <w:pStyle w:val="ListParagraph"/>
        <w:numPr>
          <w:ilvl w:val="0"/>
          <w:numId w:val="2"/>
        </w:numPr>
        <w:spacing w:after="80"/>
      </w:pPr>
      <w:r>
        <w:rPr>
          <w:rFonts w:ascii="Calibri" w:cs="Calibri" w:eastAsia="Calibri" w:hAnsi="Calibri"/>
          <w:sz w:val="22"/>
          <w:szCs w:val="22"/>
        </w:rPr>
        <w:t xml:space="preserve">The full acceptance campaign per the V&amp;V Plan (drill classes BB-1 through BB-6), against sealed pass criteria.</w:t>
      </w:r>
    </w:p>
    <w:p>
      <w:pPr>
        <w:pStyle w:val="ListParagraph"/>
        <w:numPr>
          <w:ilvl w:val="0"/>
          <w:numId w:val="2"/>
        </w:numPr>
        <w:spacing w:after="80"/>
      </w:pPr>
      <w:r>
        <w:rPr>
          <w:rFonts w:ascii="Calibri" w:cs="Calibri" w:eastAsia="Calibri" w:hAnsi="Calibri"/>
          <w:sz w:val="22"/>
          <w:szCs w:val="22"/>
        </w:rPr>
        <w:t xml:space="preserve">Wave-1 review: findings tally, retrospective, Gate-A evidence assessment, and the Owner's boundary ruling — Wave 2, generation close, or framework revision if acceptance demanded it.</w:t>
      </w:r>
    </w:p>
    <w:p>
      <w:pPr>
        <w:pStyle w:val="Heading1"/>
        <w:spacing w:after="150" w:before="300"/>
      </w:pPr>
      <w:r>
        <w:rPr>
          <w:rFonts w:ascii="Calibri" w:cs="Calibri" w:eastAsia="Calibri" w:hAnsi="Calibri"/>
        </w:rPr>
        <w:t xml:space="preserve">4. What Sprint 8's Owner Ruling Decides</w:t>
      </w:r>
    </w:p>
    <w:p>
      <w:pPr>
        <w:pStyle w:val="ListParagraph"/>
        <w:numPr>
          <w:ilvl w:val="0"/>
          <w:numId w:val="3"/>
        </w:numPr>
        <w:spacing w:after="80"/>
      </w:pPr>
      <w:r>
        <w:rPr>
          <w:rFonts w:ascii="Calibri" w:cs="Calibri" w:eastAsia="Calibri" w:hAnsi="Calibri"/>
          <w:sz w:val="22"/>
          <w:szCs w:val="22"/>
        </w:rPr>
        <w:t xml:space="preserve">Whether Gate-A evidence has begun accumulating (verdicts on the board; recorded instances of hand-work a Generation-3 subsystem would mechanize).</w:t>
      </w:r>
    </w:p>
    <w:p>
      <w:pPr>
        <w:pStyle w:val="ListParagraph"/>
        <w:numPr>
          <w:ilvl w:val="0"/>
          <w:numId w:val="3"/>
        </w:numPr>
        <w:spacing w:after="80"/>
      </w:pPr>
      <w:r>
        <w:rPr>
          <w:rFonts w:ascii="Calibri" w:cs="Calibri" w:eastAsia="Calibri" w:hAnsi="Calibri"/>
          <w:sz w:val="22"/>
          <w:szCs w:val="22"/>
        </w:rPr>
        <w:t xml:space="preserve">Whether Wave 2 opens, and with which programs (MCEC if its null certified; successors per the Level A–D research taxonomy).</w:t>
      </w:r>
    </w:p>
    <w:p>
      <w:pPr>
        <w:pStyle w:val="ListParagraph"/>
        <w:numPr>
          <w:ilvl w:val="0"/>
          <w:numId w:val="3"/>
        </w:numPr>
        <w:spacing w:after="80"/>
      </w:pPr>
      <w:r>
        <w:rPr>
          <w:rFonts w:ascii="Calibri" w:cs="Calibri" w:eastAsia="Calibri" w:hAnsi="Calibri"/>
          <w:sz w:val="22"/>
          <w:szCs w:val="22"/>
        </w:rPr>
        <w:t xml:space="preserve">The Q3 data ruling: 2026 extension, second instrument, or neither.</w:t>
      </w:r>
    </w:p>
    <w:p>
      <w:pPr>
        <w:pStyle w:val="ListParagraph"/>
        <w:numPr>
          <w:ilvl w:val="0"/>
          <w:numId w:val="3"/>
        </w:numPr>
        <w:spacing w:after="80"/>
      </w:pPr>
      <w:r>
        <w:rPr>
          <w:rFonts w:ascii="Calibri" w:cs="Calibri" w:eastAsia="Calibri" w:hAnsi="Calibri"/>
          <w:sz w:val="22"/>
          <w:szCs w:val="22"/>
        </w:rPr>
        <w:t xml:space="preserve">The generation-boundary strategy review — the category mix, the family portfolio, the gates. Per the Constitution, this review is the Owner's, forever.</w:t>
      </w:r>
    </w:p>
    <w:p>
      <w:pPr>
        <w:spacing w:after="120"/>
      </w:pPr>
      <w:r>
        <w:rPr>
          <w:rFonts w:ascii="Calibri" w:cs="Calibri" w:eastAsia="Calibri" w:hAnsi="Calibri"/>
          <w:b/>
          <w:bCs/>
          <w:sz w:val="22"/>
          <w:szCs w:val="22"/>
        </w:rPr>
        <w:t xml:space="preserve">Anchor: </w:t>
      </w:r>
      <w:r>
        <w:rPr>
          <w:rFonts w:ascii="Calibri" w:cs="Calibri" w:eastAsia="Calibri" w:hAnsi="Calibri"/>
          <w:i/>
          <w:iCs/>
          <w:sz w:val="22"/>
          <w:szCs w:val="22"/>
        </w:rPr>
        <w:t xml:space="preserve">the dry dock proved the design; the black box proves the instrument; only the market proves the science.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2026-07-26T19:42:00.380Z</dcterms:created>
  <dcterms:modified xsi:type="dcterms:W3CDTF">2026-07-26T19:42:00.398Z</dcterms:modified>
</cp:coreProperties>
</file>

<file path=docProps/custom.xml><?xml version="1.0" encoding="utf-8"?>
<Properties xmlns="http://schemas.openxmlformats.org/officeDocument/2006/custom-properties" xmlns:vt="http://schemas.openxmlformats.org/officeDocument/2006/docPropsVTypes"/>
</file>