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0"/>
        <w:jc w:val="center"/>
      </w:pPr>
      <w:r>
        <w:rPr>
          <w:b/>
          <w:bCs/>
          <w:color w:val="1F3864"/>
          <w:sz w:val="54"/>
          <w:szCs w:val="54"/>
        </w:rPr>
        <w:t xml:space="preserve">NeelPrajnaPro</w:t>
      </w:r>
    </w:p>
    <w:p>
      <w:pPr>
        <w:spacing w:after="160"/>
        <w:jc w:val="center"/>
      </w:pPr>
      <w:r>
        <w:rPr>
          <w:color w:val="2E74B5"/>
          <w:sz w:val="30"/>
          <w:szCs w:val="30"/>
        </w:rPr>
        <w:t xml:space="preserve">Reports — v1.0</w:t>
      </w:r>
    </w:p>
    <w:p>
      <w:pPr>
        <w:spacing w:after="120"/>
        <w:jc w:val="center"/>
      </w:pPr>
      <w:r>
        <w:rPr>
          <w:i/>
          <w:iCs/>
          <w:color w:val="595959"/>
          <w:sz w:val="20"/>
          <w:szCs w:val="20"/>
        </w:rPr>
        <w:t xml:space="preserve">Whiteboard companion to docs\reports\NeelPrajnaPro_Reports-v1.0.md — the Gen-1 close, and the ladder still growing.</w:t>
      </w:r>
    </w:p>
    <w:p>
      <w:pPr>
        <w:spacing w:after="100"/>
        <w:jc w:val="center"/>
      </w:pPr>
      <w:r>
        <w:rPr>
          <w:color w:val="595959"/>
          <w:sz w:val="18"/>
          <w:szCs w:val="18"/>
        </w:rPr>
        <w:t xml:space="preserve">Author: Fable (Architect) · 2026-07-29 · Twin rule applies: the .md is the normative text and living register; this .docx teaches its shape as of this version</w:t>
      </w:r>
    </w:p>
    <w:p>
      <w:r>
        <w:br w:type="page"/>
      </w:r>
    </w:p>
    <w:p>
      <w:pPr>
        <w:pStyle w:val="Heading1"/>
        <w:spacing w:after="140" w:before="300"/>
      </w:pPr>
      <w:r>
        <w:t xml:space="preserve">How to Read This Document</w:t>
      </w:r>
    </w:p>
    <w:p>
      <w:pPr>
        <w:spacing w:after="140" w:line="300"/>
        <w:jc w:val="both"/>
      </w:pPr>
      <w:r>
        <w:rPr>
          <w:sz w:val="22"/>
          <w:szCs w:val="22"/>
        </w:rPr>
        <w:t xml:space="preserve">This is the teaching form of the Reports register — one closed report so far, two reserved slots waiting on sprints that haven't happened yet. The three diagrams go in the order a reader needs them: the Gen-1 scorecard itself, the four recommendations that report left behind and where each is now being executed, and the ladder structure this whole document is built to grow along.</w:t>
      </w:r>
    </w:p>
    <w:p>
      <w:pPr>
        <w:spacing w:after="140" w:line="300"/>
        <w:jc w:val="both"/>
      </w:pPr>
      <w:r>
        <w:rPr>
          <w:sz w:val="22"/>
          <w:szCs w:val="22"/>
        </w:rPr>
        <w:t xml:space="preserve">Every diagram carries an anchor sentence. The md twin is normative and living — future reports append there, not here; this document teaches its shape as of this version and will need a fresh render once Report 2 closes.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00"/>
        <w:gridCol w:w="6140"/>
      </w:tblGrid>
      <w:tr>
        <w:trPr>
          <w:tblHeader/>
        </w:trPr>
        <w:tc>
          <w:tcPr>
            <w:tcW w:type="dxa" w:w="37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Diagram</w:t>
            </w:r>
          </w:p>
        </w:tc>
        <w:tc>
          <w:tcPr>
            <w:tcW w:type="dxa" w:w="614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Answers</w:t>
            </w:r>
          </w:p>
        </w:tc>
      </w:tr>
      <w:tr>
        <w:tc>
          <w:tcPr>
            <w:tcW w:type="dxa" w:w="3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 — The Gen-1 Scorecard</w:t>
            </w:r>
          </w:p>
        </w:tc>
        <w:tc>
          <w:tcPr>
            <w:tcW w:type="dxa" w:w="61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What did the first closed generation actually produce?</w:t>
            </w:r>
          </w:p>
        </w:tc>
      </w:tr>
      <w:tr>
        <w:tc>
          <w:tcPr>
            <w:tcW w:type="dxa" w:w="3700"/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2 — The Four Recommendations</w:t>
            </w:r>
          </w:p>
        </w:tc>
        <w:tc>
          <w:tcPr>
            <w:tcW w:type="dxa" w:w="6140"/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Where, right now, is each of Gen-1's recommendations being executed?</w:t>
            </w:r>
          </w:p>
        </w:tc>
      </w:tr>
      <w:tr>
        <w:tc>
          <w:tcPr>
            <w:tcW w:type="dxa" w:w="3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3 — The Report Ladder</w:t>
            </w:r>
          </w:p>
        </w:tc>
        <w:tc>
          <w:tcPr>
            <w:tcW w:type="dxa" w:w="61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What is this document's own growth pattern?</w:t>
            </w:r>
          </w:p>
        </w:tc>
      </w:tr>
    </w:tbl>
    <w:p>
      <w:r>
        <w:br w:type="page"/>
      </w:r>
    </w:p>
    <w:p>
      <w:pPr>
        <w:pStyle w:val="Heading1"/>
        <w:spacing w:after="140" w:before="300"/>
      </w:pPr>
      <w:r>
        <w:t xml:space="preserve">Diagram 1 — The Gen-1 Scorecard</w:t>
      </w:r>
    </w:p>
    <w:p>
      <w:pPr>
        <w:spacing w:after="140" w:line="300"/>
        <w:jc w:val="both"/>
      </w:pPr>
      <w:r>
        <w:rPr>
          <w:sz w:val="22"/>
          <w:szCs w:val="22"/>
        </w:rPr>
        <w:t xml:space="preserve">Ten sprints built a complete, adversarially drilled evidence pipeline and judged four hypotheses — all four came back FAIL or INSUFFICIENT. Zero promotions is the proudest line in the whole report: the instrument refused to flatter the very team that built it.</w:t>
      </w:r>
    </w:p>
    <w:p>
      <w:pPr>
        <w:spacing w:after="40" w:before="100"/>
        <w:jc w:val="center"/>
      </w:pPr>
      <w:r>
        <w:drawing>
          <wp:inline distT="0" distB="0" distL="0" distR="0">
            <wp:extent cx="4953000" cy="4133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413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 w:before="100"/>
        <w:jc w:val="center"/>
      </w:pPr>
      <w:r>
        <w:rPr>
          <w:i/>
          <w:iCs/>
          <w:color w:val="595959"/>
          <w:sz w:val="19"/>
          <w:szCs w:val="19"/>
        </w:rPr>
        <w:t xml:space="preserve">Figure 1. Figure 1. What was built, what was judged, and the line the report is proudest of.</w:t>
      </w:r>
    </w:p>
    <w:p>
      <w:r>
        <w:br w:type="page"/>
      </w:r>
    </w:p>
    <w:p>
      <w:pPr>
        <w:pStyle w:val="Heading1"/>
        <w:spacing w:after="140" w:before="300"/>
      </w:pPr>
      <w:r>
        <w:t xml:space="preserve">Diagram 2 — The Four Recommendations</w:t>
      </w:r>
    </w:p>
    <w:p>
      <w:pPr>
        <w:spacing w:after="140" w:line="300"/>
        <w:jc w:val="both"/>
      </w:pPr>
      <w:r>
        <w:rPr>
          <w:sz w:val="22"/>
          <w:szCs w:val="22"/>
        </w:rPr>
        <w:t xml:space="preserve">These aren't historical advice sitting in an archived report — they're this programme's actual marching orders, and each one is traceable to exactly where it's executing today. Recommendation 2 in particular is worth pausing on: the neelprajna family isn't inspired by that recommendation, it IS that recommendation, executed.</w:t>
      </w:r>
    </w:p>
    <w:p>
      <w:pPr>
        <w:spacing w:after="40" w:before="100"/>
        <w:jc w:val="center"/>
      </w:pPr>
      <w:r>
        <w:drawing>
          <wp:inline distT="0" distB="0" distL="0" distR="0">
            <wp:extent cx="4953000" cy="3667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66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 w:before="100"/>
        <w:jc w:val="center"/>
      </w:pPr>
      <w:r>
        <w:rPr>
          <w:i/>
          <w:iCs/>
          <w:color w:val="595959"/>
          <w:sz w:val="19"/>
          <w:szCs w:val="19"/>
        </w:rPr>
        <w:t xml:space="preserve">Figure 2. Figure 2. Build knowledge not framework · new families over deeper mining · certify nulls first · keep the human gates.</w:t>
      </w:r>
    </w:p>
    <w:p>
      <w:r>
        <w:br w:type="page"/>
      </w:r>
    </w:p>
    <w:p>
      <w:pPr>
        <w:pStyle w:val="Heading1"/>
        <w:spacing w:after="140" w:before="300"/>
      </w:pPr>
      <w:r>
        <w:t xml:space="preserve">Diagram 3 — The Report Ladder</w:t>
      </w:r>
    </w:p>
    <w:p>
      <w:pPr>
        <w:spacing w:after="140" w:line="300"/>
        <w:jc w:val="both"/>
      </w:pPr>
      <w:r>
        <w:rPr>
          <w:sz w:val="22"/>
          <w:szCs w:val="22"/>
        </w:rPr>
        <w:t xml:space="preserve">One report is closed; two slots sit reserved and empty, waiting on sprints that haven't happened yet. An empty reserved section here isn't a gap begging to be filled early with speculation — it's the same honesty the rest of this estate practices, just applied to reporting itself.</w:t>
      </w:r>
    </w:p>
    <w:p>
      <w:pPr>
        <w:spacing w:after="40" w:before="100"/>
        <w:jc w:val="center"/>
      </w:pPr>
      <w:r>
        <w:drawing>
          <wp:inline distT="0" distB="0" distL="0" distR="0">
            <wp:extent cx="4953000" cy="2971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 w:before="100"/>
        <w:jc w:val="center"/>
      </w:pPr>
      <w:r>
        <w:rPr>
          <w:i/>
          <w:iCs/>
          <w:color w:val="595959"/>
          <w:sz w:val="19"/>
          <w:szCs w:val="19"/>
        </w:rPr>
        <w:t xml:space="preserve">Figure 3. Figure 3. Report 1 (closed) → Report 2 (reserved, NP-S1) → Report 3 (reserved, NP-S4).</w:t>
      </w:r>
    </w:p>
    <w:p>
      <w:r>
        <w:br w:type="page"/>
      </w:r>
    </w:p>
    <w:p>
      <w:pPr>
        <w:pStyle w:val="Heading1"/>
        <w:spacing w:after="140" w:before="300"/>
      </w:pPr>
      <w:r>
        <w:t xml:space="preserve">Change Record</w:t>
      </w:r>
    </w:p>
    <w:p>
      <w:pPr>
        <w:spacing w:after="140" w:line="300"/>
        <w:jc w:val="both"/>
      </w:pPr>
      <w:r>
        <w:rPr>
          <w:sz w:val="22"/>
          <w:szCs w:val="22"/>
        </w:rPr>
        <w:t xml:space="preserve">v1.0 (2026-07-29): first whiteboard render of the Reports register, built per docs\archive\governance\HOW_THIS_DOC_WAS_BUILT.md (hand-built SVG, rasterized, one diagram per page, PDF-verified). Companion to the normative docs\reports\NeelPrajnaPro_Reports-v1.0.md — that file is authoritative and living; this document teaches its shape as of this version.</w:t>
      </w:r>
    </w:p>
    <w:p>
      <w:pPr>
        <w:spacing w:before="200"/>
        <w:jc w:val="center"/>
      </w:pPr>
      <w:r>
        <w:rPr>
          <w:i/>
          <w:iCs/>
          <w:color w:val="1F3864"/>
          <w:sz w:val="21"/>
          <w:szCs w:val="21"/>
        </w:rPr>
        <w:t xml:space="preserve">Anchor: a FAIL that answers a question outranks a PASS that flatters one.</w:t>
      </w:r>
    </w:p>
    <w:sectPr>
      <w:headerReference w:type="default" r:id="rId7"/>
      <w:footerReference w:type="default" r:id="rId8"/>
      <w:pgSz w:w="12240" w:h="15840" w:orient="portrait"/>
      <w:pgMar w:top="1300" w:right="1300" w:bottom="13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4"/>
      </w:pBdr>
      <w:jc w:val="right"/>
    </w:pPr>
    <w:r>
      <w:rPr>
        <w:color w:val="595959"/>
        <w:sz w:val="16"/>
        <w:szCs w:val="16"/>
      </w:rPr>
      <w:t xml:space="preserve">NeelPrajnaPro — Reports v1.0 (Whiteboard)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e2ec6e5ff2ed3b9ec4b68506654f8314b10060fd.png"/><Relationship Id="rId10" Type="http://schemas.openxmlformats.org/officeDocument/2006/relationships/image" Target="media/233821f18e7eb9879e1ec66f09bf1cbd304158bf.png"/><Relationship Id="rId11" Type="http://schemas.openxmlformats.org/officeDocument/2006/relationships/image" Target="media/220a641e15dd728660fd8578b8acf528f0a9358b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2026-07-29T19:17:39.149Z</dcterms:created>
  <dcterms:modified xsi:type="dcterms:W3CDTF">2026-07-29T19:17:39.171Z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